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4E78"/>
          <w:sz w:val="56"/>
          <w:szCs w:val="56"/>
        </w:rPr>
        <w:t xml:space="preserve">Hope Cement Works</w:t>
      </w:r>
    </w:p>
    <w:p>
      <w:pPr>
        <w:spacing w:after="100"/>
        <w:jc w:val="center"/>
      </w:pPr>
      <w:r>
        <w:rPr>
          <w:b/>
          <w:bCs/>
          <w:color w:val="000000"/>
          <w:sz w:val="36"/>
          <w:szCs w:val="36"/>
        </w:rPr>
        <w:t xml:space="preserve">Carbon Capture Feasibility Dossier</w:t>
      </w:r>
    </w:p>
    <w:p>
      <w:pPr>
        <w:spacing w:after="600"/>
        <w:jc w:val="center"/>
      </w:pPr>
      <w:r>
        <w:rPr>
          <w:i/>
          <w:iCs/>
          <w:color w:val="666666"/>
          <w:sz w:val="28"/>
          <w:szCs w:val="28"/>
        </w:rPr>
        <w:t xml:space="preserve">Amine Optimization &amp; Waste Heat Integration</w:t>
      </w:r>
    </w:p>
    <w:p>
      <w:pPr>
        <w:spacing w:after="800"/>
        <w:jc w:val="center"/>
      </w:pPr>
      <w:r>
        <w:rPr>
          <w:b/>
          <w:bCs/>
          <w:color w:val="C00000"/>
          <w:sz w:val="22"/>
          <w:szCs w:val="22"/>
        </w:rPr>
        <w:t xml:space="preserve">INTERNAL WORKING DOCUMENT — NOT FOR EXTERNAL DISTRIBUTION</w:t>
      </w:r>
    </w:p>
    <w:p>
      <w:pPr>
        <w:spacing w:after="100"/>
        <w:jc w:val="center"/>
      </w:pPr>
      <w:r>
        <w:rPr>
          <w:color w:val="666666"/>
          <w:sz w:val="20"/>
          <w:szCs w:val="20"/>
        </w:rPr>
        <w:t xml:space="preserve">Prepared: August 2026</w:t>
      </w:r>
    </w:p>
    <w:p>
      <w:pPr>
        <w:spacing w:after="100"/>
        <w:jc w:val="center"/>
      </w:pPr>
      <w:r>
        <w:rPr>
          <w:color w:val="666666"/>
          <w:sz w:val="20"/>
          <w:szCs w:val="20"/>
        </w:rPr>
        <w:t xml:space="preserve">Status: Desk-research feasibility assessment — pre-vendor-quote, pre-Breedon-engagement</w:t>
      </w:r>
    </w:p>
    <w:p>
      <w:r>
        <w:br w:type="page"/>
      </w:r>
    </w:p>
    <w:p>
      <w:pPr>
        <w:pStyle w:val="Heading1"/>
        <w:spacing w:after="160" w:before="360"/>
      </w:pPr>
      <w:r>
        <w:t xml:space="preserve">Executive Summary</w:t>
      </w:r>
    </w:p>
    <w:p>
      <w:pPr>
        <w:spacing w:after="160"/>
        <w:jc w:val="left"/>
      </w:pPr>
      <w:r>
        <w:t xml:space="preserve">Hope Cement Works (Breedon Group, Derbyshire) is one of four sites in the Peak Cluster carbon capture and storage (CCS) project — a proposed £5bn, ~198km pipeline to transport CO₂ from Peak District cement and lime operations to offshore storage under the Irish Sea. This dossier assesses how Hope can most cost-effectively prepare its CO₂ stream for that pipeline.</w:t>
      </w:r>
    </w:p>
    <w:p>
      <w:pPr>
        <w:spacing w:after="160"/>
        <w:jc w:val="left"/>
      </w:pPr>
      <w:r>
        <w:t xml:space="preserve">Breedon has publicly stated (March 2025 community update) that amine scrubbing — not oxy-fuel combustion — is “closest to realisation” for Hope, with disclosed internal cost estimates of approximately £400m for capture and £300m for CO₂ transport infrastructure. A public Environment Agency permit decision document confirms why: Hope's two kilns were installed in the early 1970s with a multistage cyclone preheater but no calciner, making a main-burner oxy-fuel retrofit a substantially harder and less-precedented undertaking than for a modern precalciner kiln.</w:t>
      </w:r>
    </w:p>
    <w:p>
      <w:pPr>
        <w:spacing w:after="160"/>
        <w:jc w:val="left"/>
      </w:pPr>
      <w:r>
        <w:t xml:space="preserve">This dossier does not contest that decision. Instead, it models the smallest capital package that meaningfully reduces the running cost of the amine plant Breedon has already chosen: (1) routing kiln waste heat directly to the amine reboiler's steam demand, (2) a De-SOx pretreatment step to protect the solvent from Hope's unusually sulphur-rich local shale, and (3) battery storage (BESS) to buffer the pipeline-compression electrical load.</w:t>
      </w:r>
    </w:p>
    <w:p>
      <w:pPr>
        <w:spacing w:after="160"/>
      </w:pPr>
      <w:r>
        <w:rPr>
          <w:b/>
          <w:bCs/>
        </w:rPr>
        <w:t xml:space="preserve">Headline result: </w:t>
      </w:r>
      <w:r>
        <w:t xml:space="preserve">an estimated £13.9m incremental capital package returns £6.6m/yr in operating cost savings — a simple payback of approximately </w:t>
      </w:r>
      <w:r>
        <w:rPr>
          <w:b/>
          <w:bCs/>
          <w:color w:val="2E7D32"/>
        </w:rPr>
        <w:t xml:space="preserve">2.1 years</w:t>
      </w:r>
      <w:r>
        <w:t xml:space="preserve">. A Monte Carlo sensitivity analysis across a coupled, sourced set of inputs puts the payback range at 1.5–3.8 years (P10–P90), with the optimized package beating the as-planned baseline in 99.9% of 10,000 simulated scenarios.</w:t>
      </w:r>
    </w:p>
    <w:p>
      <w:pPr>
        <w:spacing w:after="160"/>
        <w:jc w:val="left"/>
      </w:pPr>
      <w:r>
        <w:rPr>
          <w:i/>
          <w:iCs/>
          <w:color w:val="666666"/>
        </w:rPr>
        <w:t xml:space="preserve">Both the waste-heat capex line and the De-SOx cost structure have since been rebuilt on real, sourced primary data (Sections 5–6), replacing two rounds of unbenchmarked placeholders. The result is a smaller, less dramatic headline figure than earlier drafts of this dossier showed — but a substantially more defensible one. The remaining uncertainty is now concentrated in a single, well-defined risk: a ~10% chance that a standalone SOx polisher proves necessary beyond the standard pretreatment already included in the £400m baseline.</w:t>
      </w:r>
    </w:p>
    <w:p>
      <w:pPr>
        <w:pStyle w:val="Heading1"/>
        <w:spacing w:after="160" w:before="360"/>
      </w:pPr>
      <w:r>
        <w:t xml:space="preserve">1. Site Background</w:t>
      </w:r>
    </w:p>
    <w:p>
      <w:pPr>
        <w:pStyle w:val="Heading2"/>
        <w:spacing w:after="120" w:before="280"/>
      </w:pPr>
      <w:r>
        <w:t xml:space="preserve">1.1 Hope Cement Works</w:t>
      </w:r>
    </w:p>
    <w:p>
      <w:pPr>
        <w:spacing w:after="160"/>
        <w:jc w:val="left"/>
      </w:pPr>
      <w:r>
        <w:t xml:space="preserve">Hope Cement Works is the UK's largest cement plant, producing approximately 1.5 million tonnes of cement per year (~16% of total UK cement production) from two rotary kilns. The site emits an estimated 1.2 million tonnes of CO₂ per year — by far the largest single emitter in the Hope Valley (Hope Valley Climate Action).</w:t>
      </w:r>
    </w:p>
    <w:p>
      <w:pPr>
        <w:spacing w:after="160"/>
        <w:jc w:val="left"/>
      </w:pPr>
      <w:r>
        <w:t xml:space="preserve">Both kilns were installed in the early 1970s. Per the Environment Agency's BAT Conclusions decision document for the site: “The kilns were installed in the early 1970s and each have a multistage cyclone preheater, but no calciner.” Fuel input is a mix of coal and waste-derived fuels (including tyres and other non-hazardous waste-derived fuels).</w:t>
      </w:r>
    </w:p>
    <w:p>
      <w:pPr>
        <w:pStyle w:val="Heading2"/>
        <w:spacing w:after="120" w:before="280"/>
      </w:pPr>
      <w:r>
        <w:t xml:space="preserve">1.2 The Peak Cluster Context</w:t>
      </w:r>
    </w:p>
    <w:p>
      <w:pPr>
        <w:spacing w:after="160"/>
        <w:jc w:val="left"/>
      </w:pPr>
      <w:r>
        <w:t xml:space="preserve">Peak Cluster is a consortium of four Derbyshire/Staffordshire cement and lime producers (Breedon's Hope works, Tarmac's Tunstead cement plant, Buxton Lime's Tunstead lime plant, and Holcim's Cauldon plant) proposing a shared CO₂ pipeline (~198km / 121 miles) to the Morecambe Bay storage complex via the Morecambe Net Zero (MNZ) hub. Total project capex is estimated at approximately £5bn, with ~£60m committed to date to reach the current FEED/consenting stage (National Wealth Fund plus the private consortium). A Development Consent Order submission is expected in late 2026, with a decision anticipated around 2029 and operation from 2032.</w:t>
      </w:r>
    </w:p>
    <w:p>
      <w:pPr>
        <w:spacing w:after="160"/>
        <w:jc w:val="left"/>
      </w:pPr>
      <w:r>
        <w:rPr>
          <w:i/>
          <w:iCs/>
        </w:rPr>
        <w:t xml:space="preserve">Because these four operators are themselves the co-investors in Peak Cluster, any proposal to this market is most credible when it lowers the cost of feeding that pipeline, rather than proposing an alternative to it.</w:t>
      </w:r>
    </w:p>
    <w:p>
      <w:pPr>
        <w:pStyle w:val="Heading2"/>
        <w:spacing w:after="120" w:before="280"/>
      </w:pPr>
      <w:r>
        <w:t xml:space="preserve">1.3 Options Considered and Ruled Out</w:t>
      </w:r>
    </w:p>
    <w:p>
      <w:pPr>
        <w:spacing w:after="160"/>
        <w:jc w:val="left"/>
      </w:pPr>
      <w:r>
        <w:t xml:space="preserve">Two alternative approaches were assessed before arriving at the recommended path, for completeness:</w:t>
      </w:r>
    </w:p>
    <w:p>
      <w:pPr>
        <w:pStyle w:val="ListParagraph"/>
        <w:numPr>
          <w:ilvl w:val="0"/>
          <w:numId w:val="2"/>
        </w:numPr>
        <w:spacing w:after="100"/>
      </w:pPr>
      <w:r>
        <w:t xml:space="preserve">On-site electrosynthesis (converting CO₂ to solid carbon via molten-carbonate electrolysis, avoiding the pipeline entirely): ruled out on thermodynamic grounds. The reaction CO₂ → C + O₂ has a theoretical minimum energy requirement of ~2,490 kWh/t CO₂; published lab-scale results (C2CNT/Licht process) cluster around 1,900–5,600 kWh/t CO₂ in practice. At any realistic UK industrial electricity price, this exceeds the UK ETS carbon price (£49.41/t, 2026) before capex, materials handling, or permitting risk are even considered.</w:t>
      </w:r>
    </w:p>
    <w:p>
      <w:pPr>
        <w:pStyle w:val="ListParagraph"/>
        <w:numPr>
          <w:ilvl w:val="0"/>
          <w:numId w:val="2"/>
        </w:numPr>
        <w:spacing w:after="100"/>
      </w:pPr>
      <w:r>
        <w:t xml:space="preserve">Oxy-fuel combustion + waste heat recovery (generic template, modelled before Hope-specific data was available): technically sound and demonstrated at pilot scale (EU CEMCAP project) for modern precalciner kilns — but not for Hope specifically, given the no-calciner kiln architecture (Section 2). Retained separately as a benchmark case for a site with a modern precalciner (e.g. a Cauldon-type site), not pursued further for Hope.</w:t>
      </w:r>
    </w:p>
    <w:p>
      <w:pPr>
        <w:pStyle w:val="Heading1"/>
        <w:spacing w:after="160" w:before="360"/>
      </w:pPr>
      <w:r>
        <w:t xml:space="preserve">2. Why Not Oxy-Fuel: Technical Assessment</w:t>
      </w:r>
    </w:p>
    <w:p>
      <w:pPr>
        <w:spacing w:after="160"/>
        <w:jc w:val="left"/>
      </w:pPr>
      <w:r>
        <w:t xml:space="preserve">Published oxy-fuel retrofit research for cement (notably the EU CEMCAP project) concentrates on converting the calciner — a separate, lower-temperature vessel that burns 60–65% of a modern plant's fuel — because it is a more contained, lower-risk retrofit point than the main kiln burner. CEMCAP pilot testing of oxy-fuel components (burner, calciner, clinker cooler) reached only 30–500 kWth scale.</w:t>
      </w:r>
    </w:p>
    <w:p>
      <w:pPr>
        <w:spacing w:after="160"/>
        <w:jc w:val="left"/>
      </w:pPr>
      <w:r>
        <w:t xml:space="preserve">Hope's kilns have no calciner to convert. An oxy-fuel retrofit at Hope would require converting the main kiln burner flame itself — altering radiant heat flux, clinker mineralogy, and refractory life in ways that have not been demonstrated at commercial scale on a kiln of this vintage. This is very likely the primary technical reason Breedon's own assessment concluded amine scrubbing is “closest to realisation”: it is a “bolt-on” technology applied at the end of the exhaust stack, requiring no fundamental modification to a 50-year-old core clinker-making process.</w:t>
      </w:r>
    </w:p>
    <w:p>
      <w:pPr>
        <w:spacing w:after="160"/>
        <w:jc w:val="left"/>
      </w:pPr>
      <w:r>
        <w:rPr>
          <w:i/>
          <w:iCs/>
          <w:color w:val="666666"/>
        </w:rPr>
        <w:t xml:space="preserve">Breedon's disclosed capex estimate for amine capture at Hope (~£400m) is consistent with, and closely validates, an independent capex benchmark used in this analysis (£333/tpa CO₂ capacity, real-world amine plant capex data) — see Section 4.</w:t>
      </w:r>
    </w:p>
    <w:p>
      <w:pPr>
        <w:pStyle w:val="Heading1"/>
        <w:spacing w:after="160" w:before="360"/>
      </w:pPr>
      <w:r>
        <w:t xml:space="preserve">3. The Sulphur Dioxide Risk</w:t>
      </w:r>
    </w:p>
    <w:p>
      <w:pPr>
        <w:spacing w:after="160"/>
        <w:jc w:val="left"/>
      </w:pPr>
      <w:r>
        <w:t xml:space="preserve">Hope's Environment Agency permit confirms elevated SO₂ emissions, attributed to “the levels of pyritic sulphur in their locally quarried shale.” The EA's 2017 Decision Document for Hope (permit EPR/BP3731VJ) gives real, site-specific operating data rather than just the permit ceiling: confirmed actual emissions at the time were 600–800 mg/Nm³, reported as 2,030 tonnes SO₂/year. This cross-checks well against this model's own independently-derived flue gas flow rate (~382,000 Nm³/h, computed from CO₂ volume and concentration alone) — the reported tonnage implies ~362,500 Nm³/h, within 5%, a useful internal consistency check on both figures.</w:t>
      </w:r>
    </w:p>
    <w:p>
      <w:pPr>
        <w:spacing w:after="160"/>
        <w:jc w:val="left"/>
      </w:pPr>
      <w:r>
        <w:t xml:space="preserve">Hope's own mitigation route is raw-material substitution, not scrubbing: blending in Pulverised Fly Ash (PFA, low-sulphur) to displace high-sulphur shale, targeting 250–350 mg/Nm³ once substitution reaches 10%, at a real, modest submitted cost (capex £1.35m, opex £40k/yr). A standalone, whole-kiln wet FGD scrubber was formally evaluated for Hope and rejected as disproportionately costly (NPV –£30.7m to –£37.2m under the EA's damage-cost cost-benefit methodology) against that substitution route. This is useful context but answers a different question to the one this dossier asks — see Section 4.</w:t>
      </w:r>
    </w:p>
    <w:p>
      <w:pPr>
        <w:spacing w:after="160"/>
        <w:jc w:val="left"/>
      </w:pPr>
      <w:r>
        <w:t xml:space="preserve">A separate, real primary source sharpens the picture further: an August 2024 HVCA discussion document, based on a WSP/Aker feasibility study for Hope, reviewed five capture licensors (Aker, MHI, C-Capture, Capsol, Air Liquide) and used Aker's configuration as the representative concept for Hope, including a published Process Flow Diagram (“CC at Hope – Aker PFD”). That PFD shows Flue Gas Pretreatment (X-001), a Direct Contact Cooler (C-001), and a Caustic Soda Package (X-005) sitting ahead of the Absorber (C-002) and Stripper (C-003) — i.e. the representative amine concept for Hope already includes DCC-based caustic pretreatment as a standard, integral part of the process, not a hypothetical add-on. The deck does not announce a vendor selection (MHI is reviewed on equal footing), but both mainstream amine licensors under consideration impose strict SOx inlet limits — commonly cited as 1–10 ppmv — for solvent protection.</w:t>
      </w:r>
    </w:p>
    <w:p>
      <w:pPr>
        <w:pStyle w:val="Heading1"/>
        <w:spacing w:after="160" w:before="360"/>
      </w:pPr>
      <w:r>
        <w:t xml:space="preserve">4. Recommended Path: The Amine Optimization Package</w:t>
      </w:r>
    </w:p>
    <w:p>
      <w:pPr>
        <w:spacing w:after="160"/>
        <w:jc w:val="left"/>
      </w:pPr>
      <w:r>
        <w:t xml:space="preserve">Rather than proposing an alternative to Breedon's chosen technology, this package treats the £400m amine plant as fixed and asks: what is the smallest capital add-on that meaningfully reduces its running cost? Three components:</w:t>
      </w:r>
    </w:p>
    <w:p>
      <w:pPr>
        <w:pStyle w:val="ListParagraph"/>
        <w:numPr>
          <w:ilvl w:val="0"/>
          <w:numId w:val="2"/>
        </w:numPr>
        <w:spacing w:after="100"/>
      </w:pPr>
      <w:r>
        <w:rPr>
          <w:b w:val="false"/>
          <w:bCs w:val="false"/>
        </w:rPr>
        <w:t xml:space="preserve">Waste heat thermal integration: kiln waste heat routed directly to the amine reboiler's steam demand, rather than converted to electricity via an ORC turbine. Direct thermal use avoids the ~80% conversion loss an ORC would impose, and reboiler duty is exactly the low-grade heat load kiln waste heat is well suited to.</w:t>
      </w:r>
    </w:p>
    <w:p>
      <w:pPr>
        <w:pStyle w:val="ListParagraph"/>
        <w:numPr>
          <w:ilvl w:val="0"/>
          <w:numId w:val="2"/>
        </w:numPr>
        <w:spacing w:after="100"/>
      </w:pPr>
      <w:r>
        <w:t xml:space="preserve">De-SOx protection opex: the standard Direct Contact Cooler and caustic dosing package shown in the real Aker PFD for Hope (Section 3) is treated as already present inside the £399.6m baseline — it is a required part of any amine plant, not a Hope-specific add-on. What this package does cost, once built and operating, is a physics-based reagent opex (NaOH + Na₂SO₄ waste handling), which this dossier now derives from Hope's actual flue gas chemistry rather than a placeholder.</w:t>
      </w:r>
    </w:p>
    <w:p>
      <w:pPr>
        <w:pStyle w:val="ListParagraph"/>
        <w:numPr>
          <w:ilvl w:val="0"/>
          <w:numId w:val="2"/>
        </w:numPr>
        <w:spacing w:after="100"/>
      </w:pPr>
      <w:r>
        <w:t xml:space="preserve">BESS (battery storage): buffers the electrical load from CO₂ compression feeding the Peak Cluster pipeline connection, reducing exposure to UK grid connection queue delays (historically up to 10–15 years for new industrial connections, though 2025–26 Ofgem reforms are improving this for “strategic demand” projects).</w:t>
      </w:r>
    </w:p>
    <w:p>
      <w:pPr>
        <w:spacing w:after="160"/>
        <w:jc w:val="left"/>
      </w:pPr>
      <w:r>
        <w:rPr>
          <w:i/>
          <w:iCs/>
          <w:color w:val="666666"/>
        </w:rPr>
        <w:t xml:space="preserve">Thermal integration also has a materially larger carbon effect than the ORC/electricity alternative it replaces, for the same underlying reason it has a larger cost effect. An ORC turbine converts an estimated 15–20% of recovered heat to electricity; direct thermal transfer to the reboiler retains an estimated 85–90%. Applied to this dossier's own modelled waste-heat recovery (~57 MWth recoverable, ~387,000 MWh/yr delivered to the reboiler, mean case), direct thermal integration avoids an estimated 81,000 tCO₂/yr by displacing natural-gas-boiler steam (DESNZ 2025/26 reporting factor: ~0.21 kgCO₂/kWh of steam delivered, assuming 85% boiler efficiency), against an estimated 9,000–12,000 tCO₂/yr the same recovered heat would avoid if converted to electricity and used to displace grid power instead (~130 gCO₂/kWh, National Grid ESO, 2025–26 average). Net: choosing thermal integration over an ORC/electricity route is worth an estimated additional ~70,000 tCO₂/yr avoided — approximately 6% of Hope's entire 1.2 million tonne annual capture volume — from the routing decision alone, independent of the opex savings quantified in Section 5. This reinforces, rather than substitutes for, Voldsund et al.'s separate finding (Sections 3 and 9) that MEA capture's reliance on a gas-fired boiler for reboiler steam is a direct drag on its “equivalent specific CO₂ avoided” metric, since that boiler's own flue gas sits outside the capture plant's treated stream.</w:t>
      </w:r>
    </w:p>
    <w:p>
      <w:pPr>
        <w:spacing w:after="200"/>
      </w:pPr>
      <w:r>
        <w:rPr>
          <w:i/>
          <w:iCs/>
          <w:color w:val="666666"/>
          <w:sz w:val="19"/>
          <w:szCs w:val="19"/>
        </w:rPr>
        <w:t xml:space="preserve">Note on a prior iteration: an earlier version of this analysis modelled waste heat recovery as ORC electricity generation, aimed at powering an oxy-fuel air separation unit. Breedon's own 2016 assessment found standalone CHP/merchant power generation “not viable” at Hope. The thermal-integration reframing in this section is a materially different mechanism (direct heat-to-reboiler, not heat-to-electricity-to-process) and has not been tested against Breedon's 2016 conclusion, which was evaluated under the general merchant-power framing, not this narrower one.</w:t>
      </w:r>
    </w:p>
    <w:p>
      <w:pPr>
        <w:spacing w:after="200"/>
      </w:pPr>
      <w:r>
        <w:rPr>
          <w:i/>
          <w:iCs/>
          <w:color w:val="666666"/>
          <w:sz w:val="19"/>
          <w:szCs w:val="19"/>
        </w:rPr>
        <w:t xml:space="preserve">Note on De-SOx capex: an earlier iteration of this dossier carried a £10–25/tpa (£12–30m) De-SOx capex line as a central-case add-on. That figure has been reclassified, not deleted — it now represents a downside scenario (a standalone SOx polisher, needed only if the standard integrated DCC+caustic system proves insufficient), modelled as a ~10% discrete probability rather than a continuous central-case cost. See Section 5–6.</w:t>
      </w:r>
    </w:p>
    <w:p>
      <w:pPr>
        <w:pStyle w:val="Heading1"/>
        <w:spacing w:after="160" w:before="360"/>
      </w:pPr>
      <w:r>
        <w:t xml:space="preserve">5. Financial Model Summary</w:t>
      </w:r>
    </w:p>
    <w:p>
      <w:pPr>
        <w:spacing w:after="160"/>
        <w:jc w:val="left"/>
      </w:pPr>
      <w:r>
        <w:t xml:space="preserve">Both cases below include the same £400m (modelled: £399.6m) amine plant, on the assumption that standard flue-gas pretreatment (DCC + caustic dosing) is already inside that baseline scope, consistent with the real Aker PFD for Hope (Section 3). The comparison isolates the value of the £13.9m add-on package — materially smaller than earlier drafts, because De-SOx capex is no longer double-counted on top of a baseline that already includes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c>
          <w:tcPr>
            <w:tcW w:type="dxa" w:w="2000"/>
            <w:shd w:fill="1F4E78" w:val="clear"/>
            <w:vAlign w:val="center"/>
          </w:tcPr>
          <w:p>
            <w:pPr>
              <w:jc w:val="left"/>
            </w:pPr>
            <w:r>
              <w:rPr>
                <w:b/>
                <w:bCs/>
                <w:color w:val="FFFFFF"/>
                <w:sz w:val="20"/>
                <w:szCs w:val="20"/>
              </w:rPr>
              <w:t xml:space="preserve">Metric</w:t>
            </w:r>
          </w:p>
        </w:tc>
        <w:tc>
          <w:tcPr>
            <w:tcW w:type="dxa" w:w="2000"/>
            <w:shd w:fill="1F4E78" w:val="clear"/>
            <w:vAlign w:val="center"/>
          </w:tcPr>
          <w:p>
            <w:pPr>
              <w:jc w:val="left"/>
            </w:pPr>
            <w:r>
              <w:rPr>
                <w:b/>
                <w:bCs/>
                <w:color w:val="FFFFFF"/>
                <w:sz w:val="20"/>
                <w:szCs w:val="20"/>
              </w:rPr>
              <w:t xml:space="preserve">Baseline (as-planned)</w:t>
            </w:r>
          </w:p>
        </w:tc>
        <w:tc>
          <w:tcPr>
            <w:tcW w:type="dxa" w:w="2000"/>
            <w:shd w:fill="1F4E78" w:val="clear"/>
            <w:vAlign w:val="center"/>
          </w:tcPr>
          <w:p>
            <w:pPr>
              <w:jc w:val="left"/>
            </w:pPr>
            <w:r>
              <w:rPr>
                <w:b/>
                <w:bCs/>
                <w:color w:val="FFFFFF"/>
                <w:sz w:val="20"/>
                <w:szCs w:val="20"/>
              </w:rPr>
              <w:t xml:space="preserve">Optimized (+ add-on)</w:t>
            </w:r>
          </w:p>
        </w:tc>
      </w:tr>
      <w:tr>
        <w:tc>
          <w:tcPr>
            <w:tcW w:type="dxa" w:w="2000"/>
            <w:vAlign w:val="center"/>
          </w:tcPr>
          <w:p>
            <w:pPr>
              <w:jc w:val="left"/>
            </w:pPr>
            <w:r>
              <w:rPr>
                <w:color w:val="000000"/>
                <w:sz w:val="20"/>
                <w:szCs w:val="20"/>
              </w:rPr>
              <w:t xml:space="preserve">All-in levelized cost</w:t>
            </w:r>
          </w:p>
        </w:tc>
        <w:tc>
          <w:tcPr>
            <w:tcW w:type="dxa" w:w="2000"/>
            <w:vAlign w:val="center"/>
          </w:tcPr>
          <w:p>
            <w:pPr>
              <w:jc w:val="left"/>
            </w:pPr>
            <w:r>
              <w:rPr>
                <w:color w:val="000000"/>
                <w:sz w:val="20"/>
                <w:szCs w:val="20"/>
              </w:rPr>
              <w:t xml:space="preserve">£83.92 / t CO₂</w:t>
            </w:r>
          </w:p>
        </w:tc>
        <w:tc>
          <w:tcPr>
            <w:tcW w:type="dxa" w:w="2000"/>
            <w:vAlign w:val="center"/>
          </w:tcPr>
          <w:p>
            <w:pPr>
              <w:jc w:val="left"/>
            </w:pPr>
            <w:r>
              <w:rPr>
                <w:b/>
                <w:bCs/>
                <w:color w:val="2E7D32"/>
                <w:sz w:val="20"/>
                <w:szCs w:val="20"/>
              </w:rPr>
              <w:t xml:space="preserve">£79.57 / t CO₂</w:t>
            </w:r>
          </w:p>
        </w:tc>
      </w:tr>
      <w:tr>
        <w:tc>
          <w:tcPr>
            <w:tcW w:type="dxa" w:w="2000"/>
            <w:vAlign w:val="center"/>
          </w:tcPr>
          <w:p>
            <w:pPr>
              <w:jc w:val="left"/>
            </w:pPr>
            <w:r>
              <w:rPr>
                <w:color w:val="000000"/>
                <w:sz w:val="20"/>
                <w:szCs w:val="20"/>
              </w:rPr>
              <w:t xml:space="preserve">Amine plant capex</w:t>
            </w:r>
          </w:p>
        </w:tc>
        <w:tc>
          <w:tcPr>
            <w:tcW w:type="dxa" w:w="2000"/>
            <w:vAlign w:val="center"/>
          </w:tcPr>
          <w:p>
            <w:pPr>
              <w:jc w:val="left"/>
            </w:pPr>
            <w:r>
              <w:rPr>
                <w:color w:val="000000"/>
                <w:sz w:val="20"/>
                <w:szCs w:val="20"/>
              </w:rPr>
              <w:t xml:space="preserve">£399.6m</w:t>
            </w:r>
          </w:p>
        </w:tc>
        <w:tc>
          <w:tcPr>
            <w:tcW w:type="dxa" w:w="2000"/>
            <w:vAlign w:val="center"/>
          </w:tcPr>
          <w:p>
            <w:pPr>
              <w:jc w:val="left"/>
            </w:pPr>
            <w:r>
              <w:rPr>
                <w:color w:val="000000"/>
                <w:sz w:val="20"/>
                <w:szCs w:val="20"/>
              </w:rPr>
              <w:t xml:space="preserve">£399.6m (same plant)</w:t>
            </w:r>
          </w:p>
        </w:tc>
      </w:tr>
      <w:tr>
        <w:tc>
          <w:tcPr>
            <w:tcW w:type="dxa" w:w="2000"/>
            <w:vAlign w:val="center"/>
          </w:tcPr>
          <w:p>
            <w:pPr>
              <w:jc w:val="left"/>
            </w:pPr>
            <w:r>
              <w:rPr>
                <w:color w:val="000000"/>
                <w:sz w:val="20"/>
                <w:szCs w:val="20"/>
              </w:rPr>
              <w:t xml:space="preserve">Add-on capex (net of grid offset)</w:t>
            </w:r>
          </w:p>
        </w:tc>
        <w:tc>
          <w:tcPr>
            <w:tcW w:type="dxa" w:w="2000"/>
            <w:vAlign w:val="center"/>
          </w:tcPr>
          <w:p>
            <w:pPr>
              <w:jc w:val="left"/>
            </w:pPr>
            <w:r>
              <w:rPr>
                <w:color w:val="000000"/>
                <w:sz w:val="20"/>
                <w:szCs w:val="20"/>
              </w:rPr>
              <w:t xml:space="preserve">—</w:t>
            </w:r>
          </w:p>
        </w:tc>
        <w:tc>
          <w:tcPr>
            <w:tcW w:type="dxa" w:w="2000"/>
            <w:vAlign w:val="center"/>
          </w:tcPr>
          <w:p>
            <w:pPr>
              <w:jc w:val="left"/>
            </w:pPr>
            <w:r>
              <w:rPr>
                <w:b/>
                <w:bCs/>
                <w:color w:val="000000"/>
                <w:sz w:val="20"/>
                <w:szCs w:val="20"/>
              </w:rPr>
              <w:t xml:space="preserve">£13.9m</w:t>
            </w:r>
          </w:p>
        </w:tc>
      </w:tr>
      <w:tr>
        <w:tc>
          <w:tcPr>
            <w:tcW w:type="dxa" w:w="2000"/>
            <w:vAlign w:val="center"/>
          </w:tcPr>
          <w:p>
            <w:pPr>
              <w:jc w:val="left"/>
            </w:pPr>
            <w:r>
              <w:rPr>
                <w:color w:val="000000"/>
                <w:sz w:val="20"/>
                <w:szCs w:val="20"/>
              </w:rPr>
              <w:t xml:space="preserve">Annual opex</w:t>
            </w:r>
          </w:p>
        </w:tc>
        <w:tc>
          <w:tcPr>
            <w:tcW w:type="dxa" w:w="2000"/>
            <w:vAlign w:val="center"/>
          </w:tcPr>
          <w:p>
            <w:pPr>
              <w:jc w:val="left"/>
            </w:pPr>
            <w:r>
              <w:rPr>
                <w:color w:val="000000"/>
                <w:sz w:val="20"/>
                <w:szCs w:val="20"/>
              </w:rPr>
              <w:t xml:space="preserve">£60.0m/yr</w:t>
            </w:r>
          </w:p>
        </w:tc>
        <w:tc>
          <w:tcPr>
            <w:tcW w:type="dxa" w:w="2000"/>
            <w:vAlign w:val="center"/>
          </w:tcPr>
          <w:p>
            <w:pPr>
              <w:jc w:val="left"/>
            </w:pPr>
            <w:r>
              <w:rPr>
                <w:color w:val="000000"/>
                <w:sz w:val="20"/>
                <w:szCs w:val="20"/>
              </w:rPr>
              <w:t xml:space="preserve">£53.4m/yr</w:t>
            </w:r>
          </w:p>
        </w:tc>
      </w:tr>
      <w:tr>
        <w:tc>
          <w:tcPr>
            <w:tcW w:type="dxa" w:w="2000"/>
            <w:vAlign w:val="center"/>
          </w:tcPr>
          <w:p>
            <w:pPr>
              <w:jc w:val="left"/>
            </w:pPr>
            <w:r>
              <w:rPr>
                <w:color w:val="000000"/>
                <w:sz w:val="20"/>
                <w:szCs w:val="20"/>
              </w:rPr>
              <w:t xml:space="preserve">Annual opex savings</w:t>
            </w:r>
          </w:p>
        </w:tc>
        <w:tc>
          <w:tcPr>
            <w:tcW w:type="dxa" w:w="2000"/>
            <w:vAlign w:val="center"/>
          </w:tcPr>
          <w:p>
            <w:pPr>
              <w:jc w:val="left"/>
            </w:pPr>
            <w:r>
              <w:rPr>
                <w:color w:val="000000"/>
                <w:sz w:val="20"/>
                <w:szCs w:val="20"/>
              </w:rPr>
              <w:t xml:space="preserve">—</w:t>
            </w:r>
          </w:p>
        </w:tc>
        <w:tc>
          <w:tcPr>
            <w:tcW w:type="dxa" w:w="2000"/>
            <w:vAlign w:val="center"/>
          </w:tcPr>
          <w:p>
            <w:pPr>
              <w:jc w:val="left"/>
            </w:pPr>
            <w:r>
              <w:rPr>
                <w:b/>
                <w:bCs/>
                <w:color w:val="2E7D32"/>
                <w:sz w:val="20"/>
                <w:szCs w:val="20"/>
              </w:rPr>
              <w:t xml:space="preserve">£6.65m/yr</w:t>
            </w:r>
          </w:p>
        </w:tc>
      </w:tr>
      <w:tr>
        <w:tc>
          <w:tcPr>
            <w:tcW w:type="dxa" w:w="2000"/>
            <w:vAlign w:val="center"/>
          </w:tcPr>
          <w:p>
            <w:pPr>
              <w:jc w:val="left"/>
            </w:pPr>
            <w:r>
              <w:rPr>
                <w:color w:val="000000"/>
                <w:sz w:val="20"/>
                <w:szCs w:val="20"/>
              </w:rPr>
              <w:t xml:space="preserve">Simple payback on add-on</w:t>
            </w:r>
          </w:p>
        </w:tc>
        <w:tc>
          <w:tcPr>
            <w:tcW w:type="dxa" w:w="2000"/>
            <w:vAlign w:val="center"/>
          </w:tcPr>
          <w:p>
            <w:pPr>
              <w:jc w:val="left"/>
            </w:pPr>
            <w:r>
              <w:rPr>
                <w:color w:val="000000"/>
                <w:sz w:val="20"/>
                <w:szCs w:val="20"/>
              </w:rPr>
              <w:t xml:space="preserve">—</w:t>
            </w:r>
          </w:p>
        </w:tc>
        <w:tc>
          <w:tcPr>
            <w:tcW w:type="dxa" w:w="2000"/>
            <w:vAlign w:val="center"/>
          </w:tcPr>
          <w:p>
            <w:pPr>
              <w:jc w:val="left"/>
            </w:pPr>
            <w:r>
              <w:rPr>
                <w:b/>
                <w:bCs/>
                <w:color w:val="2E7D32"/>
                <w:sz w:val="20"/>
                <w:szCs w:val="20"/>
              </w:rPr>
              <w:t xml:space="preserve">2.10 years</w:t>
            </w:r>
          </w:p>
        </w:tc>
      </w:tr>
      <w:tr>
        <w:tc>
          <w:tcPr>
            <w:tcW w:type="dxa" w:w="2000"/>
            <w:vAlign w:val="center"/>
          </w:tcPr>
          <w:p>
            <w:pPr>
              <w:jc w:val="left"/>
            </w:pPr>
            <w:r>
              <w:rPr>
                <w:color w:val="000000"/>
                <w:sz w:val="20"/>
                <w:szCs w:val="20"/>
              </w:rPr>
              <w:t xml:space="preserve">Reboiler duty covered by recovered heat</w:t>
            </w:r>
          </w:p>
        </w:tc>
        <w:tc>
          <w:tcPr>
            <w:tcW w:type="dxa" w:w="2000"/>
            <w:vAlign w:val="center"/>
          </w:tcPr>
          <w:p>
            <w:pPr>
              <w:jc w:val="left"/>
            </w:pPr>
            <w:r>
              <w:rPr>
                <w:color w:val="000000"/>
                <w:sz w:val="20"/>
                <w:szCs w:val="20"/>
              </w:rPr>
              <w:t xml:space="preserve">0%</w:t>
            </w:r>
          </w:p>
        </w:tc>
        <w:tc>
          <w:tcPr>
            <w:tcW w:type="dxa" w:w="2000"/>
            <w:vAlign w:val="center"/>
          </w:tcPr>
          <w:p>
            <w:pPr>
              <w:jc w:val="left"/>
            </w:pPr>
            <w:r>
              <w:rPr>
                <w:color w:val="000000"/>
                <w:sz w:val="20"/>
                <w:szCs w:val="20"/>
              </w:rPr>
              <w:t xml:space="preserve">~36%</w:t>
            </w:r>
          </w:p>
        </w:tc>
      </w:tr>
    </w:tbl>
    <w:p>
      <w:pPr>
        <w:spacing w:after="200"/>
      </w:pPr>
    </w:p>
    <w:p>
      <w:pPr>
        <w:spacing w:after="160"/>
        <w:jc w:val="left"/>
      </w:pPr>
      <w:r>
        <w:rPr>
          <w:i/>
          <w:iCs/>
          <w:color w:val="666666"/>
        </w:rPr>
        <w:t xml:space="preserve">Baseline non-energy opex now reflects a coupled, sourced SOx degradation-risk estimate (£3.28/t CO₂) rather than a flat £12–15/t placeholder — see Section 6 for the methodology. For reference, the UK ETS 2026 civil penalty carbon price is £49.41/t CO₂ — both the baseline and optimized cost figures above are the cost of complying via capture, not an alternative to it; the ETS price is shown for context, not as a comparator.</w:t>
      </w:r>
    </w:p>
    <w:p>
      <w:pPr>
        <w:pStyle w:val="Heading1"/>
        <w:spacing w:after="160" w:before="360"/>
      </w:pPr>
      <w:r>
        <w:t xml:space="preserve">6. Monte Carlo Uncertainty Analysis</w:t>
      </w:r>
    </w:p>
    <w:p>
      <w:pPr>
        <w:spacing w:after="160"/>
        <w:jc w:val="left"/>
      </w:pPr>
      <w:r>
        <w:t xml:space="preserve">The De-SOx cost structure was substantially rebuilt for this version. Rather than sampling a protection cost and a degradation-risk cost independently — which artificially manufactures scenarios where they cancel out — both are now derived from a single, shared driver: Hope's inlet SO₂ concentration, sampled once per draw as PERT(400, 700, 1,760) mg/Nm³. All three parameters are individually sourced from the EA Decision Document (Section 3): 400 is the final BAT-AEL regulatory target, 700 is the confirmed actual 2017 operating midpoint, and 1,760 is the historical shale-only ceiling — retained as a real, physically meaningful upside tail given a separately-reported risk that Hope's low-sulphur shale reserves were expected to deplete by around 2025.</w:t>
      </w:r>
    </w:p>
    <w:p>
      <w:pPr>
        <w:spacing w:after="160"/>
        <w:jc w:val="left"/>
      </w:pPr>
      <w:r>
        <w:rPr>
          <w:i/>
          <w:iCs/>
          <w:color w:val="666666"/>
        </w:rPr>
        <w:t xml:space="preserve">From that shared SOx draw: protection opex (P) is calculated stoichiometrically — NaOH demand at 1.25 kg per kg SO₂ removed (2SO₂+O₂+4NaOH→2Na₂SO₄+2H₂O), plus Na₂SO₄ byproduct waste handling (2.2× the SO₂ mass, ~£20/t net), plus a 15% uplift for pumping and wet-service maintenance. Degradation-risk opex (D) is anchored to a documented industry threshold — Chapel (1999), cited via a UK Government TERC/University of Sheffield report (Nov 2023, DESNZ CCUS Innovation 2.0 programme): “it is less expensive to install a SOx scrubber than to accept the solvent losses when the flue gas contains more than 10 ppmv SO2.” D equals P at that 10 ppmv breakeven, and D = P × M above it, where M ~ Uniform(1.5, 4) is bounded engineering judgment — the same TERC report confirms no clean long-term degradation-cost data exists in the public literature. Because Hope's realistic SOx range sits 9–61× above the 10 ppmv threshold at every point sampled, D exceeds P by construction across the model's entire range — not just at the central case.</w:t>
      </w:r>
    </w:p>
    <w:p>
      <w:pPr>
        <w:spacing w:after="160"/>
        <w:jc w:val="left"/>
      </w:pPr>
      <w:r>
        <w:t xml:space="preserve">Capex is treated separately from this opex structure. A CEMCAP-derived cost for the standard DCC/pretreatment train (~£4.9m, 2025 terms, ~1.2% of the £399.6m baseline) is retained as a validation memo only, confirming that such a system is plausible within Breedon's disclosed capex — not added a second time. The old £10–25/tpa (£12–30m) placeholder is reclassified as a discrete downside scenario: a standalone SOx polisher, triggered in 10% of draws (engineering judgment), needed only if the standard integrated system proves insufficient.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c>
          <w:tcPr>
            <w:tcW w:type="dxa" w:w="2000"/>
            <w:shd w:fill="1F4E78" w:val="clear"/>
            <w:vAlign w:val="center"/>
          </w:tcPr>
          <w:p>
            <w:pPr>
              <w:jc w:val="left"/>
            </w:pPr>
            <w:r>
              <w:rPr>
                <w:b/>
                <w:bCs/>
                <w:color w:val="FFFFFF"/>
                <w:sz w:val="20"/>
                <w:szCs w:val="20"/>
              </w:rPr>
              <w:t xml:space="preserve">Result</w:t>
            </w:r>
          </w:p>
        </w:tc>
        <w:tc>
          <w:tcPr>
            <w:tcW w:type="dxa" w:w="2000"/>
            <w:shd w:fill="1F4E78" w:val="clear"/>
            <w:vAlign w:val="center"/>
          </w:tcPr>
          <w:p>
            <w:pPr>
              <w:jc w:val="left"/>
            </w:pPr>
            <w:r>
              <w:rPr>
                <w:b/>
                <w:bCs/>
                <w:color w:val="FFFFFF"/>
                <w:sz w:val="20"/>
                <w:szCs w:val="20"/>
              </w:rPr>
              <w:t xml:space="preserve">P10</w:t>
            </w:r>
          </w:p>
        </w:tc>
        <w:tc>
          <w:tcPr>
            <w:tcW w:type="dxa" w:w="2000"/>
            <w:shd w:fill="1F4E78" w:val="clear"/>
            <w:vAlign w:val="center"/>
          </w:tcPr>
          <w:p>
            <w:pPr>
              <w:jc w:val="left"/>
            </w:pPr>
            <w:r>
              <w:rPr>
                <w:b/>
                <w:bCs/>
                <w:color w:val="FFFFFF"/>
                <w:sz w:val="20"/>
                <w:szCs w:val="20"/>
              </w:rPr>
              <w:t xml:space="preserve">P50</w:t>
            </w:r>
          </w:p>
        </w:tc>
        <w:tc>
          <w:tcPr>
            <w:tcW w:type="dxa" w:w="2000"/>
            <w:shd w:fill="1F4E78" w:val="clear"/>
            <w:vAlign w:val="center"/>
          </w:tcPr>
          <w:p>
            <w:pPr>
              <w:jc w:val="left"/>
            </w:pPr>
            <w:r>
              <w:rPr>
                <w:b/>
                <w:bCs/>
                <w:color w:val="FFFFFF"/>
                <w:sz w:val="20"/>
                <w:szCs w:val="20"/>
              </w:rPr>
              <w:t xml:space="preserve">P90</w:t>
            </w:r>
          </w:p>
        </w:tc>
      </w:tr>
      <w:tr>
        <w:tc>
          <w:tcPr>
            <w:tcW w:type="dxa" w:w="2000"/>
            <w:vAlign w:val="center"/>
          </w:tcPr>
          <w:p>
            <w:pPr>
              <w:jc w:val="left"/>
            </w:pPr>
            <w:r>
              <w:rPr>
                <w:color w:val="000000"/>
                <w:sz w:val="20"/>
                <w:szCs w:val="20"/>
              </w:rPr>
              <w:t xml:space="preserve">Savings, £/t CO₂</w:t>
            </w:r>
          </w:p>
        </w:tc>
        <w:tc>
          <w:tcPr>
            <w:tcW w:type="dxa" w:w="2000"/>
            <w:vAlign w:val="center"/>
          </w:tcPr>
          <w:p>
            <w:pPr>
              <w:jc w:val="left"/>
            </w:pPr>
            <w:r>
              <w:rPr>
                <w:color w:val="000000"/>
                <w:sz w:val="20"/>
                <w:szCs w:val="20"/>
              </w:rPr>
              <w:t xml:space="preserve">£2.40</w:t>
            </w:r>
          </w:p>
        </w:tc>
        <w:tc>
          <w:tcPr>
            <w:tcW w:type="dxa" w:w="2000"/>
            <w:vAlign w:val="center"/>
          </w:tcPr>
          <w:p>
            <w:pPr>
              <w:jc w:val="left"/>
            </w:pPr>
            <w:r>
              <w:rPr>
                <w:color w:val="000000"/>
                <w:sz w:val="20"/>
                <w:szCs w:val="20"/>
              </w:rPr>
              <w:t xml:space="preserve">£4.27</w:t>
            </w:r>
          </w:p>
        </w:tc>
        <w:tc>
          <w:tcPr>
            <w:tcW w:type="dxa" w:w="2000"/>
            <w:vAlign w:val="center"/>
          </w:tcPr>
          <w:p>
            <w:pPr>
              <w:jc w:val="left"/>
            </w:pPr>
            <w:r>
              <w:rPr>
                <w:color w:val="000000"/>
                <w:sz w:val="20"/>
                <w:szCs w:val="20"/>
              </w:rPr>
              <w:t xml:space="preserve">£6.58</w:t>
            </w:r>
          </w:p>
        </w:tc>
      </w:tr>
      <w:tr>
        <w:tc>
          <w:tcPr>
            <w:tcW w:type="dxa" w:w="2000"/>
            <w:vAlign w:val="center"/>
          </w:tcPr>
          <w:p>
            <w:pPr>
              <w:jc w:val="left"/>
            </w:pPr>
            <w:r>
              <w:rPr>
                <w:color w:val="000000"/>
                <w:sz w:val="20"/>
                <w:szCs w:val="20"/>
              </w:rPr>
              <w:t xml:space="preserve">Simple payback, years</w:t>
            </w:r>
          </w:p>
        </w:tc>
        <w:tc>
          <w:tcPr>
            <w:tcW w:type="dxa" w:w="2000"/>
            <w:vAlign w:val="center"/>
          </w:tcPr>
          <w:p>
            <w:pPr>
              <w:jc w:val="left"/>
            </w:pPr>
            <w:r>
              <w:rPr>
                <w:color w:val="000000"/>
                <w:sz w:val="20"/>
                <w:szCs w:val="20"/>
              </w:rPr>
              <w:t xml:space="preserve">1.53</w:t>
            </w:r>
          </w:p>
        </w:tc>
        <w:tc>
          <w:tcPr>
            <w:tcW w:type="dxa" w:w="2000"/>
            <w:vAlign w:val="center"/>
          </w:tcPr>
          <w:p>
            <w:pPr>
              <w:jc w:val="left"/>
            </w:pPr>
            <w:r>
              <w:rPr>
                <w:color w:val="000000"/>
                <w:sz w:val="20"/>
                <w:szCs w:val="20"/>
              </w:rPr>
              <w:t xml:space="preserve">2.22</w:t>
            </w:r>
          </w:p>
        </w:tc>
        <w:tc>
          <w:tcPr>
            <w:tcW w:type="dxa" w:w="2000"/>
            <w:vAlign w:val="center"/>
          </w:tcPr>
          <w:p>
            <w:pPr>
              <w:jc w:val="left"/>
            </w:pPr>
            <w:r>
              <w:rPr>
                <w:color w:val="000000"/>
                <w:sz w:val="20"/>
                <w:szCs w:val="20"/>
              </w:rPr>
              <w:t xml:space="preserve">3.80</w:t>
            </w:r>
          </w:p>
        </w:tc>
      </w:tr>
    </w:tbl>
    <w:p>
      <w:pPr>
        <w:spacing w:after="200"/>
      </w:pPr>
    </w:p>
    <w:p>
      <w:pPr>
        <w:spacing w:after="160"/>
        <w:jc w:val="left"/>
      </w:pPr>
      <w:r>
        <w:t xml:space="preserve">Win rate: the optimized package was cheaper than the as-planned baseline in 99.86% of 10,000 simulated draws. The residual 0.14% comes almost entirely from the discrete polisher scenario compounding with unfavourable WHR-capex draws, not from the De-SOx opex structure itself — D &gt; P holds structurally in every draw.</w:t>
      </w:r>
    </w:p>
    <w:p>
      <w:pPr>
        <w:spacing w:after="160"/>
        <w:jc w:val="left"/>
      </w:pPr>
      <w:r>
        <w:t xml:space="preserve">The dominant driver of payback uncertainty is now whether the polisher scenario triggers (correlation 0.76) — a clean, binary, well-defined risk, in contrast to the diffuse continuous placeholder this replaced. When the standard system suffices (~90% of draws), payback clusters around 1.5–2 years; when a polisher is needed (~10%), payback stretches toward 4–8 years. The degradation-risk variable D is the dominant driver of the £/t savings figure itself (correlation 0.80), followed by the M multiplier (0.63) — meaning the size of the win, not its existence, is what remains genuinely uncertain. Electricity tariff continues to have essentially no effect on the outcome (correlation ~0.00), since both cases carry an identical electrical load.</w:t>
      </w:r>
    </w:p>
    <w:p>
      <w:pPr>
        <w:pStyle w:val="Heading1"/>
        <w:spacing w:after="160" w:before="360"/>
      </w:pPr>
      <w:r>
        <w:t xml:space="preserve">7. Data Confidence Assessment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400"/>
      </w:tblGrid>
      <w:tr>
        <w:tc>
          <w:tcPr>
            <w:tcW w:type="dxa" w:w="2000"/>
            <w:shd w:fill="1F4E78" w:val="clear"/>
            <w:vAlign w:val="center"/>
          </w:tcPr>
          <w:p>
            <w:pPr>
              <w:jc w:val="left"/>
            </w:pPr>
            <w:r>
              <w:rPr>
                <w:b/>
                <w:bCs/>
                <w:color w:val="FFFFFF"/>
                <w:sz w:val="20"/>
                <w:szCs w:val="20"/>
              </w:rPr>
              <w:t xml:space="preserve">Confidence</w:t>
            </w:r>
          </w:p>
        </w:tc>
        <w:tc>
          <w:tcPr>
            <w:tcW w:type="dxa" w:w="2000"/>
            <w:shd w:fill="1F4E78" w:val="clear"/>
            <w:vAlign w:val="center"/>
          </w:tcPr>
          <w:p>
            <w:pPr>
              <w:jc w:val="left"/>
            </w:pPr>
            <w:r>
              <w:rPr>
                <w:b/>
                <w:bCs/>
                <w:color w:val="FFFFFF"/>
                <w:sz w:val="20"/>
                <w:szCs w:val="20"/>
              </w:rPr>
              <w:t xml:space="preserve">Inputs</w:t>
            </w:r>
          </w:p>
        </w:tc>
        <w:tc>
          <w:tcPr>
            <w:tcW w:type="dxa" w:w="2000"/>
            <w:shd w:fill="1F4E78" w:val="clear"/>
            <w:vAlign w:val="center"/>
          </w:tcPr>
          <w:p>
            <w:pPr>
              <w:jc w:val="left"/>
            </w:pPr>
            <w:r>
              <w:rPr>
                <w:b/>
                <w:bCs/>
                <w:color w:val="FFFFFF"/>
                <w:sz w:val="20"/>
                <w:szCs w:val="20"/>
              </w:rPr>
              <w:t xml:space="preserve">Basis</w:t>
            </w:r>
          </w:p>
        </w:tc>
      </w:tr>
      <w:tr>
        <w:tc>
          <w:tcPr>
            <w:tcW w:type="dxa" w:w="2000"/>
            <w:shd w:fill="E2EFDA" w:val="clear"/>
            <w:vAlign w:val="center"/>
          </w:tcPr>
          <w:p>
            <w:pPr>
              <w:jc w:val="left"/>
            </w:pPr>
            <w:r>
              <w:rPr>
                <w:b/>
                <w:bCs/>
                <w:color w:val="000000"/>
                <w:sz w:val="20"/>
                <w:szCs w:val="20"/>
              </w:rPr>
              <w:t xml:space="preserve">HIGH</w:t>
            </w:r>
          </w:p>
        </w:tc>
        <w:tc>
          <w:tcPr>
            <w:tcW w:type="dxa" w:w="2000"/>
            <w:vAlign w:val="center"/>
          </w:tcPr>
          <w:p>
            <w:pPr>
              <w:jc w:val="left"/>
            </w:pPr>
            <w:r>
              <w:rPr>
                <w:color w:val="000000"/>
                <w:sz w:val="20"/>
                <w:szCs w:val="20"/>
              </w:rPr>
              <w:t xml:space="preserve">Amine plant capex (£333/tpa); reboiler duty; compression energy; UK ETS price; De-SOx capex central case (£0, standard pretreatment assumed inside baseline)</w:t>
            </w:r>
          </w:p>
        </w:tc>
        <w:tc>
          <w:tcPr>
            <w:tcW w:type="dxa" w:w="2000"/>
            <w:vAlign w:val="center"/>
          </w:tcPr>
          <w:p>
            <w:pPr>
              <w:jc w:val="left"/>
            </w:pPr>
            <w:r>
              <w:rPr>
                <w:color w:val="000000"/>
                <w:sz w:val="20"/>
                <w:szCs w:val="20"/>
              </w:rPr>
              <w:t xml:space="preserve">Validated against Breedon's disclosed £400m; standard published benchmarks; corroborated by the real Aker PFD for Hope showing DCC/caustic package as integral to the concept</w:t>
            </w:r>
          </w:p>
        </w:tc>
      </w:tr>
      <w:tr>
        <w:tc>
          <w:tcPr>
            <w:tcW w:type="dxa" w:w="2000"/>
            <w:shd w:fill="FFF2CC" w:val="clear"/>
            <w:vAlign w:val="center"/>
          </w:tcPr>
          <w:p>
            <w:pPr>
              <w:jc w:val="left"/>
            </w:pPr>
            <w:r>
              <w:rPr>
                <w:b/>
                <w:bCs/>
                <w:color w:val="000000"/>
                <w:sz w:val="20"/>
                <w:szCs w:val="20"/>
              </w:rPr>
              <w:t xml:space="preserve">MEDIUM</w:t>
            </w:r>
          </w:p>
        </w:tc>
        <w:tc>
          <w:tcPr>
            <w:tcW w:type="dxa" w:w="2000"/>
            <w:vAlign w:val="center"/>
          </w:tcPr>
          <w:p>
            <w:pPr>
              <w:jc w:val="left"/>
            </w:pPr>
            <w:r>
              <w:rPr>
                <w:color w:val="000000"/>
                <w:sz w:val="20"/>
                <w:szCs w:val="20"/>
              </w:rPr>
              <w:t xml:space="preserve">Specific heat consumption (3.3–4.2 GJ/t); recoverable waste heat fraction; heat transfer efficiency; electricity tariff; waste-heat thermal-integration capex (£73.8k–141.7k/MWth); De-SOx protection opex P; SOx degradation-risk opex D</w:t>
            </w:r>
          </w:p>
        </w:tc>
        <w:tc>
          <w:tcPr>
            <w:tcW w:type="dxa" w:w="2000"/>
            <w:vAlign w:val="center"/>
          </w:tcPr>
          <w:p>
            <w:pPr>
              <w:jc w:val="left"/>
            </w:pPr>
            <w:r>
              <w:rPr>
                <w:color w:val="000000"/>
                <w:sz w:val="20"/>
                <w:szCs w:val="20"/>
              </w:rPr>
              <w:t xml:space="preserve">Cement engineering literature ranges; DESNZ/Ofgem tariff data; Biermann et al. (2018) peer-reviewed cost study; P is stoichiometric and well-grounded, D anchors to a real published threshold (Chapel 1999/TERC-Sheffield 2023) but the multiplier above that threshold is bounded judgment, not a sourced curve</w:t>
            </w:r>
          </w:p>
        </w:tc>
      </w:tr>
      <w:tr>
        <w:tc>
          <w:tcPr>
            <w:tcW w:type="dxa" w:w="2000"/>
            <w:shd w:fill="FCE4E4" w:val="clear"/>
            <w:vAlign w:val="center"/>
          </w:tcPr>
          <w:p>
            <w:pPr>
              <w:jc w:val="left"/>
            </w:pPr>
            <w:r>
              <w:rPr>
                <w:b/>
                <w:bCs/>
                <w:color w:val="000000"/>
                <w:sz w:val="20"/>
                <w:szCs w:val="20"/>
              </w:rPr>
              <w:t xml:space="preserve">LOW / PLACEHOLDER</w:t>
            </w:r>
          </w:p>
        </w:tc>
        <w:tc>
          <w:tcPr>
            <w:tcW w:type="dxa" w:w="2000"/>
            <w:vAlign w:val="center"/>
          </w:tcPr>
          <w:p>
            <w:pPr>
              <w:jc w:val="left"/>
            </w:pPr>
            <w:r>
              <w:rPr>
                <w:color w:val="000000"/>
                <w:sz w:val="20"/>
                <w:szCs w:val="20"/>
              </w:rPr>
              <w:t xml:space="preserve">Current (2026) actual Hope stack SOx level; polisher-scenario trigger probability (10%); polisher capex if triggered (£12–30m); ORC efficiency (15–20%) and gas-boiler efficiency (85%) used in the thermal-vs-electric carbon comparison</w:t>
            </w:r>
          </w:p>
        </w:tc>
        <w:tc>
          <w:tcPr>
            <w:tcW w:type="dxa" w:w="2000"/>
            <w:vAlign w:val="center"/>
          </w:tcPr>
          <w:p>
            <w:pPr>
              <w:jc w:val="left"/>
            </w:pPr>
            <w:r>
              <w:rPr>
                <w:color w:val="000000"/>
                <w:sz w:val="20"/>
                <w:szCs w:val="20"/>
              </w:rPr>
              <w:t xml:space="preserve">Best available source (EA Decision Document) is ~9 years old; no post-2019 compliance data found; polisher probability and the M multiplier (D/P ratio) are engineering judgment pending vendor input; ORC and boiler efficiencies are generic industry ranges, not Hope-specific or vendor-confirmed</w:t>
            </w:r>
          </w:p>
        </w:tc>
      </w:tr>
    </w:tbl>
    <w:p>
      <w:pPr>
        <w:spacing w:after="200"/>
      </w:pPr>
    </w:p>
    <w:p>
      <w:pPr>
        <w:spacing w:after="200"/>
      </w:pPr>
      <w:r>
        <w:rPr>
          <w:i/>
          <w:iCs/>
          <w:color w:val="666666"/>
          <w:sz w:val="19"/>
          <w:szCs w:val="19"/>
        </w:rPr>
        <w:t xml:space="preserve">A separately circulated set of figures for the waste-heat-integration cost (citing “CEMCAP Deliverable D10.2”) was checked against CORDIS's complete public list of the 27 CEMCAP deliverables and found not to exist. Those figures were never used in this dossier. The real, genuine paper behind the pasted citation was subsequently identified — Biermann, Anantharaman &amp; Harvey (2018) — and its actual Table B1/B2 cost data now underpins the waste-heat capex range. Separately, a claimed “Aker is the confirmed basis for Hope's design” citation was checked directly against the source document and found to be an overstatement — the real document reviews five licensors and uses Aker's configuration as a representative concept, not a confirmed selection; the dossier's wording (Section 3) reflects the corrected, defensible claim.</w:t>
      </w:r>
    </w:p>
    <w:p>
      <w:pPr>
        <w:pStyle w:val="Heading1"/>
        <w:spacing w:after="160" w:before="360"/>
      </w:pPr>
      <w:r>
        <w:t xml:space="preserve">8. Recommended Next Steps</w:t>
      </w:r>
    </w:p>
    <w:p>
      <w:pPr>
        <w:pStyle w:val="ListParagraph"/>
        <w:numPr>
          <w:ilvl w:val="0"/>
          <w:numId w:val="2"/>
        </w:numPr>
        <w:spacing w:after="100"/>
      </w:pPr>
      <w:r>
        <w:t xml:space="preserve">Obtain a current stack SOx reading, or a recent EA compliance report, for Hope. The best source found (the 2017 EA Decision Document) is now ~9 years old, and a separately-reported risk that Hope's low-sulphur shale reserves would deplete by ~2025 means the true current figure could sit anywhere in the modelled 400–1,760 mg/Nm³ range. This is now the single highest-value open question — it would tighten both P and D more than any further modelling.</w:t>
      </w:r>
    </w:p>
    <w:p>
      <w:pPr>
        <w:pStyle w:val="ListParagraph"/>
        <w:numPr>
          <w:ilvl w:val="0"/>
          <w:numId w:val="2"/>
        </w:numPr>
        <w:spacing w:after="100"/>
      </w:pPr>
      <w:r>
        <w:t xml:space="preserve">Obtain a vendor budgetary quote (Aker or MHI) confirming the actual SOx inlet tolerance for Hope's specific solvent choice, and whether the standard integrated DCC+caustic package is expected to meet it without a dedicated polisher. This would replace the 10% polisher-trigger probability — currently engineering judgment — with a real answer.</w:t>
      </w:r>
    </w:p>
    <w:p>
      <w:pPr>
        <w:pStyle w:val="ListParagraph"/>
        <w:numPr>
          <w:ilvl w:val="0"/>
          <w:numId w:val="2"/>
        </w:numPr>
        <w:spacing w:after="100"/>
      </w:pPr>
      <w:r>
        <w:t xml:space="preserve">Obtain vendor or literature support for the D/P multiplier (M) above the 10 ppmv Chapel threshold — currently a bounded judgment range (1.5–4×), reflecting a confirmed gap in the public literature (per TERC/Sheffield, Nov 2023) rather than a sourced degradation-cost curve.</w:t>
      </w:r>
    </w:p>
    <w:p>
      <w:pPr>
        <w:pStyle w:val="ListParagraph"/>
        <w:numPr>
          <w:ilvl w:val="0"/>
          <w:numId w:val="2"/>
        </w:numPr>
        <w:spacing w:after="100"/>
      </w:pPr>
      <w:r>
        <w:t xml:space="preserve">Verify kiln thermal rating against Breedon's actual heat balance data — the ~163 MWth mean figure used in this dossier is derived from public production figures and a literature specific-heat-consumption range, not a published nameplate value.</w:t>
      </w:r>
    </w:p>
    <w:p>
      <w:pPr>
        <w:pStyle w:val="ListParagraph"/>
        <w:numPr>
          <w:ilvl w:val="0"/>
          <w:numId w:val="2"/>
        </w:numPr>
        <w:spacing w:after="100"/>
      </w:pPr>
      <w:r>
        <w:t xml:space="preserve">If pursued externally: lead with the framing that this optimizes Breedon's own £400m decision rather than proposing an alternative to it — this is a materially easier conversation than the technology-replacement framing considered and rejected earlier in this process (Section 1.3).</w:t>
      </w:r>
    </w:p>
    <w:p>
      <w:pPr>
        <w:pStyle w:val="Heading1"/>
        <w:spacing w:after="160" w:before="360"/>
      </w:pPr>
      <w:r>
        <w:t xml:space="preserve">9. Sources</w:t>
      </w:r>
    </w:p>
    <w:p>
      <w:pPr>
        <w:spacing w:after="160"/>
        <w:jc w:val="left"/>
      </w:pPr>
      <w:r>
        <w:t xml:space="preserve">Hope Valley Climate Action — “Breedon: Update 2025, Carbon Capture and Storage (CCS)”, hopevalleyclimateaction.org.uk</w:t>
      </w:r>
    </w:p>
    <w:p>
      <w:pPr>
        <w:spacing w:after="160"/>
        <w:jc w:val="left"/>
      </w:pPr>
      <w:r>
        <w:t xml:space="preserve">Environment Agency — Hope Cement Works BAT Conclusions Decision Document (permit EPR/BP3731VJ)</w:t>
      </w:r>
    </w:p>
    <w:p>
      <w:pPr>
        <w:spacing w:after="160"/>
        <w:jc w:val="left"/>
      </w:pPr>
      <w:r>
        <w:t xml:space="preserve">Peak Cluster — peakcluster.co.uk; CORDIS project record for EU CEMCAP (grant agreement 641185)</w:t>
      </w:r>
    </w:p>
    <w:p>
      <w:pPr>
        <w:spacing w:after="160"/>
        <w:jc w:val="left"/>
      </w:pPr>
      <w:r>
        <w:t xml:space="preserve">UK ETS Authority — 2026 civil penalty carbon price</w:t>
      </w:r>
    </w:p>
    <w:p>
      <w:pPr>
        <w:spacing w:after="160"/>
        <w:jc w:val="left"/>
      </w:pPr>
      <w:r>
        <w:t xml:space="preserve">EU CEMCAP project public deliverables (27 documents, CORDIS) — oxy-fuel and cost-estimation methodology references</w:t>
      </w:r>
    </w:p>
    <w:p>
      <w:pPr>
        <w:spacing w:after="160"/>
        <w:jc w:val="left"/>
      </w:pPr>
      <w:r>
        <w:t xml:space="preserve">Biermann, M., Anantharaman, R., &amp; Harvey, S. (2018). "Cost estimation of heat recovery networks for utilization of industrial excess heat for carbon dioxide absorption." International Journal of Greenhouse Gas Control, 74, 219–228. (SINTEF Industry / Chalmers University of Technology)</w:t>
      </w:r>
    </w:p>
    <w:p>
      <w:pPr>
        <w:spacing w:after="160"/>
        <w:jc w:val="left"/>
      </w:pPr>
      <w:r>
        <w:t xml:space="preserve">Eurostat — EU HICP (Harmonised Index of Consumer Prices), cumulative inflation used to inflate historical-terms cost data to current terms</w:t>
      </w:r>
    </w:p>
    <w:p>
      <w:pPr>
        <w:spacing w:after="160"/>
        <w:jc w:val="left"/>
      </w:pPr>
      <w:r>
        <w:t xml:space="preserve">Hope Cement Works Decision Document (2017), Environment Agency / gov.uk, permit EPR/BP3731VJ — confirmed actual SOx operating data, PFA-substitution mitigation plan, and the rejected wet-FGD cost-benefit analysis</w:t>
      </w:r>
    </w:p>
    <w:p>
      <w:pPr>
        <w:spacing w:after="160"/>
        <w:jc w:val="left"/>
      </w:pPr>
      <w:r>
        <w:t xml:space="preserve">Hope Valley Climate Action — “Hope Carbon Capture – HVCA Discussion” (August 2024), based on a WSP/Aker feasibility study for Hope, including the “CC at Hope – Aker PFD” process flow diagram</w:t>
      </w:r>
    </w:p>
    <w:p>
      <w:pPr>
        <w:spacing w:after="160"/>
        <w:jc w:val="left"/>
      </w:pPr>
      <w:r>
        <w:t xml:space="preserve">Chapel, D.G., Mariz, C.L. and Ernest, J. (1999). Recovery of CO2 from Flue Gases: Commercial Trends. Presented at the Canadian Society of Chemical Engineers annual meeting, Saskatoon — cited via TERC/University of Sheffield below</w:t>
      </w:r>
    </w:p>
    <w:p>
      <w:pPr>
        <w:spacing w:after="160"/>
        <w:jc w:val="left"/>
      </w:pPr>
      <w:r>
        <w:t xml:space="preserve">Translational Energy Research Centre, University of Sheffield (November 2023). "Performance data and solvent degradation and management for concentrated MEA and an advanced amine blend." DESNZ CCUS Innovation 2.0 Key Knowledge Deliverable 3.2 &amp; 3.3</w:t>
      </w:r>
    </w:p>
    <w:p>
      <w:pPr>
        <w:spacing w:after="160"/>
        <w:jc w:val="left"/>
      </w:pPr>
      <w:r>
        <w:t xml:space="preserve">Voldsund, M., Gardarsdottir, S.O., et al. (2019). "Comparison of Technologies for CO2 Capture from Cement Production — Part 2: Cost Analysis." Energies, 12(3), 542. Supplementary equipment-list data (Table S1) used for the DCC/pretreatment capex validation memo</w:t>
      </w:r>
    </w:p>
    <w:p>
      <w:pPr>
        <w:spacing w:after="160"/>
        <w:jc w:val="left"/>
      </w:pPr>
      <w:r>
        <w:t xml:space="preserve">UK Government GHG Conversion Factors for Company Reporting (DESNZ, 2025/26 editions) — natural gas combustion factor used in the thermal-vs-electric carbon comparison, Section 4</w:t>
      </w:r>
    </w:p>
    <w:p>
      <w:pPr>
        <w:spacing w:after="160"/>
        <w:jc w:val="left"/>
      </w:pPr>
      <w:r>
        <w:t xml:space="preserve">National Grid ESO / Carbon Brief — UK electricity grid carbon intensity data (2025–26 average, ~126–141 gCO₂/kWh) — used in the thermal-vs-electric carbon comparison, Section 4</w:t>
      </w:r>
    </w:p>
    <w:p>
      <w:pPr>
        <w:spacing w:after="160"/>
        <w:jc w:val="left"/>
      </w:pPr>
      <w:r>
        <w:t xml:space="preserve">Thunder Said Energy — amine capture and cryogenic ASU cost benchmarks</w:t>
      </w:r>
    </w:p>
    <w:p>
      <w:pPr>
        <w:spacing w:after="160"/>
        <w:jc w:val="left"/>
      </w:pPr>
      <w:r>
        <w:t xml:space="preserve">US EPA — Dry Sorbent Injection for SO2/HCl Control Cost Development Methodology (Sargent &amp; Lundy / ERG, updated March 2024)</w:t>
      </w:r>
    </w:p>
    <w:p>
      <w:pPr>
        <w:spacing w:after="160"/>
        <w:jc w:val="left"/>
      </w:pPr>
      <w:r>
        <w:t xml:space="preserve">Breedon Group public materials — Hope Cement Works production capacity and site data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Hope Cement Works — Feasibility Dossier | INTERNAL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2026-08-15T20:24:20.831Z</dcterms:created>
  <dcterms:modified xsi:type="dcterms:W3CDTF">2026-08-15T20:24:20.831Z</dcterms:modified>
</cp:coreProperties>
</file>

<file path=docProps/custom.xml><?xml version="1.0" encoding="utf-8"?>
<Properties xmlns="http://schemas.openxmlformats.org/officeDocument/2006/custom-properties" xmlns:vt="http://schemas.openxmlformats.org/officeDocument/2006/docPropsVTypes"/>
</file>