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«Безопасные  методы и приемы выполнения работ  повышенной опасности в ограниченных и замкнутых пространствах (ОЗП) работников 3 группы»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 с целью обеспечения профилактических мер по предотвращению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 (ред. от 29.12.2025г            с изм от 06.02.2026);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15.12.2020 № 902н «Об утверждении Правил по охране труда при работе в ограниченных и замкнутых пространствах»;</w:t>
      </w:r>
    </w:p>
    <w:p>
      <w:pPr>
        <w:pStyle w:val="Style39"/>
        <w:spacing w:lineRule="auto" w:line="240"/>
        <w:ind w:left="0" w:right="0" w:firstLine="709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709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709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и планируемые результаты обучения</w:t>
      </w:r>
    </w:p>
    <w:p>
      <w:pPr>
        <w:pStyle w:val="Style51"/>
        <w:spacing w:lineRule="auto" w:line="240"/>
        <w:ind w:left="0" w:right="0" w:firstLine="567"/>
        <w:jc w:val="both"/>
        <w:rPr>
          <w:rFonts w:ascii="Times New Roman" w:hAnsi="Times New Roman"/>
          <w:sz w:val="12"/>
          <w:szCs w:val="12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/>
      </w:pPr>
      <w:r>
        <w:rPr>
          <w:rStyle w:val="FontStyle22"/>
          <w:i w:val="false"/>
          <w:kern w:val="0"/>
          <w:sz w:val="24"/>
          <w:szCs w:val="24"/>
          <w:shd w:fill="auto" w:val="clear"/>
          <w:lang w:val="ru-RU" w:eastAsia="ru-RU" w:bidi="ru-RU"/>
        </w:rPr>
        <w:t>1.2. Планируемые результаты обучения</w:t>
      </w:r>
    </w:p>
    <w:p>
      <w:pPr>
        <w:pStyle w:val="Norm"/>
        <w:bidi w:val="0"/>
        <w:spacing w:lineRule="auto" w:line="240"/>
        <w:ind w:left="0" w:right="0" w:hanging="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left"/>
        <w:rPr/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1.2.1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Лица, успешно освоившие программу, должны знать: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rFonts w:eastAsia="Times New Roman" w:cs="Times New Roman"/>
          <w:b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Законы и иные нормативные акты, регламентирующие вопросы по охране труда при работе в ОЗП;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Опасности и риски в ОЗП и методы их распознавания;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Методы эвакуации и спасения в ОЗП 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Методы осмотра ОЗП;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Методы применения средств индивидуальной защиты органов дыхания, в том числе дыхательных аппаратов;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Сценарии спасения и эвакуации;</w:t>
      </w:r>
    </w:p>
    <w:p>
      <w:pPr>
        <w:pStyle w:val="Normal"/>
        <w:numPr>
          <w:ilvl w:val="0"/>
          <w:numId w:val="3"/>
        </w:numPr>
        <w:ind w:left="0" w:right="0" w:firstLine="709"/>
        <w:jc w:val="left"/>
        <w:rPr>
          <w:sz w:val="24"/>
          <w:shd w:fill="auto" w:val="clear"/>
        </w:rPr>
      </w:pPr>
      <w:r>
        <w:rPr>
          <w:sz w:val="24"/>
          <w:shd w:fill="auto" w:val="clear"/>
        </w:rPr>
        <w:t>План производства работ и прочие необходимые организационно-технические документы, необходимые для выполнения работ в ОЗП;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Порядок расследования несчастных случаев на производстве и проф. заболеваний;</w:t>
      </w:r>
    </w:p>
    <w:p>
      <w:pPr>
        <w:pStyle w:val="Normal"/>
        <w:numPr>
          <w:ilvl w:val="0"/>
          <w:numId w:val="3"/>
        </w:numPr>
        <w:ind w:left="0" w:right="0" w:firstLine="709"/>
        <w:jc w:val="both"/>
        <w:rPr/>
      </w:pPr>
      <w:r>
        <w:rPr>
          <w:rStyle w:val="Blk"/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Ответственность за нарушения требований охраны труда и трудового законодательства РФ</w:t>
      </w:r>
    </w:p>
    <w:p>
      <w:pPr>
        <w:pStyle w:val="Normal"/>
        <w:suppressAutoHyphens w:val="true"/>
        <w:spacing w:lineRule="auto" w:line="240"/>
        <w:ind w:left="0" w:right="0" w:hanging="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bidi w:val="0"/>
        <w:spacing w:lineRule="auto" w:line="240"/>
        <w:ind w:left="0" w:right="0" w:firstLine="709"/>
        <w:jc w:val="both"/>
        <w:rPr/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1.2.2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Лица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успешно освоившие программу, должны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уметь: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4"/>
        </w:numPr>
        <w:ind w:left="0" w:right="0" w:firstLine="709"/>
        <w:jc w:val="left"/>
        <w:rPr>
          <w:sz w:val="24"/>
          <w:shd w:fill="auto" w:val="clear"/>
        </w:rPr>
      </w:pPr>
      <w:r>
        <w:rPr>
          <w:sz w:val="24"/>
          <w:shd w:fill="auto" w:val="clear"/>
        </w:rPr>
        <w:t>Организовать и проводить подготовку к безопасному проведению работ и осуществлять непосредственное руководство работами в ОЗП;</w:t>
      </w:r>
    </w:p>
    <w:p>
      <w:pPr>
        <w:pStyle w:val="Normal"/>
        <w:numPr>
          <w:ilvl w:val="0"/>
          <w:numId w:val="4"/>
        </w:numPr>
        <w:ind w:left="0" w:right="0" w:firstLine="709"/>
        <w:jc w:val="left"/>
        <w:rPr>
          <w:sz w:val="24"/>
          <w:shd w:fill="auto" w:val="clear"/>
        </w:rPr>
      </w:pPr>
      <w:r>
        <w:rPr>
          <w:sz w:val="24"/>
          <w:shd w:fill="auto" w:val="clear"/>
        </w:rPr>
        <w:t>Оформлять наряды-допуски;</w:t>
      </w:r>
    </w:p>
    <w:p>
      <w:pPr>
        <w:pStyle w:val="Normal"/>
        <w:numPr>
          <w:ilvl w:val="0"/>
          <w:numId w:val="4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Проводить надзор и контроль над членами бригады в процессе выполнения работ;</w:t>
      </w:r>
    </w:p>
    <w:p>
      <w:pPr>
        <w:pStyle w:val="Normal"/>
        <w:numPr>
          <w:ilvl w:val="0"/>
          <w:numId w:val="4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Использовать оборудование для постоянного контроля рабочей среды;</w:t>
      </w:r>
    </w:p>
    <w:p>
      <w:pPr>
        <w:pStyle w:val="Normal"/>
        <w:numPr>
          <w:ilvl w:val="0"/>
          <w:numId w:val="4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Проводить спасательные мероприятия;</w:t>
      </w:r>
    </w:p>
    <w:p>
      <w:pPr>
        <w:pStyle w:val="Normal"/>
        <w:numPr>
          <w:ilvl w:val="0"/>
          <w:numId w:val="4"/>
        </w:numPr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Организовывать безопасную эвакуацию пострадавших;</w:t>
      </w:r>
    </w:p>
    <w:p>
      <w:pPr>
        <w:pStyle w:val="Normal"/>
        <w:numPr>
          <w:ilvl w:val="0"/>
          <w:numId w:val="4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Правильно применять приборы контроля с определением вредных и опасных факторов среды в ОЗП, средства коллективной и индивидуальной защиты, инструмента, приспособлений и оборудования</w:t>
      </w:r>
    </w:p>
    <w:p>
      <w:pPr>
        <w:pStyle w:val="Normal"/>
        <w:numPr>
          <w:ilvl w:val="0"/>
          <w:numId w:val="4"/>
        </w:numPr>
        <w:ind w:left="0" w:right="0" w:firstLine="709"/>
        <w:jc w:val="left"/>
        <w:rPr>
          <w:sz w:val="24"/>
          <w:shd w:fill="auto" w:val="clear"/>
        </w:rPr>
      </w:pPr>
      <w:r>
        <w:rPr>
          <w:sz w:val="24"/>
          <w:shd w:fill="auto" w:val="clear"/>
        </w:rPr>
        <w:t>Проводить осмотр ОЗП, устанавливать блокировки на люки, на двери входов-выходов, на задвижки и другие механизмы;</w:t>
      </w:r>
    </w:p>
    <w:p>
      <w:pPr>
        <w:pStyle w:val="Normal"/>
        <w:numPr>
          <w:ilvl w:val="0"/>
          <w:numId w:val="4"/>
        </w:numPr>
        <w:ind w:left="0" w:right="0" w:firstLine="709"/>
        <w:jc w:val="both"/>
        <w:rPr>
          <w:sz w:val="24"/>
          <w:shd w:fill="auto" w:val="clear"/>
        </w:rPr>
      </w:pPr>
      <w:r>
        <w:rPr>
          <w:sz w:val="24"/>
          <w:shd w:fill="auto" w:val="clear"/>
        </w:rPr>
        <w:t>Проводить очистку и (или) проветривание ОЗП, анализ оценки загазованности</w:t>
      </w:r>
    </w:p>
    <w:p>
      <w:pPr>
        <w:pStyle w:val="Normal"/>
        <w:numPr>
          <w:ilvl w:val="0"/>
          <w:numId w:val="4"/>
        </w:numPr>
        <w:ind w:left="0" w:right="0" w:firstLine="709"/>
        <w:jc w:val="left"/>
        <w:rPr>
          <w:sz w:val="24"/>
          <w:shd w:fill="auto" w:val="clear"/>
        </w:rPr>
      </w:pPr>
      <w:r>
        <w:rPr>
          <w:sz w:val="24"/>
          <w:shd w:fill="auto" w:val="clear"/>
        </w:rPr>
        <w:t>Осуществлять контроль работоспособности используемого оборудования и средств для осуществления связи (наблюдающие).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Style39"/>
        <w:spacing w:lineRule="auto" w:line="240"/>
        <w:ind w:left="0" w:right="0" w:firstLine="709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1.3. Категория обучающихся</w:t>
      </w:r>
    </w:p>
    <w:p>
      <w:pPr>
        <w:pStyle w:val="Style39"/>
        <w:spacing w:lineRule="auto" w:line="240"/>
        <w:ind w:left="0" w:right="0" w:firstLine="709"/>
        <w:jc w:val="left"/>
        <w:rPr>
          <w:rFonts w:ascii="Times New Roman" w:hAnsi="Times New Roman"/>
          <w:b/>
          <w:b/>
          <w:bCs/>
          <w:sz w:val="24"/>
          <w:szCs w:val="24"/>
          <w:shd w:fill="auto" w:val="clear"/>
          <w:lang w:val="ru-RU"/>
        </w:rPr>
      </w:pPr>
      <w:r>
        <w:rPr>
          <w:b/>
          <w:bCs/>
          <w:sz w:val="24"/>
          <w:szCs w:val="24"/>
          <w:shd w:fill="auto" w:val="clear"/>
          <w:lang w:val="ru-RU"/>
        </w:rPr>
      </w:r>
    </w:p>
    <w:p>
      <w:pPr>
        <w:pStyle w:val="ListParagraph"/>
        <w:numPr>
          <w:ilvl w:val="0"/>
          <w:numId w:val="2"/>
        </w:numPr>
        <w:ind w:left="0" w:right="0" w:firstLine="709"/>
        <w:rPr>
          <w:sz w:val="24"/>
          <w:shd w:fill="auto" w:val="clear"/>
        </w:rPr>
      </w:pPr>
      <w:r>
        <w:rPr>
          <w:sz w:val="24"/>
          <w:shd w:fill="auto" w:val="clear"/>
        </w:rPr>
        <w:t xml:space="preserve">работники, назначаемые работодателем ответственными за организацию и безопасное проведение работ в ОЗП; </w:t>
      </w:r>
    </w:p>
    <w:p>
      <w:pPr>
        <w:pStyle w:val="ListParagraph"/>
        <w:numPr>
          <w:ilvl w:val="0"/>
          <w:numId w:val="2"/>
        </w:numPr>
        <w:ind w:left="0" w:right="0" w:firstLine="709"/>
        <w:rPr>
          <w:sz w:val="24"/>
          <w:shd w:fill="auto" w:val="clear"/>
        </w:rPr>
      </w:pPr>
      <w:r>
        <w:rPr>
          <w:sz w:val="24"/>
          <w:shd w:fill="auto" w:val="clear"/>
        </w:rPr>
        <w:t xml:space="preserve">должностные лица, имеющие право выдавать наряд-допуск; </w:t>
      </w:r>
    </w:p>
    <w:p>
      <w:pPr>
        <w:pStyle w:val="ListParagraph"/>
        <w:numPr>
          <w:ilvl w:val="0"/>
          <w:numId w:val="2"/>
        </w:numPr>
        <w:ind w:left="0" w:right="0" w:firstLine="709"/>
        <w:rPr>
          <w:sz w:val="24"/>
          <w:shd w:fill="auto" w:val="clear"/>
        </w:rPr>
      </w:pPr>
      <w:r>
        <w:rPr>
          <w:sz w:val="24"/>
          <w:shd w:fill="auto" w:val="clear"/>
        </w:rPr>
        <w:t xml:space="preserve">ответственные руководители работ, </w:t>
      </w:r>
    </w:p>
    <w:p>
      <w:pPr>
        <w:pStyle w:val="ListParagraph"/>
        <w:numPr>
          <w:ilvl w:val="0"/>
          <w:numId w:val="2"/>
        </w:numPr>
        <w:ind w:left="0" w:right="0" w:firstLine="709"/>
        <w:rPr>
          <w:rFonts w:eastAsia="Times New Roman" w:cs="Times New Roman"/>
          <w:b w:val="false"/>
          <w:b w:val="false"/>
          <w:bCs w:val="false"/>
          <w:color w:val="000000"/>
          <w:kern w:val="0"/>
          <w:sz w:val="24"/>
          <w:szCs w:val="22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2"/>
          <w:shd w:fill="auto" w:val="clear"/>
          <w:lang w:val="ru-RU" w:eastAsia="ru-RU" w:bidi="ru-RU"/>
        </w:rPr>
        <w:t xml:space="preserve">члены экзаменационной комиссии по проверке знаний, умений и навыков безопасных методов и приемов выполнения работ в ОЗП. </w:t>
      </w:r>
    </w:p>
    <w:p>
      <w:pPr>
        <w:pStyle w:val="ListParagraph"/>
        <w:numPr>
          <w:ilvl w:val="0"/>
          <w:numId w:val="2"/>
        </w:numPr>
        <w:ind w:left="0" w:right="0" w:firstLine="709"/>
        <w:rPr>
          <w:b w:val="false"/>
          <w:b w:val="false"/>
          <w:bCs w:val="false"/>
          <w:sz w:val="24"/>
          <w:szCs w:val="24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работники, достигшие возраста восемнадцати лет и и не имеющие медицинских противопоказаний.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b/>
          <w:b/>
          <w:bCs/>
          <w:sz w:val="24"/>
          <w:szCs w:val="24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1.4.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/>
      </w:pP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32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b/>
          <w:b/>
          <w:bCs/>
          <w:sz w:val="24"/>
          <w:szCs w:val="24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1.5.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b w:val="false"/>
          <w:b w:val="false"/>
          <w:bCs w:val="false"/>
          <w:sz w:val="24"/>
          <w:szCs w:val="24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Очная, очно-заочная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z w:val="24"/>
          <w:szCs w:val="24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1.6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после завершения обучения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безопасным  методам и приемам выполнения работ  повышенной опасности в ограниченных и замкнутых пространствах (ОЗП) работников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val="en-US" w:eastAsia="ru-RU"/>
        </w:rPr>
        <w:t xml:space="preserve"> 3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группы 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 xml:space="preserve">соответствующим работам </w:t>
      </w:r>
      <w:r>
        <w:rPr>
          <w:rStyle w:val="FontStyle20"/>
          <w:b w:val="false"/>
          <w:bCs w:val="false"/>
          <w:i w:val="false"/>
          <w:sz w:val="24"/>
          <w:szCs w:val="24"/>
          <w:shd w:fill="auto" w:val="clear"/>
          <w:lang w:eastAsia="ru-RU"/>
        </w:rPr>
        <w:t>в ограниченных и замкнутых пространствах</w:t>
      </w:r>
      <w:r>
        <w:rPr>
          <w:b w:val="false"/>
          <w:bCs w:val="false"/>
          <w:sz w:val="24"/>
          <w:szCs w:val="24"/>
          <w:shd w:fill="auto" w:val="clear"/>
        </w:rPr>
        <w:t>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z w:val="24"/>
          <w:szCs w:val="24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1.7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b/>
          <w:b/>
          <w:bCs/>
          <w:shd w:fill="auto" w:val="clear"/>
        </w:rPr>
      </w:pPr>
      <w:r>
        <w:rPr>
          <w:b/>
          <w:bCs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4-6 ак часа в день с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/>
          <w:b/>
          <w:bCs/>
          <w:color w:val="000000"/>
          <w:sz w:val="24"/>
          <w:szCs w:val="24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1.8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/>
          <w:b/>
          <w:bCs/>
          <w:color w:val="auto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eastAsia="Times New Roman" w:cs="Times New Roman"/>
          <w:b w:val="false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Учебный план</w:t>
      </w:r>
    </w:p>
    <w:tbl>
      <w:tblPr>
        <w:tblW w:w="5000" w:type="pct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2"/>
        <w:gridCol w:w="1228"/>
        <w:gridCol w:w="1698"/>
        <w:gridCol w:w="1699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 w:cs="Mangal;Courier Std"/>
                <w:b/>
                <w:b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 w:cs="Mangal;Courier Std"/>
                <w:b/>
                <w:b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п/п</w:t>
            </w:r>
          </w:p>
        </w:tc>
        <w:tc>
          <w:tcPr>
            <w:tcW w:w="2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eastAsia="Calibri"/>
                <w:b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Темы</w:t>
            </w:r>
          </w:p>
        </w:tc>
        <w:tc>
          <w:tcPr>
            <w:tcW w:w="63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b/>
                <w:b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трудоемкость</w:t>
            </w:r>
          </w:p>
        </w:tc>
        <w:tc>
          <w:tcPr>
            <w:tcW w:w="5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занятия (лекции)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Практи-ческие (лабора-торные) 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Промежуточная аттестация/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eastAsia="Calibri"/>
          <w:b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2.2 Календарный учебный график.</w:t>
      </w:r>
    </w:p>
    <w:tbl>
      <w:tblPr>
        <w:tblW w:w="10241" w:type="dxa"/>
        <w:jc w:val="left"/>
        <w:tblInd w:w="-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578"/>
        <w:gridCol w:w="1877"/>
        <w:gridCol w:w="738"/>
        <w:gridCol w:w="880"/>
        <w:gridCol w:w="881"/>
        <w:gridCol w:w="894"/>
        <w:gridCol w:w="888"/>
        <w:gridCol w:w="869"/>
        <w:gridCol w:w="892"/>
        <w:gridCol w:w="883"/>
        <w:gridCol w:w="861"/>
      </w:tblGrid>
      <w:tr>
        <w:trPr>
          <w:trHeight w:val="319" w:hRule="atLeast"/>
        </w:trPr>
        <w:tc>
          <w:tcPr>
            <w:tcW w:w="57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Номер п/п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Темы</w:t>
            </w:r>
          </w:p>
        </w:tc>
        <w:tc>
          <w:tcPr>
            <w:tcW w:w="73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Всего, час.</w:t>
            </w:r>
          </w:p>
        </w:tc>
        <w:tc>
          <w:tcPr>
            <w:tcW w:w="704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b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578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38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ru-RU"/>
              </w:rPr>
              <w:t>7</w:t>
            </w:r>
          </w:p>
        </w:tc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 w:bidi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 w:bidi="ru-RU"/>
              </w:rPr>
              <w:t>8</w:t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color w:val="000000"/>
                <w:sz w:val="24"/>
                <w:szCs w:val="24"/>
                <w:lang w:val="en-US" w:eastAsia="ru-RU"/>
              </w:rPr>
            </w:pPr>
            <w:r>
              <w:rPr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/>
            </w:pPr>
            <w:r>
              <w:rPr>
                <w:bCs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Проверка знаний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eastAsia="Lucida Sans Unicode" w:cs="Mangal;Courier Std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val="en-US" w:eastAsia="ru-RU" w:bidi="hi-IN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val="en-US" w:eastAsia="ru-RU" w:bidi="hi-IN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ИТОГО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/>
        <w:suppressAutoHyphens w:val="false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tbl>
      <w:tblPr>
        <w:tblW w:w="10255" w:type="dxa"/>
        <w:jc w:val="left"/>
        <w:tblInd w:w="-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0255"/>
      </w:tblGrid>
      <w:tr>
        <w:trPr/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Тема</w:t>
            </w:r>
          </w:p>
        </w:tc>
      </w:tr>
      <w:tr>
        <w:trPr>
          <w:trHeight w:val="567" w:hRule="exact"/>
        </w:trPr>
        <w:tc>
          <w:tcPr>
            <w:tcW w:w="10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left="0" w:right="0" w:hanging="0"/>
              <w:jc w:val="left"/>
              <w:outlineLvl w:val="0"/>
              <w:rPr>
                <w:b w:val="false"/>
                <w:b w:val="false"/>
                <w:bCs w:val="false"/>
                <w:sz w:val="24"/>
                <w:szCs w:val="24"/>
                <w:lang w:bidi="ar-SA"/>
              </w:rPr>
            </w:pPr>
            <w:r>
              <w:rPr>
                <w:b w:val="false"/>
                <w:bCs w:val="false"/>
                <w:sz w:val="24"/>
                <w:szCs w:val="24"/>
                <w:lang w:bidi="ar-SA"/>
              </w:rPr>
              <w:t>Требования безопасности при организации производства работ в ограниченных и замкнутых пространствах для работников 3 группы</w:t>
            </w:r>
          </w:p>
        </w:tc>
      </w:tr>
      <w:tr>
        <w:trPr>
          <w:trHeight w:val="567" w:hRule="exact"/>
        </w:trPr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left="0" w:right="0" w:hanging="0"/>
              <w:jc w:val="left"/>
              <w:outlineLvl w:val="1"/>
              <w:rPr>
                <w:b w:val="false"/>
                <w:b w:val="false"/>
                <w:bCs w:val="false"/>
                <w:color w:val="000000"/>
                <w:sz w:val="24"/>
                <w:szCs w:val="24"/>
                <w:lang w:bidi="ar-SA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  <w:lang w:bidi="ar-SA"/>
              </w:rPr>
              <w:t>Требования безопасности при выполнении работ в ограниченных и замкнутых пространствах для работников 3 группы</w:t>
            </w:r>
          </w:p>
        </w:tc>
      </w:tr>
      <w:tr>
        <w:trPr>
          <w:trHeight w:val="567" w:hRule="exact"/>
        </w:trPr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left" w:pos="426" w:leader="none"/>
              </w:tabs>
              <w:jc w:val="left"/>
              <w:rPr>
                <w:rFonts w:eastAsia="Calibri" w:cs="Times New Roman"/>
                <w:b w:val="false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Несчастные случаи на производстве</w:t>
            </w:r>
          </w:p>
        </w:tc>
      </w:tr>
      <w:tr>
        <w:trPr>
          <w:trHeight w:val="567" w:hRule="exact"/>
        </w:trPr>
        <w:tc>
          <w:tcPr>
            <w:tcW w:w="10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tabs>
                <w:tab w:val="clear" w:pos="720"/>
                <w:tab w:val="left" w:pos="426" w:leader="none"/>
              </w:tabs>
              <w:jc w:val="left"/>
              <w:rPr>
                <w:rFonts w:eastAsia="Times New Roman" w:cs="Times New Roman"/>
                <w:b w:val="false"/>
                <w:b w:val="false"/>
                <w:bCs w:val="false"/>
                <w:color w:val="auto"/>
                <w:kern w:val="0"/>
                <w:sz w:val="24"/>
                <w:szCs w:val="22"/>
                <w:lang w:val="ru-RU" w:eastAsia="ru-RU" w:bidi="ru-RU"/>
              </w:rPr>
            </w:pPr>
            <w:r>
              <w:rPr>
                <w:rFonts w:eastAsia="Times New Roman" w:cs="Times New Roman"/>
                <w:b w:val="false"/>
                <w:bCs w:val="false"/>
                <w:color w:val="auto"/>
                <w:kern w:val="0"/>
                <w:sz w:val="24"/>
                <w:szCs w:val="22"/>
                <w:lang w:val="ru-RU" w:eastAsia="ru-RU" w:bidi="ru-RU"/>
              </w:rPr>
              <w:t>Организационно-правовые аспекты оказания первой помощи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55" w:type="dxa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0255"/>
      </w:tblGrid>
      <w:tr>
        <w:trPr/>
        <w:tc>
          <w:tcPr>
            <w:tcW w:w="10255" w:type="dxa"/>
            <w:tcBorders/>
          </w:tcPr>
          <w:p>
            <w:pPr>
              <w:pStyle w:val="Default"/>
              <w:keepNext w:val="tru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eastAsia="Times New Roman" w:cs="Times New Roman"/>
                <w:b/>
                <w:b/>
                <w:bCs/>
                <w:color w:val="000000"/>
                <w:kern w:val="2"/>
                <w:sz w:val="24"/>
                <w:szCs w:val="24"/>
                <w:lang w:val="ru-RU" w:eastAsia="zh-CN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ru-RU" w:eastAsia="zh-CN" w:bidi="ar-SA"/>
              </w:rPr>
            </w:r>
          </w:p>
        </w:tc>
      </w:tr>
    </w:tbl>
    <w:p>
      <w:pPr>
        <w:pStyle w:val="Default"/>
        <w:widowControl/>
        <w:suppressAutoHyphens w:val="false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Default"/>
        <w:spacing w:before="0" w:after="0"/>
        <w:ind w:left="0" w:right="0" w:hanging="0"/>
        <w:jc w:val="center"/>
        <w:rPr>
          <w:rStyle w:val="C0"/>
          <w:b w:val="false"/>
          <w:b w:val="false"/>
          <w:bCs w:val="false"/>
          <w:sz w:val="24"/>
          <w:szCs w:val="24"/>
          <w:u w:val="none"/>
          <w:shd w:fill="auto" w:val="clear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qFormat/>
    <w:pPr>
      <w:numPr>
        <w:ilvl w:val="0"/>
        <w:numId w:val="0"/>
      </w:num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mbria" w:hAnsi="Cambria" w:eastAsia="Cambria" w:cs="Cambria"/>
      <w:color w:val="365F91"/>
      <w:sz w:val="26"/>
      <w:szCs w:val="26"/>
    </w:rPr>
  </w:style>
  <w:style w:type="paragraph" w:styleId="3">
    <w:name w:val="Heading 3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qFormat/>
    <w:pPr>
      <w:keepNext w:val="true"/>
      <w:keepLines/>
      <w:numPr>
        <w:ilvl w:val="0"/>
        <w:numId w:val="0"/>
      </w:numPr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>
    <w:name w:val="Default Paragraph Font"/>
    <w:qFormat/>
    <w:rPr/>
  </w:style>
  <w:style w:type="character" w:styleId="11">
    <w:name w:val="Заголовок 1 Знак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sz w:val="34"/>
    </w:rPr>
  </w:style>
  <w:style w:type="character" w:styleId="31">
    <w:name w:val="Заголовок 3 Знак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41">
    <w:name w:val="Заголовок 4 Знак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51">
    <w:name w:val="Заголовок 5 Знак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61">
    <w:name w:val="Заголовок 6 Знак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71">
    <w:name w:val="Заголовок 7 Знак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>
    <w:name w:val="Заголовок 8 Знак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91">
    <w:name w:val="Заголовок 9 Знак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Style5">
    <w:name w:val="Название Знак"/>
    <w:basedOn w:val="DefaultParagraphFont"/>
    <w:qFormat/>
    <w:rPr>
      <w:sz w:val="48"/>
      <w:szCs w:val="48"/>
    </w:rPr>
  </w:style>
  <w:style w:type="character" w:styleId="Style6">
    <w:name w:val="Подзаголовок Знак"/>
    <w:basedOn w:val="DefaultParagraphFont"/>
    <w:qFormat/>
    <w:rPr>
      <w:sz w:val="24"/>
      <w:szCs w:val="24"/>
    </w:rPr>
  </w:style>
  <w:style w:type="character" w:styleId="21">
    <w:name w:val="Цитата 2 Знак"/>
    <w:qFormat/>
    <w:rPr>
      <w:i/>
    </w:rPr>
  </w:style>
  <w:style w:type="character" w:styleId="Style7">
    <w:name w:val="Выделенная цитата Знак"/>
    <w:qFormat/>
    <w:rPr>
      <w:i/>
    </w:rPr>
  </w:style>
  <w:style w:type="character" w:styleId="Style8">
    <w:name w:val="Верхний колонтитул Знак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Style9">
    <w:name w:val="Нижний колонтитул Знак"/>
    <w:qFormat/>
    <w:rPr/>
  </w:style>
  <w:style w:type="character" w:styleId="Style10">
    <w:name w:val="Интернет-ссылка"/>
    <w:rPr>
      <w:color w:val="0000FF"/>
      <w:u w:val="single"/>
    </w:rPr>
  </w:style>
  <w:style w:type="character" w:styleId="Style11">
    <w:name w:val="Текст сноски Знак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Style13">
    <w:name w:val="Текст концевой сноски Знак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qFormat/>
    <w:rPr>
      <w:vertAlign w:val="superscript"/>
    </w:rPr>
  </w:style>
  <w:style w:type="character" w:styleId="22">
    <w:name w:val="Заголовок 2 Знак"/>
    <w:basedOn w:val="DefaultParagraphFont"/>
    <w:qFormat/>
    <w:rPr>
      <w:rFonts w:ascii="Cambria" w:hAnsi="Cambria" w:eastAsia="Cambria" w:cs="Cambria"/>
      <w:color w:val="365F91"/>
      <w:sz w:val="26"/>
      <w:szCs w:val="26"/>
      <w:lang w:val="ru-RU" w:eastAsia="ru-RU" w:bidi="ru-RU"/>
    </w:rPr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character" w:styleId="Blk">
    <w:name w:val="blk"/>
    <w:basedOn w:val="Style17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fill="F2F2F2" w:val="clear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qFormat/>
    <w:pPr>
      <w:spacing w:lineRule="auto" w:line="276"/>
    </w:pPr>
    <w:rPr>
      <w:b/>
      <w:bCs/>
      <w:color w:val="4F81BD"/>
      <w:sz w:val="18"/>
      <w:szCs w:val="18"/>
    </w:rPr>
  </w:style>
  <w:style w:type="paragraph" w:styleId="Style30">
    <w:name w:val="Footnote Text"/>
    <w:basedOn w:val="Normal"/>
    <w:pPr>
      <w:spacing w:before="0" w:after="40"/>
    </w:pPr>
    <w:rPr>
      <w:sz w:val="18"/>
    </w:rPr>
  </w:style>
  <w:style w:type="paragraph" w:styleId="Style31">
    <w:name w:val="Endnote Text"/>
    <w:basedOn w:val="Normal"/>
    <w:pPr/>
    <w:rPr>
      <w:sz w:val="20"/>
    </w:rPr>
  </w:style>
  <w:style w:type="paragraph" w:styleId="13">
    <w:name w:val="TOC 1"/>
    <w:basedOn w:val="Normal"/>
    <w:pPr>
      <w:spacing w:before="0" w:after="57"/>
    </w:pPr>
    <w:rPr/>
  </w:style>
  <w:style w:type="paragraph" w:styleId="24">
    <w:name w:val="TOC 2"/>
    <w:basedOn w:val="Normal"/>
    <w:pPr>
      <w:spacing w:before="0" w:after="57"/>
      <w:ind w:left="283" w:right="0" w:hanging="0"/>
    </w:pPr>
    <w:rPr/>
  </w:style>
  <w:style w:type="paragraph" w:styleId="32">
    <w:name w:val="TOC 3"/>
    <w:basedOn w:val="Normal"/>
    <w:pPr>
      <w:spacing w:before="0" w:after="57"/>
      <w:ind w:left="567" w:right="0" w:hanging="0"/>
    </w:pPr>
    <w:rPr/>
  </w:style>
  <w:style w:type="paragraph" w:styleId="42">
    <w:name w:val="TOC 4"/>
    <w:basedOn w:val="Normal"/>
    <w:pPr>
      <w:spacing w:before="0" w:after="57"/>
      <w:ind w:left="850" w:right="0" w:hanging="0"/>
    </w:pPr>
    <w:rPr/>
  </w:style>
  <w:style w:type="paragraph" w:styleId="52">
    <w:name w:val="TOC 5"/>
    <w:basedOn w:val="Normal"/>
    <w:pPr>
      <w:spacing w:before="0" w:after="57"/>
      <w:ind w:left="1134" w:right="0" w:hanging="0"/>
    </w:pPr>
    <w:rPr/>
  </w:style>
  <w:style w:type="paragraph" w:styleId="62">
    <w:name w:val="TOC 6"/>
    <w:basedOn w:val="Normal"/>
    <w:pPr>
      <w:spacing w:before="0" w:after="57"/>
      <w:ind w:left="1417" w:right="0" w:hanging="0"/>
    </w:pPr>
    <w:rPr/>
  </w:style>
  <w:style w:type="paragraph" w:styleId="72">
    <w:name w:val="TOC 7"/>
    <w:basedOn w:val="Normal"/>
    <w:pPr>
      <w:spacing w:before="0" w:after="57"/>
      <w:ind w:left="1701" w:right="0" w:hanging="0"/>
    </w:pPr>
    <w:rPr/>
  </w:style>
  <w:style w:type="paragraph" w:styleId="82">
    <w:name w:val="TOC 8"/>
    <w:basedOn w:val="Normal"/>
    <w:pPr>
      <w:spacing w:before="0" w:after="57"/>
      <w:ind w:left="1984" w:right="0" w:hanging="0"/>
    </w:pPr>
    <w:rPr/>
  </w:style>
  <w:style w:type="paragraph" w:styleId="92">
    <w:name w:val="TOC 9"/>
    <w:basedOn w:val="Normal"/>
    <w:pPr>
      <w:spacing w:before="0" w:after="57"/>
      <w:ind w:left="2268" w:right="0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qFormat/>
    <w:pPr/>
    <w:rPr/>
  </w:style>
  <w:style w:type="paragraph" w:styleId="ListParagraph">
    <w:name w:val="List Paragraph"/>
    <w:basedOn w:val="Normal"/>
    <w:qFormat/>
    <w:pPr>
      <w:ind w:left="118" w:right="108" w:hanging="0"/>
      <w:jc w:val="both"/>
    </w:pPr>
    <w:rPr/>
  </w:style>
  <w:style w:type="paragraph" w:styleId="TableParagraph">
    <w:name w:val="Table Paragraph"/>
    <w:basedOn w:val="Normal"/>
    <w:qFormat/>
    <w:pPr/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right="0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right="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left="0" w:right="0"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kinsoku w:val="true"/>
      <w:overflowPunct w:val="true"/>
      <w:autoSpaceDE w:val="tru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Application>LibreOffice/7.3.4.2$Windows_X86_64 LibreOffice_project/728fec16bd5f605073805c3c9e7c4212a0120dc5</Application>
  <AppVersion>15.0000</AppVersion>
  <Pages>3</Pages>
  <Words>769</Words>
  <Characters>5033</Characters>
  <CharactersWithSpaces>5672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2026-05-28T08:32:37Z</cp:lastPrinted>
  <dcterms:modified xsi:type="dcterms:W3CDTF">2026-05-28T11:02:55Z</dcterms:modified>
  <cp:revision>135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