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39"/>
        <w:spacing w:lineRule="auto" w:line="240"/>
        <w:ind w:left="0" w:right="0" w:hanging="0"/>
        <w:jc w:val="center"/>
        <w:rPr/>
      </w:pPr>
      <w:r>
        <w:rPr>
          <w:rStyle w:val="FontStyle20"/>
          <w:b/>
          <w:bCs/>
          <w:sz w:val="24"/>
          <w:szCs w:val="24"/>
          <w:lang w:eastAsia="ru-RU"/>
        </w:rPr>
        <w:t xml:space="preserve">1. </w:t>
      </w:r>
      <w:r>
        <w:rPr>
          <w:rStyle w:val="FontStyle20"/>
          <w:rFonts w:eastAsia="Lucida Sans Unicode"/>
          <w:b/>
          <w:bCs/>
          <w:color w:val="000000"/>
          <w:kern w:val="2"/>
          <w:sz w:val="24"/>
          <w:szCs w:val="24"/>
          <w:lang w:eastAsia="ru-RU" w:bidi="hi-IN"/>
        </w:rPr>
        <w:t>ПОЯСНИТЕЛЬНАЯ ЗАПИСКА</w:t>
      </w:r>
    </w:p>
    <w:p>
      <w:pPr>
        <w:pStyle w:val="Normal"/>
        <w:spacing w:lineRule="auto" w:line="240"/>
        <w:ind w:left="0" w:right="0" w:firstLine="709"/>
        <w:jc w:val="left"/>
        <w:rPr>
          <w:rFonts w:ascii="Times New Roman" w:hAnsi="Times New Roman"/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lineRule="auto" w:line="240"/>
        <w:ind w:left="0" w:right="0" w:firstLine="709"/>
        <w:jc w:val="both"/>
        <w:rPr/>
      </w:pPr>
      <w:r>
        <w:rPr>
          <w:rStyle w:val="FontStyle20"/>
          <w:b w:val="false"/>
          <w:bCs w:val="false"/>
          <w:sz w:val="24"/>
          <w:szCs w:val="24"/>
          <w:shd w:fill="auto" w:val="clear"/>
          <w:lang w:eastAsia="ru-RU"/>
        </w:rPr>
        <w:t xml:space="preserve">Дополнительная общеразвивающая программа обучения безопасные  методы и приемы выполнения работ  повышенной опасности в ограниченных и замкнутых пространствах (ОЗП) работников 3 группы </w:t>
      </w:r>
      <w:r>
        <w:rPr>
          <w:rStyle w:val="FontStyle20"/>
          <w:b w:val="false"/>
          <w:bCs w:val="false"/>
          <w:sz w:val="24"/>
          <w:szCs w:val="24"/>
          <w:shd w:fill="auto" w:val="clear"/>
          <w:vertAlign w:val="superscript"/>
          <w:lang w:eastAsia="ru-RU"/>
        </w:rPr>
        <w:t xml:space="preserve"> </w:t>
      </w:r>
      <w:r>
        <w:rPr>
          <w:rStyle w:val="FontStyle20"/>
          <w:b w:val="false"/>
          <w:bCs w:val="false"/>
          <w:sz w:val="24"/>
          <w:szCs w:val="24"/>
          <w:shd w:fill="auto" w:val="clear"/>
          <w:lang w:eastAsia="ru-RU"/>
        </w:rPr>
        <w:t>(далее-Программа) предназначена для приобретения слушателями  необходимых знаний, умений, навыков по охране труда для их применения в практической деятельности в области охраны труда с целью обеспечения профилактических мер по сокращению производственного травматизма и профессиональных заболеваний.</w:t>
      </w:r>
    </w:p>
    <w:p>
      <w:pPr>
        <w:pStyle w:val="Style39"/>
        <w:spacing w:lineRule="auto" w:line="240"/>
        <w:ind w:left="0" w:right="0" w:firstLine="709"/>
        <w:jc w:val="both"/>
        <w:rPr/>
      </w:pPr>
      <w:r>
        <w:rPr>
          <w:rStyle w:val="FontStyle20"/>
          <w:sz w:val="24"/>
          <w:szCs w:val="24"/>
          <w:shd w:fill="auto" w:val="clear"/>
          <w:lang w:eastAsia="ru-RU"/>
        </w:rPr>
        <w:t>Программа  разработана на основе:</w:t>
      </w:r>
    </w:p>
    <w:p>
      <w:pPr>
        <w:pStyle w:val="Style39"/>
        <w:spacing w:lineRule="auto" w:line="240"/>
        <w:ind w:left="0" w:right="0" w:firstLine="709"/>
        <w:jc w:val="both"/>
        <w:rPr/>
      </w:pPr>
      <w:r>
        <w:rPr>
          <w:rStyle w:val="FontStyle20"/>
          <w:sz w:val="24"/>
          <w:szCs w:val="24"/>
          <w:shd w:fill="auto" w:val="clear"/>
          <w:lang w:eastAsia="ru-RU"/>
        </w:rPr>
        <w:t>1. Трудового кодекса Российской Федерации от 30.12.</w:t>
      </w:r>
      <w:r>
        <w:rPr>
          <w:rStyle w:val="FontStyle20"/>
          <w:sz w:val="24"/>
          <w:szCs w:val="24"/>
          <w:shd w:fill="auto" w:val="clear"/>
          <w:lang w:val="en-US" w:eastAsia="ru-RU"/>
        </w:rPr>
        <w:t xml:space="preserve">2001 </w:t>
      </w:r>
      <w:r>
        <w:rPr>
          <w:rStyle w:val="FontStyle20"/>
          <w:sz w:val="24"/>
          <w:szCs w:val="24"/>
          <w:shd w:fill="auto" w:val="clear"/>
          <w:lang w:eastAsia="ru-RU"/>
        </w:rPr>
        <w:t>№197-ФЗ (ред. от 29.12.2025г            с изм от 06.02.2026);</w:t>
      </w:r>
    </w:p>
    <w:p>
      <w:pPr>
        <w:pStyle w:val="Style39"/>
        <w:spacing w:lineRule="auto" w:line="240"/>
        <w:ind w:left="0" w:right="0" w:firstLine="709"/>
        <w:jc w:val="both"/>
        <w:rPr/>
      </w:pPr>
      <w:r>
        <w:rPr>
          <w:rStyle w:val="FontStyle20"/>
          <w:rFonts w:cs="Times New Roman"/>
          <w:strike w:val="false"/>
          <w:dstrike w:val="false"/>
          <w:sz w:val="24"/>
          <w:szCs w:val="24"/>
          <w:shd w:fill="auto" w:val="clear"/>
          <w:lang w:val="ru-RU" w:eastAsia="ru-RU"/>
        </w:rPr>
        <w:t>2. Постановления Правительства РФ  от 24.12.2021. № 2464 «О порядке обучения по охране труда и проверки знания требований охраны труда»</w:t>
      </w:r>
      <w:r>
        <w:rPr>
          <w:rStyle w:val="FontStyle20"/>
          <w:strike w:val="false"/>
          <w:dstrike w:val="false"/>
          <w:sz w:val="24"/>
          <w:szCs w:val="24"/>
          <w:shd w:fill="auto" w:val="clear"/>
          <w:lang w:val="ru-RU" w:eastAsia="ru-RU"/>
        </w:rPr>
        <w:t>;</w:t>
      </w:r>
    </w:p>
    <w:p>
      <w:pPr>
        <w:pStyle w:val="Style39"/>
        <w:spacing w:lineRule="auto" w:line="240"/>
        <w:ind w:left="0" w:right="0" w:firstLine="709"/>
        <w:jc w:val="both"/>
        <w:rPr/>
      </w:pPr>
      <w:r>
        <w:rPr>
          <w:rStyle w:val="FontStyle20"/>
          <w:strike w:val="false"/>
          <w:dstrike w:val="false"/>
          <w:sz w:val="24"/>
          <w:szCs w:val="24"/>
          <w:shd w:fill="auto" w:val="clear"/>
          <w:lang w:val="ru-RU" w:eastAsia="ru-RU"/>
        </w:rPr>
        <w:t>3. Федерального закона от 29 декабря 2012г. №273-ФЗ «Об образовании в Российской Федерации»;</w:t>
      </w:r>
    </w:p>
    <w:p>
      <w:pPr>
        <w:pStyle w:val="Style39"/>
        <w:spacing w:lineRule="auto" w:line="240"/>
        <w:ind w:left="0" w:right="0" w:firstLine="709"/>
        <w:jc w:val="both"/>
        <w:rPr/>
      </w:pPr>
      <w:r>
        <w:rPr>
          <w:rStyle w:val="FontStyle20"/>
          <w:strike w:val="false"/>
          <w:dstrike w:val="false"/>
          <w:sz w:val="24"/>
          <w:szCs w:val="24"/>
          <w:shd w:fill="auto" w:val="clear"/>
          <w:lang w:val="ru-RU" w:eastAsia="ru-RU"/>
        </w:rPr>
        <w:t xml:space="preserve">4. </w:t>
      </w:r>
      <w:r>
        <w:rPr>
          <w:rStyle w:val="FontStyle20"/>
          <w:rFonts w:eastAsia="Times New Roman" w:cs="Times New Roman"/>
          <w:b w:val="false"/>
          <w:bCs w:val="false"/>
          <w:strike w:val="false"/>
          <w:dstrike w:val="false"/>
          <w:color w:val="000000"/>
          <w:kern w:val="0"/>
          <w:sz w:val="24"/>
          <w:szCs w:val="24"/>
          <w:shd w:fill="auto" w:val="clear"/>
          <w:lang w:val="ru-RU" w:eastAsia="ru-RU" w:bidi="ru-RU"/>
        </w:rPr>
        <w:t>Приказа Минтруда России от 15.12.2020 № 902н «Об утверждении Правил по охране труда при работе в ограниченных и замкнутых пространствах»;</w:t>
      </w:r>
    </w:p>
    <w:p>
      <w:pPr>
        <w:pStyle w:val="Style39"/>
        <w:spacing w:lineRule="auto" w:line="240"/>
        <w:ind w:left="0" w:right="0" w:firstLine="709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Программа обучения учитывает специфику вида деятельности организации, трудовые функции работников.</w:t>
      </w:r>
    </w:p>
    <w:p>
      <w:pPr>
        <w:pStyle w:val="Style39"/>
        <w:spacing w:lineRule="auto" w:line="240"/>
        <w:ind w:left="0" w:right="0" w:firstLine="709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Актуализация программы обучения требованиям охраны труда осуществляется в следующих случаях:</w:t>
      </w:r>
    </w:p>
    <w:p>
      <w:pPr>
        <w:pStyle w:val="Style39"/>
        <w:spacing w:lineRule="auto" w:line="240"/>
        <w:ind w:left="0" w:right="0" w:firstLine="709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- вступление в силу нормативных правовых актов, содержащих государственные нормативные требования охраны труда;</w:t>
      </w:r>
    </w:p>
    <w:p>
      <w:pPr>
        <w:pStyle w:val="Style39"/>
        <w:spacing w:lineRule="auto" w:line="240"/>
        <w:ind w:left="0" w:right="0" w:firstLine="709"/>
        <w:jc w:val="both"/>
        <w:rPr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  <w:t xml:space="preserve">- </w:t>
      </w:r>
      <w:r>
        <w:rPr>
          <w:b w:val="false"/>
          <w:bCs w:val="false"/>
          <w:sz w:val="24"/>
          <w:szCs w:val="24"/>
          <w:shd w:fill="auto" w:val="clear"/>
        </w:rPr>
        <w:t>ввод в эксплуатацию нового вида оборудования, инструментов и приспособлений, введение новых технологических процессов, а также использование нового вида сырья и материалов, требующих дополнительных знаний по охране труда у работников.</w:t>
      </w:r>
    </w:p>
    <w:p>
      <w:pPr>
        <w:pStyle w:val="Normal"/>
        <w:jc w:val="center"/>
        <w:rPr>
          <w:rFonts w:ascii="Times New Roman" w:hAnsi="Times New Roman"/>
          <w:b/>
          <w:b/>
          <w:sz w:val="24"/>
          <w:szCs w:val="24"/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</w:r>
    </w:p>
    <w:p>
      <w:pPr>
        <w:pStyle w:val="Style51"/>
        <w:spacing w:lineRule="auto" w:line="240"/>
        <w:ind w:left="0" w:right="0" w:firstLine="567"/>
        <w:jc w:val="both"/>
        <w:rPr/>
      </w:pPr>
      <w:r>
        <w:rPr>
          <w:rStyle w:val="FontStyle22"/>
          <w:sz w:val="24"/>
          <w:szCs w:val="24"/>
          <w:shd w:fill="auto" w:val="clear"/>
          <w:lang w:eastAsia="ru-RU"/>
        </w:rPr>
        <w:t>1.1. Цель и планируемые результаты обучения</w:t>
      </w:r>
    </w:p>
    <w:p>
      <w:pPr>
        <w:pStyle w:val="Style51"/>
        <w:spacing w:lineRule="auto" w:line="240"/>
        <w:ind w:left="0" w:right="0" w:firstLine="567"/>
        <w:jc w:val="both"/>
        <w:rPr>
          <w:rFonts w:ascii="Times New Roman" w:hAnsi="Times New Roman"/>
          <w:sz w:val="12"/>
          <w:szCs w:val="12"/>
          <w:highlight w:val="none"/>
          <w:shd w:fill="auto" w:val="clear"/>
        </w:rPr>
      </w:pPr>
      <w:r>
        <w:rPr>
          <w:sz w:val="12"/>
          <w:szCs w:val="12"/>
          <w:shd w:fill="auto" w:val="clear"/>
        </w:rPr>
      </w:r>
    </w:p>
    <w:p>
      <w:pPr>
        <w:pStyle w:val="Style51"/>
        <w:spacing w:lineRule="auto" w:line="240"/>
        <w:ind w:left="0" w:right="0" w:firstLine="709"/>
        <w:jc w:val="both"/>
        <w:rPr/>
      </w:pPr>
      <w:r>
        <w:rPr>
          <w:rStyle w:val="FontStyle20"/>
          <w:b w:val="false"/>
          <w:bCs w:val="false"/>
          <w:i w:val="false"/>
          <w:color w:val="000000"/>
          <w:kern w:val="0"/>
          <w:sz w:val="24"/>
          <w:szCs w:val="24"/>
          <w:shd w:fill="auto" w:val="clear"/>
          <w:lang w:val="ru-RU" w:eastAsia="ru-RU" w:bidi="ru-RU"/>
        </w:rPr>
        <w:t>Обучение по охране труда и проверка знания требований охраны труда относятся к профилактическим мероприятиям по охране труда, направленных на предотвращение случаев производственного травматизма и профессиональных заболеваний, снижение их последствий и  являются специализированным процессом получения знаний, умений и навыков.</w:t>
      </w:r>
    </w:p>
    <w:p>
      <w:pPr>
        <w:pStyle w:val="Norm"/>
        <w:bidi w:val="0"/>
        <w:spacing w:lineRule="auto" w:line="240"/>
        <w:ind w:left="0" w:right="0" w:firstLine="567"/>
        <w:jc w:val="both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Norm"/>
        <w:bidi w:val="0"/>
        <w:spacing w:lineRule="auto" w:line="240"/>
        <w:ind w:left="0" w:right="0" w:firstLine="567"/>
        <w:jc w:val="both"/>
        <w:rPr/>
      </w:pPr>
      <w:r>
        <w:rPr>
          <w:rStyle w:val="FontStyle22"/>
          <w:i w:val="false"/>
          <w:kern w:val="0"/>
          <w:sz w:val="24"/>
          <w:szCs w:val="24"/>
          <w:shd w:fill="auto" w:val="clear"/>
          <w:lang w:val="ru-RU" w:eastAsia="ru-RU" w:bidi="ru-RU"/>
        </w:rPr>
        <w:t>1.2. Планируемые результаты обучения</w:t>
      </w:r>
    </w:p>
    <w:p>
      <w:pPr>
        <w:pStyle w:val="Norm"/>
        <w:bidi w:val="0"/>
        <w:spacing w:lineRule="auto" w:line="240"/>
        <w:ind w:left="0" w:right="0" w:hanging="0"/>
        <w:jc w:val="both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Norm"/>
        <w:widowControl/>
        <w:suppressAutoHyphens w:val="true"/>
        <w:bidi w:val="0"/>
        <w:spacing w:lineRule="auto" w:line="240" w:before="0" w:after="0"/>
        <w:ind w:left="0" w:right="0" w:firstLine="567"/>
        <w:jc w:val="left"/>
        <w:rPr/>
      </w:pPr>
      <w:r>
        <w:rPr>
          <w:rFonts w:eastAsia="Times New Roman" w:cs="Times New Roman"/>
          <w:b/>
          <w:bCs/>
          <w:color w:val="000000"/>
          <w:kern w:val="0"/>
          <w:sz w:val="24"/>
          <w:szCs w:val="24"/>
          <w:shd w:fill="auto" w:val="clear"/>
          <w:lang w:val="ru-RU" w:eastAsia="ru-RU" w:bidi="ru-RU"/>
        </w:rPr>
        <w:t xml:space="preserve">1.2.1 </w:t>
      </w:r>
      <w:r>
        <w:rPr>
          <w:rFonts w:eastAsia="Times New Roman" w:cs="Times New Roman"/>
          <w:b w:val="false"/>
          <w:bCs w:val="false"/>
          <w:color w:val="000000"/>
          <w:kern w:val="0"/>
          <w:sz w:val="24"/>
          <w:szCs w:val="24"/>
          <w:shd w:fill="auto" w:val="clear"/>
          <w:lang w:val="ru-RU" w:eastAsia="ru-RU" w:bidi="ru-RU"/>
        </w:rPr>
        <w:t>Лица, успешно освоившие программу, должны знать:</w:t>
      </w:r>
    </w:p>
    <w:p>
      <w:pPr>
        <w:pStyle w:val="Norm"/>
        <w:bidi w:val="0"/>
        <w:spacing w:lineRule="auto" w:line="240"/>
        <w:ind w:left="0" w:right="0" w:firstLine="709"/>
        <w:jc w:val="both"/>
        <w:rPr>
          <w:rFonts w:eastAsia="Times New Roman" w:cs="Times New Roman"/>
          <w:b/>
          <w:b/>
          <w:bCs/>
          <w:color w:val="000000"/>
          <w:kern w:val="0"/>
          <w:sz w:val="24"/>
          <w:szCs w:val="24"/>
          <w:shd w:fill="auto" w:val="clear"/>
          <w:lang w:val="ru-RU" w:eastAsia="ru-RU" w:bidi="ru-RU"/>
        </w:rPr>
      </w:pPr>
      <w:r>
        <w:rPr>
          <w:rFonts w:eastAsia="Times New Roman" w:cs="Times New Roman"/>
          <w:b/>
          <w:bCs/>
          <w:color w:val="000000"/>
          <w:kern w:val="0"/>
          <w:sz w:val="24"/>
          <w:szCs w:val="24"/>
          <w:shd w:fill="auto" w:val="clear"/>
          <w:lang w:val="ru-RU" w:eastAsia="ru-RU" w:bidi="ru-RU"/>
        </w:rPr>
      </w:r>
    </w:p>
    <w:p>
      <w:pPr>
        <w:pStyle w:val="Normal"/>
        <w:numPr>
          <w:ilvl w:val="0"/>
          <w:numId w:val="2"/>
        </w:numPr>
        <w:ind w:left="0" w:right="0" w:firstLine="709"/>
        <w:jc w:val="both"/>
        <w:rPr/>
      </w:pPr>
      <w:r>
        <w:rPr>
          <w:sz w:val="24"/>
          <w:shd w:fill="auto" w:val="clear"/>
        </w:rPr>
        <w:t>Законы и иные нормативные акты, регламентирующие вопросы по охране труда при работе в ОЗП;</w:t>
      </w:r>
    </w:p>
    <w:p>
      <w:pPr>
        <w:pStyle w:val="Normal"/>
        <w:numPr>
          <w:ilvl w:val="0"/>
          <w:numId w:val="2"/>
        </w:numPr>
        <w:ind w:left="0" w:right="0" w:firstLine="709"/>
        <w:jc w:val="both"/>
        <w:rPr/>
      </w:pPr>
      <w:r>
        <w:rPr>
          <w:sz w:val="24"/>
          <w:shd w:fill="auto" w:val="clear"/>
        </w:rPr>
        <w:t>Опасности и риски в ОЗП и методы их распознавания;</w:t>
      </w:r>
    </w:p>
    <w:p>
      <w:pPr>
        <w:pStyle w:val="Normal"/>
        <w:numPr>
          <w:ilvl w:val="0"/>
          <w:numId w:val="2"/>
        </w:numPr>
        <w:ind w:left="0" w:right="0" w:firstLine="709"/>
        <w:jc w:val="both"/>
        <w:rPr/>
      </w:pPr>
      <w:r>
        <w:rPr>
          <w:sz w:val="24"/>
          <w:shd w:fill="auto" w:val="clear"/>
        </w:rPr>
        <w:t>Методы эвакуации и спасения в ОЗП ;</w:t>
      </w:r>
    </w:p>
    <w:p>
      <w:pPr>
        <w:pStyle w:val="Normal"/>
        <w:numPr>
          <w:ilvl w:val="0"/>
          <w:numId w:val="2"/>
        </w:numPr>
        <w:ind w:left="0" w:right="0" w:firstLine="709"/>
        <w:jc w:val="both"/>
        <w:rPr/>
      </w:pPr>
      <w:r>
        <w:rPr>
          <w:sz w:val="24"/>
          <w:shd w:fill="auto" w:val="clear"/>
        </w:rPr>
        <w:t>Методы осмотра ОЗП;</w:t>
      </w:r>
    </w:p>
    <w:p>
      <w:pPr>
        <w:pStyle w:val="Normal"/>
        <w:numPr>
          <w:ilvl w:val="0"/>
          <w:numId w:val="2"/>
        </w:numPr>
        <w:ind w:left="0" w:right="0" w:firstLine="709"/>
        <w:jc w:val="both"/>
        <w:rPr/>
      </w:pPr>
      <w:r>
        <w:rPr>
          <w:sz w:val="24"/>
          <w:shd w:fill="auto" w:val="clear"/>
        </w:rPr>
        <w:t>Методы применения средств индивидуальной защиты органов дыхания, в том числе дыхательных аппаратов;</w:t>
      </w:r>
    </w:p>
    <w:p>
      <w:pPr>
        <w:pStyle w:val="Normal"/>
        <w:numPr>
          <w:ilvl w:val="0"/>
          <w:numId w:val="2"/>
        </w:numPr>
        <w:ind w:left="0" w:right="0" w:firstLine="709"/>
        <w:jc w:val="both"/>
        <w:rPr/>
      </w:pPr>
      <w:r>
        <w:rPr>
          <w:sz w:val="24"/>
          <w:shd w:fill="auto" w:val="clear"/>
        </w:rPr>
        <w:t>Сценарии спасения и эвакуации;</w:t>
      </w:r>
    </w:p>
    <w:p>
      <w:pPr>
        <w:pStyle w:val="Normal"/>
        <w:numPr>
          <w:ilvl w:val="0"/>
          <w:numId w:val="2"/>
        </w:numPr>
        <w:ind w:left="0" w:right="0" w:firstLine="709"/>
        <w:jc w:val="left"/>
        <w:rPr/>
      </w:pPr>
      <w:r>
        <w:rPr>
          <w:sz w:val="24"/>
          <w:shd w:fill="auto" w:val="clear"/>
        </w:rPr>
        <w:t>План производства работ и прочие необходимые организационно-технические документы, необходимые для выполнения работ в ОЗП;</w:t>
      </w:r>
    </w:p>
    <w:p>
      <w:pPr>
        <w:pStyle w:val="Normal"/>
        <w:numPr>
          <w:ilvl w:val="0"/>
          <w:numId w:val="2"/>
        </w:numPr>
        <w:ind w:left="0" w:right="0" w:firstLine="709"/>
        <w:jc w:val="both"/>
        <w:rPr/>
      </w:pPr>
      <w:r>
        <w:rPr>
          <w:sz w:val="24"/>
          <w:shd w:fill="auto" w:val="clear"/>
        </w:rPr>
        <w:t>Порядок расследования несчастных случаев на производстве и проф. заболеваний;</w:t>
      </w:r>
    </w:p>
    <w:p>
      <w:pPr>
        <w:pStyle w:val="Normal"/>
        <w:numPr>
          <w:ilvl w:val="0"/>
          <w:numId w:val="2"/>
        </w:numPr>
        <w:ind w:left="0" w:right="0" w:firstLine="709"/>
        <w:jc w:val="both"/>
        <w:rPr/>
      </w:pPr>
      <w:r>
        <w:rPr>
          <w:rStyle w:val="Blk"/>
          <w:rFonts w:eastAsia="Times New Roman" w:cs="Times New Roman"/>
          <w:b w:val="false"/>
          <w:bCs w:val="false"/>
          <w:color w:val="000000"/>
          <w:kern w:val="0"/>
          <w:sz w:val="24"/>
          <w:szCs w:val="24"/>
          <w:shd w:fill="auto" w:val="clear"/>
          <w:lang w:val="ru-RU" w:eastAsia="ru-RU" w:bidi="ru-RU"/>
        </w:rPr>
        <w:t>Ответственность за нарушения требований охраны труда и трудового законодательства РФ</w:t>
      </w:r>
    </w:p>
    <w:p>
      <w:pPr>
        <w:pStyle w:val="Normal"/>
        <w:suppressAutoHyphens w:val="true"/>
        <w:spacing w:lineRule="auto" w:line="240"/>
        <w:ind w:left="0" w:right="0" w:hanging="0"/>
        <w:jc w:val="both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highlight w:val="none"/>
          <w:shd w:fill="auto" w:val="clear"/>
          <w:lang w:val="ru-RU" w:eastAsia="ru-RU" w:bidi="ru-RU"/>
        </w:rPr>
      </w:pPr>
      <w:r>
        <w:rPr>
          <w:rFonts w:eastAsia="Times New Roman" w:cs="Times New Roman"/>
          <w:color w:val="000000"/>
          <w:kern w:val="0"/>
          <w:sz w:val="24"/>
          <w:szCs w:val="24"/>
          <w:shd w:fill="auto" w:val="clear"/>
          <w:lang w:val="ru-RU" w:eastAsia="ru-RU" w:bidi="ru-RU"/>
        </w:rPr>
      </w:r>
    </w:p>
    <w:p>
      <w:pPr>
        <w:pStyle w:val="Norm"/>
        <w:bidi w:val="0"/>
        <w:spacing w:lineRule="auto" w:line="240"/>
        <w:ind w:left="0" w:right="0" w:firstLine="709"/>
        <w:jc w:val="both"/>
        <w:rPr>
          <w:b/>
          <w:b/>
          <w:bCs/>
        </w:rPr>
      </w:pPr>
      <w:r>
        <w:rPr>
          <w:rFonts w:eastAsia="Times New Roman" w:cs="Times New Roman"/>
          <w:b/>
          <w:bCs/>
          <w:color w:val="000000"/>
          <w:kern w:val="0"/>
          <w:sz w:val="24"/>
          <w:szCs w:val="24"/>
          <w:shd w:fill="auto" w:val="clear"/>
          <w:lang w:val="ru-RU" w:eastAsia="ru-RU" w:bidi="ru-RU"/>
        </w:rPr>
        <w:t>1.2.2</w:t>
      </w:r>
      <w:r>
        <w:rPr>
          <w:rFonts w:eastAsia="Times New Roman" w:cs="Times New Roman"/>
          <w:b w:val="false"/>
          <w:bCs w:val="false"/>
          <w:color w:val="000000"/>
          <w:kern w:val="0"/>
          <w:sz w:val="24"/>
          <w:szCs w:val="24"/>
          <w:shd w:fill="auto" w:val="clear"/>
          <w:lang w:val="ru-RU" w:eastAsia="ru-RU" w:bidi="ru-RU"/>
        </w:rPr>
        <w:t xml:space="preserve"> Лица</w:t>
      </w:r>
      <w:r>
        <w:rPr>
          <w:rFonts w:eastAsia="Times New Roman" w:cs="Times New Roman"/>
          <w:b/>
          <w:bCs/>
          <w:color w:val="000000"/>
          <w:kern w:val="0"/>
          <w:sz w:val="24"/>
          <w:szCs w:val="24"/>
          <w:shd w:fill="auto" w:val="clear"/>
          <w:lang w:val="ru-RU" w:eastAsia="ru-RU" w:bidi="ru-RU"/>
        </w:rPr>
        <w:t xml:space="preserve">, </w:t>
      </w:r>
      <w:r>
        <w:rPr>
          <w:rFonts w:eastAsia="Times New Roman" w:cs="Times New Roman"/>
          <w:b w:val="false"/>
          <w:bCs w:val="false"/>
          <w:color w:val="000000"/>
          <w:kern w:val="0"/>
          <w:sz w:val="24"/>
          <w:szCs w:val="24"/>
          <w:shd w:fill="auto" w:val="clear"/>
          <w:lang w:val="ru-RU" w:eastAsia="ru-RU" w:bidi="ru-RU"/>
        </w:rPr>
        <w:t>успешно освоившие программу, должны</w:t>
      </w:r>
      <w:r>
        <w:rPr>
          <w:rFonts w:eastAsia="Times New Roman" w:cs="Times New Roman"/>
          <w:b/>
          <w:bCs/>
          <w:color w:val="000000"/>
          <w:kern w:val="0"/>
          <w:sz w:val="24"/>
          <w:szCs w:val="24"/>
          <w:shd w:fill="auto" w:val="clear"/>
          <w:lang w:val="ru-RU" w:eastAsia="ru-RU" w:bidi="ru-RU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kern w:val="0"/>
          <w:sz w:val="24"/>
          <w:szCs w:val="24"/>
          <w:shd w:fill="auto" w:val="clear"/>
          <w:lang w:val="ru-RU" w:eastAsia="ru-RU" w:bidi="ru-RU"/>
        </w:rPr>
        <w:t>уметь:</w:t>
      </w:r>
    </w:p>
    <w:p>
      <w:pPr>
        <w:pStyle w:val="Norm"/>
        <w:bidi w:val="0"/>
        <w:spacing w:lineRule="auto" w:line="240"/>
        <w:ind w:left="0" w:right="0" w:firstLine="709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numPr>
          <w:ilvl w:val="0"/>
          <w:numId w:val="3"/>
        </w:numPr>
        <w:ind w:left="0" w:right="0" w:firstLine="709"/>
        <w:jc w:val="left"/>
        <w:rPr/>
      </w:pPr>
      <w:r>
        <w:rPr>
          <w:sz w:val="24"/>
          <w:shd w:fill="auto" w:val="clear"/>
        </w:rPr>
        <w:t>Организовать и проводить подготовку к безопасному проведению работ и осуществлять непосредственное руководство работами в ОЗП;</w:t>
      </w:r>
    </w:p>
    <w:p>
      <w:pPr>
        <w:pStyle w:val="Normal"/>
        <w:numPr>
          <w:ilvl w:val="0"/>
          <w:numId w:val="3"/>
        </w:numPr>
        <w:ind w:left="0" w:right="0" w:firstLine="709"/>
        <w:jc w:val="left"/>
        <w:rPr/>
      </w:pPr>
      <w:r>
        <w:rPr>
          <w:sz w:val="24"/>
          <w:shd w:fill="auto" w:val="clear"/>
        </w:rPr>
        <w:t>Оформлять наряды-допуски;</w:t>
      </w:r>
    </w:p>
    <w:p>
      <w:pPr>
        <w:pStyle w:val="Normal"/>
        <w:numPr>
          <w:ilvl w:val="0"/>
          <w:numId w:val="3"/>
        </w:numPr>
        <w:ind w:left="0" w:right="0" w:firstLine="709"/>
        <w:jc w:val="both"/>
        <w:rPr/>
      </w:pPr>
      <w:r>
        <w:rPr>
          <w:sz w:val="24"/>
          <w:shd w:fill="auto" w:val="clear"/>
        </w:rPr>
        <w:t>Проводить надзор и контроль над членами бригады в процессе выполнения работ;</w:t>
      </w:r>
    </w:p>
    <w:p>
      <w:pPr>
        <w:pStyle w:val="Normal"/>
        <w:numPr>
          <w:ilvl w:val="0"/>
          <w:numId w:val="3"/>
        </w:numPr>
        <w:ind w:left="0" w:right="0" w:firstLine="709"/>
        <w:jc w:val="both"/>
        <w:rPr/>
      </w:pPr>
      <w:r>
        <w:rPr>
          <w:sz w:val="24"/>
          <w:shd w:fill="auto" w:val="clear"/>
        </w:rPr>
        <w:t>Использовать оборудование для постоянного контроля рабочей среды;</w:t>
      </w:r>
    </w:p>
    <w:p>
      <w:pPr>
        <w:pStyle w:val="Normal"/>
        <w:numPr>
          <w:ilvl w:val="0"/>
          <w:numId w:val="3"/>
        </w:numPr>
        <w:ind w:left="0" w:right="0" w:firstLine="709"/>
        <w:jc w:val="both"/>
        <w:rPr/>
      </w:pPr>
      <w:r>
        <w:rPr>
          <w:sz w:val="24"/>
          <w:shd w:fill="auto" w:val="clear"/>
        </w:rPr>
        <w:t>Проводить спасательные мероприятия;</w:t>
      </w:r>
    </w:p>
    <w:p>
      <w:pPr>
        <w:pStyle w:val="Normal"/>
        <w:numPr>
          <w:ilvl w:val="0"/>
          <w:numId w:val="3"/>
        </w:numPr>
        <w:ind w:left="0" w:right="0" w:firstLine="709"/>
        <w:jc w:val="both"/>
        <w:rPr/>
      </w:pPr>
      <w:r>
        <w:rPr>
          <w:rFonts w:eastAsia="Times New Roman" w:cs="Times New Roman"/>
          <w:b w:val="false"/>
          <w:bCs w:val="false"/>
          <w:color w:val="000000"/>
          <w:kern w:val="0"/>
          <w:sz w:val="24"/>
          <w:szCs w:val="24"/>
          <w:shd w:fill="auto" w:val="clear"/>
          <w:lang w:val="ru-RU" w:eastAsia="ru-RU" w:bidi="ru-RU"/>
        </w:rPr>
        <w:t>Организовывать безопасную эвакуацию пострадавших;</w:t>
      </w:r>
    </w:p>
    <w:p>
      <w:pPr>
        <w:pStyle w:val="Normal"/>
        <w:numPr>
          <w:ilvl w:val="0"/>
          <w:numId w:val="3"/>
        </w:numPr>
        <w:ind w:left="0" w:right="0" w:firstLine="709"/>
        <w:jc w:val="both"/>
        <w:rPr/>
      </w:pPr>
      <w:r>
        <w:rPr>
          <w:sz w:val="24"/>
          <w:shd w:fill="auto" w:val="clear"/>
        </w:rPr>
        <w:t>Правильно применять приборы контроля с определением вредных и опасных факторов среды в ОЗП, средства коллективной и индивидуальной защиты, инструмента, приспособлений и оборудования</w:t>
      </w:r>
    </w:p>
    <w:p>
      <w:pPr>
        <w:pStyle w:val="Normal"/>
        <w:numPr>
          <w:ilvl w:val="0"/>
          <w:numId w:val="3"/>
        </w:numPr>
        <w:ind w:left="0" w:right="0" w:firstLine="709"/>
        <w:jc w:val="left"/>
        <w:rPr/>
      </w:pPr>
      <w:r>
        <w:rPr>
          <w:sz w:val="24"/>
          <w:shd w:fill="auto" w:val="clear"/>
        </w:rPr>
        <w:t>Проводить осмотр ОЗП, устанавливать блокировки на люки, на двери входов-выходов, на задвижки и другие механизмы;</w:t>
      </w:r>
    </w:p>
    <w:p>
      <w:pPr>
        <w:pStyle w:val="Normal"/>
        <w:numPr>
          <w:ilvl w:val="0"/>
          <w:numId w:val="3"/>
        </w:numPr>
        <w:ind w:left="0" w:right="0" w:firstLine="709"/>
        <w:jc w:val="both"/>
        <w:rPr/>
      </w:pPr>
      <w:r>
        <w:rPr>
          <w:sz w:val="24"/>
          <w:shd w:fill="auto" w:val="clear"/>
        </w:rPr>
        <w:t>Проводить очистку и (или) проветривание ОЗП, анализ оценки загазованности</w:t>
      </w:r>
    </w:p>
    <w:p>
      <w:pPr>
        <w:pStyle w:val="Normal"/>
        <w:numPr>
          <w:ilvl w:val="0"/>
          <w:numId w:val="3"/>
        </w:numPr>
        <w:ind w:left="0" w:right="0" w:firstLine="709"/>
        <w:jc w:val="left"/>
        <w:rPr/>
      </w:pPr>
      <w:r>
        <w:rPr>
          <w:sz w:val="24"/>
          <w:shd w:fill="auto" w:val="clear"/>
        </w:rPr>
        <w:t>Осуществлять контроль работоспособности используемого оборудования и средств для осуществления связи (наблюдающие).</w:t>
      </w:r>
    </w:p>
    <w:p>
      <w:pPr>
        <w:pStyle w:val="Normal"/>
        <w:spacing w:lineRule="auto" w:line="240"/>
        <w:ind w:left="0" w:right="0" w:firstLine="709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kern w:val="0"/>
          <w:sz w:val="24"/>
          <w:szCs w:val="24"/>
          <w:highlight w:val="none"/>
          <w:shd w:fill="auto" w:val="clear"/>
          <w:lang w:val="ru-RU" w:eastAsia="ru-RU" w:bidi="ru-RU"/>
        </w:rPr>
      </w:pPr>
      <w:r>
        <w:rPr>
          <w:rFonts w:eastAsia="Times New Roman" w:cs="Times New Roman"/>
          <w:b w:val="false"/>
          <w:bCs w:val="false"/>
          <w:color w:val="000000"/>
          <w:kern w:val="0"/>
          <w:sz w:val="24"/>
          <w:szCs w:val="24"/>
          <w:shd w:fill="auto" w:val="clear"/>
          <w:lang w:val="ru-RU" w:eastAsia="ru-RU" w:bidi="ru-RU"/>
        </w:rPr>
      </w:r>
    </w:p>
    <w:p>
      <w:pPr>
        <w:pStyle w:val="Style39"/>
        <w:spacing w:lineRule="auto" w:line="240"/>
        <w:ind w:left="0" w:right="0" w:firstLine="709"/>
        <w:jc w:val="left"/>
        <w:rPr/>
      </w:pPr>
      <w:r>
        <w:rPr>
          <w:rStyle w:val="FontStyle20"/>
          <w:rFonts w:eastAsia="Times New Roman" w:cs="Times New Roman"/>
          <w:b/>
          <w:bCs/>
          <w:color w:val="000000"/>
          <w:kern w:val="0"/>
          <w:sz w:val="24"/>
          <w:szCs w:val="24"/>
          <w:shd w:fill="auto" w:val="clear"/>
          <w:lang w:val="ru-RU" w:eastAsia="ru-RU" w:bidi="ru-RU"/>
        </w:rPr>
        <w:t>1.3. Категория обучающихся</w:t>
      </w:r>
    </w:p>
    <w:p>
      <w:pPr>
        <w:pStyle w:val="Style39"/>
        <w:spacing w:lineRule="auto" w:line="240"/>
        <w:ind w:left="0" w:right="0" w:firstLine="709"/>
        <w:jc w:val="left"/>
        <w:rPr>
          <w:rFonts w:ascii="Times New Roman" w:hAnsi="Times New Roman"/>
          <w:b/>
          <w:b/>
          <w:bCs/>
          <w:sz w:val="24"/>
          <w:szCs w:val="24"/>
          <w:highlight w:val="none"/>
          <w:shd w:fill="auto" w:val="clear"/>
          <w:lang w:val="ru-RU"/>
        </w:rPr>
      </w:pPr>
      <w:r>
        <w:rPr>
          <w:b/>
          <w:bCs/>
          <w:sz w:val="24"/>
          <w:szCs w:val="24"/>
          <w:shd w:fill="auto" w:val="clear"/>
          <w:lang w:val="ru-RU"/>
        </w:rPr>
      </w:r>
    </w:p>
    <w:p>
      <w:pPr>
        <w:pStyle w:val="ListParagraph"/>
        <w:numPr>
          <w:ilvl w:val="0"/>
          <w:numId w:val="1"/>
        </w:numPr>
        <w:ind w:left="0" w:right="0" w:firstLine="709"/>
        <w:rPr/>
      </w:pPr>
      <w:r>
        <w:rPr>
          <w:sz w:val="24"/>
          <w:shd w:fill="auto" w:val="clear"/>
        </w:rPr>
        <w:t xml:space="preserve">работники, назначаемые работодателем ответственными за организацию и безопасное проведение работ в ОЗП; </w:t>
      </w:r>
    </w:p>
    <w:p>
      <w:pPr>
        <w:pStyle w:val="ListParagraph"/>
        <w:numPr>
          <w:ilvl w:val="0"/>
          <w:numId w:val="1"/>
        </w:numPr>
        <w:ind w:left="0" w:right="0" w:firstLine="709"/>
        <w:rPr/>
      </w:pPr>
      <w:r>
        <w:rPr>
          <w:sz w:val="24"/>
          <w:shd w:fill="auto" w:val="clear"/>
        </w:rPr>
        <w:t xml:space="preserve">должностные лица, имеющие право выдавать наряд-допуск; </w:t>
      </w:r>
    </w:p>
    <w:p>
      <w:pPr>
        <w:pStyle w:val="ListParagraph"/>
        <w:numPr>
          <w:ilvl w:val="0"/>
          <w:numId w:val="1"/>
        </w:numPr>
        <w:ind w:left="0" w:right="0" w:firstLine="709"/>
        <w:rPr/>
      </w:pPr>
      <w:r>
        <w:rPr>
          <w:sz w:val="24"/>
          <w:shd w:fill="auto" w:val="clear"/>
        </w:rPr>
        <w:t xml:space="preserve">ответственные руководители работ, </w:t>
      </w:r>
    </w:p>
    <w:p>
      <w:pPr>
        <w:pStyle w:val="ListParagraph"/>
        <w:numPr>
          <w:ilvl w:val="0"/>
          <w:numId w:val="1"/>
        </w:numPr>
        <w:ind w:left="0" w:right="0" w:firstLine="709"/>
        <w:rPr/>
      </w:pPr>
      <w:r>
        <w:rPr>
          <w:rFonts w:eastAsia="Times New Roman" w:cs="Times New Roman"/>
          <w:b w:val="false"/>
          <w:bCs w:val="false"/>
          <w:color w:val="000000"/>
          <w:kern w:val="0"/>
          <w:sz w:val="24"/>
          <w:szCs w:val="22"/>
          <w:shd w:fill="auto" w:val="clear"/>
          <w:lang w:val="ru-RU" w:eastAsia="ru-RU" w:bidi="ru-RU"/>
        </w:rPr>
        <w:t xml:space="preserve">члены экзаменационной комиссии по проверке знаний, умений и навыков безопасных методов и приемов выполнения работ в ОЗП. </w:t>
      </w:r>
    </w:p>
    <w:p>
      <w:pPr>
        <w:pStyle w:val="ListParagraph"/>
        <w:numPr>
          <w:ilvl w:val="0"/>
          <w:numId w:val="1"/>
        </w:numPr>
        <w:ind w:left="0" w:right="0" w:firstLine="709"/>
        <w:rPr/>
      </w:pPr>
      <w:r>
        <w:rPr>
          <w:b w:val="false"/>
          <w:bCs w:val="false"/>
          <w:sz w:val="24"/>
          <w:szCs w:val="24"/>
          <w:shd w:fill="auto" w:val="clear"/>
        </w:rPr>
        <w:t>работники, достигшие возраста восемнадцати лет и и не имеющие медицинских противопоказаний.</w:t>
      </w:r>
    </w:p>
    <w:p>
      <w:pPr>
        <w:pStyle w:val="Normal"/>
        <w:jc w:val="center"/>
        <w:rPr>
          <w:rFonts w:ascii="Times New Roman" w:hAnsi="Times New Roman"/>
          <w:b/>
          <w:b/>
          <w:sz w:val="24"/>
          <w:szCs w:val="24"/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rPr>
          <w:highlight w:val="none"/>
          <w:shd w:fill="auto" w:val="clear"/>
        </w:rPr>
      </w:pPr>
      <w:r>
        <w:rPr>
          <w:b/>
          <w:bCs/>
          <w:sz w:val="24"/>
          <w:szCs w:val="24"/>
          <w:shd w:fill="auto" w:val="clear"/>
        </w:rPr>
        <w:t>1.4. Объём. Срок обучения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left"/>
        <w:rPr>
          <w:highlight w:val="none"/>
          <w:shd w:fill="auto" w:val="clear"/>
        </w:rPr>
      </w:pPr>
      <w:r>
        <w:rPr>
          <w:b w:val="false"/>
          <w:bCs w:val="false"/>
          <w:sz w:val="24"/>
          <w:szCs w:val="24"/>
          <w:shd w:fill="auto" w:val="clear"/>
          <w:lang w:val="en-US"/>
        </w:rPr>
        <w:t xml:space="preserve">32 </w:t>
      </w:r>
      <w:r>
        <w:rPr>
          <w:b w:val="false"/>
          <w:bCs w:val="false"/>
          <w:sz w:val="24"/>
          <w:szCs w:val="24"/>
          <w:shd w:fill="auto" w:val="clear"/>
          <w:lang w:val="ru-RU"/>
        </w:rPr>
        <w:t>ак. часа</w:t>
      </w:r>
    </w:p>
    <w:p>
      <w:pPr>
        <w:pStyle w:val="Normal"/>
        <w:jc w:val="center"/>
        <w:rPr>
          <w:rFonts w:ascii="Times New Roman" w:hAnsi="Times New Roman"/>
          <w:b/>
          <w:b/>
          <w:sz w:val="24"/>
          <w:szCs w:val="24"/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left"/>
        <w:rPr>
          <w:highlight w:val="none"/>
          <w:shd w:fill="auto" w:val="clear"/>
        </w:rPr>
      </w:pPr>
      <w:r>
        <w:rPr>
          <w:b/>
          <w:bCs/>
          <w:sz w:val="24"/>
          <w:szCs w:val="24"/>
          <w:shd w:fill="auto" w:val="clear"/>
        </w:rPr>
        <w:t>1.5. Форма обучения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  <w:highlight w:val="none"/>
          <w:shd w:fill="auto" w:val="clear"/>
        </w:rPr>
      </w:pPr>
      <w:r>
        <w:rPr>
          <w:b w:val="false"/>
          <w:bCs w:val="false"/>
          <w:sz w:val="24"/>
          <w:szCs w:val="24"/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left"/>
        <w:rPr>
          <w:highlight w:val="none"/>
          <w:shd w:fill="auto" w:val="clear"/>
        </w:rPr>
      </w:pPr>
      <w:r>
        <w:rPr>
          <w:b w:val="false"/>
          <w:bCs w:val="false"/>
          <w:sz w:val="24"/>
          <w:szCs w:val="24"/>
          <w:shd w:fill="auto" w:val="clear"/>
        </w:rPr>
        <w:t>Очная.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  <w:highlight w:val="none"/>
          <w:shd w:fill="auto" w:val="clear"/>
        </w:rPr>
      </w:pPr>
      <w:r>
        <w:rPr>
          <w:b w:val="false"/>
          <w:bCs w:val="false"/>
          <w:sz w:val="24"/>
          <w:szCs w:val="24"/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highlight w:val="none"/>
          <w:shd w:fill="auto" w:val="clear"/>
        </w:rPr>
      </w:pPr>
      <w:r>
        <w:rPr>
          <w:b/>
          <w:bCs/>
          <w:sz w:val="24"/>
          <w:szCs w:val="24"/>
          <w:shd w:fill="auto" w:val="clear"/>
        </w:rPr>
        <w:t>1.6 Форма проведения проверки знания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/>
          <w:b/>
          <w:b/>
          <w:bCs/>
          <w:sz w:val="24"/>
          <w:szCs w:val="24"/>
          <w:highlight w:val="none"/>
          <w:shd w:fill="auto" w:val="clear"/>
        </w:rPr>
      </w:pPr>
      <w:r>
        <w:rPr>
          <w:b/>
          <w:bCs/>
          <w:sz w:val="24"/>
          <w:szCs w:val="24"/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/>
      </w:pPr>
      <w:r>
        <w:rPr>
          <w:b w:val="false"/>
          <w:bCs w:val="false"/>
          <w:sz w:val="24"/>
          <w:szCs w:val="24"/>
          <w:shd w:fill="auto" w:val="clear"/>
        </w:rPr>
        <w:t xml:space="preserve">Обучение работников требованиям охраны труда заканчивается проверкой знания требований охраны труда. Результаты проверки знания требований охраны труда после завершения обучения </w:t>
      </w:r>
      <w:r>
        <w:rPr>
          <w:rStyle w:val="FontStyle20"/>
          <w:b w:val="false"/>
          <w:bCs w:val="false"/>
          <w:sz w:val="24"/>
          <w:szCs w:val="24"/>
          <w:shd w:fill="auto" w:val="clear"/>
          <w:lang w:eastAsia="ru-RU"/>
        </w:rPr>
        <w:t>безопасным  методам и приемам выполнения работ  повышенной опасности в ограниченных и замкнутых пространствах (ОЗП) работников</w:t>
      </w:r>
      <w:r>
        <w:rPr>
          <w:rStyle w:val="FontStyle20"/>
          <w:b w:val="false"/>
          <w:bCs w:val="false"/>
          <w:sz w:val="24"/>
          <w:szCs w:val="24"/>
          <w:shd w:fill="auto" w:val="clear"/>
          <w:lang w:val="en-US" w:eastAsia="ru-RU"/>
        </w:rPr>
        <w:t xml:space="preserve"> 3 </w:t>
      </w:r>
      <w:r>
        <w:rPr>
          <w:rStyle w:val="FontStyle20"/>
          <w:b w:val="false"/>
          <w:bCs w:val="false"/>
          <w:sz w:val="24"/>
          <w:szCs w:val="24"/>
          <w:shd w:fill="auto" w:val="clear"/>
          <w:lang w:eastAsia="ru-RU"/>
        </w:rPr>
        <w:t xml:space="preserve">группы  </w:t>
      </w:r>
      <w:r>
        <w:rPr>
          <w:b w:val="false"/>
          <w:bCs w:val="false"/>
          <w:sz w:val="24"/>
          <w:szCs w:val="24"/>
          <w:shd w:fill="auto" w:val="clear"/>
        </w:rPr>
        <w:t xml:space="preserve">оформляются протоколом проверки знания требований охраны труда, согласно требованиям «О порядке обучения по охране труда и проверки знания требований охраны труда», утвержденного Постановлением Правительства РФ от 24.12.2021 №2464, с внесением в единую общероссийскую информационно-справочную систему по охране труда (ЕИСОТ) и выдачей удостоверения о допуске к  </w:t>
      </w:r>
      <w:r>
        <w:rPr>
          <w:b w:val="false"/>
          <w:bCs w:val="false"/>
          <w:i w:val="false"/>
          <w:sz w:val="24"/>
          <w:szCs w:val="24"/>
          <w:shd w:fill="auto" w:val="clear"/>
        </w:rPr>
        <w:t xml:space="preserve">соответствующим работам </w:t>
      </w:r>
      <w:r>
        <w:rPr>
          <w:rStyle w:val="FontStyle20"/>
          <w:b w:val="false"/>
          <w:bCs w:val="false"/>
          <w:i w:val="false"/>
          <w:sz w:val="24"/>
          <w:szCs w:val="24"/>
          <w:shd w:fill="auto" w:val="clear"/>
          <w:lang w:eastAsia="ru-RU"/>
        </w:rPr>
        <w:t>в ограниченных и замкнутых пространствах</w:t>
      </w:r>
      <w:r>
        <w:rPr>
          <w:b w:val="false"/>
          <w:bCs w:val="false"/>
          <w:sz w:val="24"/>
          <w:szCs w:val="24"/>
          <w:shd w:fill="auto" w:val="clear"/>
        </w:rPr>
        <w:t>.</w:t>
      </w:r>
    </w:p>
    <w:p>
      <w:pPr>
        <w:pStyle w:val="Normal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highlight w:val="none"/>
          <w:shd w:fill="auto" w:val="clear"/>
        </w:rPr>
      </w:pPr>
      <w:r>
        <w:rPr>
          <w:b/>
          <w:bCs/>
          <w:sz w:val="24"/>
          <w:szCs w:val="24"/>
          <w:shd w:fill="auto" w:val="clear"/>
        </w:rPr>
        <w:t>1.7 Режим занятий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b/>
          <w:b/>
          <w:bCs/>
          <w:highlight w:val="none"/>
          <w:shd w:fill="auto" w:val="clear"/>
        </w:rPr>
      </w:pPr>
      <w:r>
        <w:rPr>
          <w:b/>
          <w:bCs/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highlight w:val="none"/>
          <w:shd w:fill="auto" w:val="clear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  <w:t>4-6 ак часа в день с отрывом от работы в соответствии с расписанием занятий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highlight w:val="none"/>
          <w:shd w:fill="auto" w:val="clear"/>
        </w:rPr>
      </w:pPr>
      <w:r>
        <w:rPr>
          <w:rFonts w:eastAsia="Times New Roman" w:cs="Times New Roman"/>
          <w:b/>
          <w:bCs/>
          <w:color w:val="000000"/>
          <w:sz w:val="24"/>
          <w:szCs w:val="24"/>
          <w:shd w:fill="auto" w:val="clear"/>
          <w:lang w:val="ru-RU" w:eastAsia="zh-CN" w:bidi="ar-SA"/>
        </w:rPr>
        <w:t>1.8 Организация, реализующая программу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eastAsia="Times New Roman" w:cs="Times New Roman"/>
          <w:b/>
          <w:b/>
          <w:bCs/>
          <w:color w:val="auto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/>
          <w:bCs/>
          <w:color w:val="000000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highlight w:val="none"/>
          <w:shd w:fill="auto" w:val="clear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  <w:t>АНО ДПО «ПУЦ»</w:t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b/>
          <w:bCs/>
          <w:sz w:val="24"/>
          <w:szCs w:val="24"/>
        </w:rPr>
        <w:t>2. СОДЕРЖАНИЕ ПРОГРАММЫ</w:t>
      </w:r>
    </w:p>
    <w:p>
      <w:pPr>
        <w:pStyle w:val="Normal"/>
        <w:jc w:val="center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b/>
          <w:bCs/>
          <w:sz w:val="24"/>
          <w:szCs w:val="24"/>
        </w:rPr>
        <w:t>2.1 Учебный план</w:t>
      </w:r>
    </w:p>
    <w:tbl>
      <w:tblPr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6"/>
        <w:gridCol w:w="2932"/>
        <w:gridCol w:w="1228"/>
        <w:gridCol w:w="1698"/>
        <w:gridCol w:w="1698"/>
        <w:gridCol w:w="1698"/>
      </w:tblGrid>
      <w:tr>
        <w:trPr>
          <w:trHeight w:val="276" w:hRule="atLeast"/>
        </w:trPr>
        <w:tc>
          <w:tcPr>
            <w:tcW w:w="10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b/>
                <w:kern w:val="2"/>
                <w:sz w:val="24"/>
                <w:szCs w:val="24"/>
                <w:lang w:bidi="hi-IN"/>
              </w:rPr>
              <w:t>Номер</w:t>
            </w:r>
          </w:p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b/>
                <w:kern w:val="2"/>
                <w:sz w:val="24"/>
                <w:szCs w:val="24"/>
                <w:lang w:bidi="hi-IN"/>
              </w:rPr>
              <w:t>п/п</w:t>
            </w:r>
          </w:p>
        </w:tc>
        <w:tc>
          <w:tcPr>
            <w:tcW w:w="29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/>
                <w:b/>
                <w:sz w:val="24"/>
                <w:szCs w:val="24"/>
                <w:lang w:eastAsia="en-US"/>
              </w:rPr>
              <w:t>Темы</w:t>
            </w:r>
          </w:p>
        </w:tc>
        <w:tc>
          <w:tcPr>
            <w:tcW w:w="63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b/>
                <w:kern w:val="2"/>
                <w:sz w:val="24"/>
                <w:szCs w:val="24"/>
                <w:lang w:bidi="hi-IN"/>
              </w:rPr>
              <w:t>Количество часов</w:t>
            </w:r>
          </w:p>
        </w:tc>
      </w:tr>
      <w:tr>
        <w:trPr/>
        <w:tc>
          <w:tcPr>
            <w:tcW w:w="100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/>
              <w:ind w:left="0" w:right="0" w:hanging="0"/>
              <w:rPr>
                <w:rFonts w:ascii="Times New Roman" w:hAnsi="Times New Roman" w:eastAsia="Calibri" w:cs="Calibri"/>
                <w:b/>
                <w:b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Calibri" w:cs="Calibri"/>
                <w:b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29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/>
              <w:ind w:left="0" w:right="0" w:hanging="0"/>
              <w:rPr>
                <w:rFonts w:ascii="Times New Roman" w:hAnsi="Times New Roman" w:eastAsia="Calibri" w:cs="Calibri"/>
                <w:b/>
                <w:b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Calibri" w:cs="Calibri"/>
                <w:b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12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Общая</w:t>
            </w:r>
          </w:p>
          <w:p>
            <w:pPr>
              <w:pStyle w:val="Normal"/>
              <w:widowControl w:val="false"/>
              <w:suppressAutoHyphens w:val="true"/>
              <w:spacing w:lineRule="auto" w:line="24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трудоемкость</w:t>
            </w:r>
          </w:p>
        </w:tc>
        <w:tc>
          <w:tcPr>
            <w:tcW w:w="50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В том числе</w:t>
            </w:r>
          </w:p>
        </w:tc>
      </w:tr>
      <w:tr>
        <w:trPr/>
        <w:tc>
          <w:tcPr>
            <w:tcW w:w="100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/>
              <w:ind w:left="0" w:right="0" w:hanging="0"/>
              <w:rPr>
                <w:rFonts w:ascii="Times New Roman" w:hAnsi="Times New Roman" w:eastAsia="Calibri" w:cs="Calibri"/>
                <w:b/>
                <w:b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Calibri" w:cs="Calibri"/>
                <w:b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29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/>
              <w:ind w:left="0" w:right="0" w:hanging="0"/>
              <w:rPr>
                <w:rFonts w:ascii="Times New Roman" w:hAnsi="Times New Roman" w:eastAsia="Calibri" w:cs="Calibri"/>
                <w:b/>
                <w:b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Calibri" w:cs="Calibri"/>
                <w:b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122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/>
              <w:ind w:left="0" w:right="0" w:hanging="0"/>
              <w:rPr>
                <w:rFonts w:ascii="Times New Roman" w:hAnsi="Times New Roman" w:eastAsia="Lucida Sans Unicode" w:cs="Calibri"/>
                <w:b/>
                <w:b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Calibri"/>
                <w:b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Теорети-</w:t>
            </w:r>
          </w:p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ческие</w:t>
            </w:r>
          </w:p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занятия (лекции)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Практи-ческие (лабора-торные) занятия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Промежуточная аттестация/ контроль</w:t>
            </w:r>
          </w:p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rPr>
                <w:rFonts w:ascii="Times New Roman" w:hAnsi="Times New Roman" w:eastAsia="Lucida Sans Unicode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</w:r>
          </w:p>
        </w:tc>
      </w:tr>
      <w:tr>
        <w:trPr/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1</w:t>
            </w:r>
          </w:p>
        </w:tc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2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3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4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5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6</w:t>
            </w:r>
          </w:p>
        </w:tc>
      </w:tr>
      <w:tr>
        <w:trPr/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Теоретические занятия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1</w:t>
            </w:r>
          </w:p>
        </w:tc>
      </w:tr>
      <w:tr>
        <w:trPr>
          <w:trHeight w:val="503" w:hRule="atLeast"/>
        </w:trPr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Практические занятия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</w:tr>
      <w:tr>
        <w:trPr/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  <w:lang w:eastAsia="ru-RU"/>
              </w:rPr>
              <w:t>3.</w:t>
            </w:r>
          </w:p>
        </w:tc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val="ru-RU" w:bidi="hi-IN"/>
              </w:rPr>
              <w:t>Проверка знаний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2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bCs/>
                <w:color w:val="000000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b/>
                <w:bCs/>
                <w:color w:val="000000"/>
                <w:kern w:val="2"/>
                <w:sz w:val="24"/>
                <w:szCs w:val="24"/>
                <w:lang w:bidi="hi-IN"/>
              </w:rPr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bCs/>
                <w:color w:val="000000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b/>
                <w:bCs/>
                <w:color w:val="000000"/>
                <w:kern w:val="2"/>
                <w:sz w:val="24"/>
                <w:szCs w:val="24"/>
                <w:lang w:bidi="hi-IN"/>
              </w:rPr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bCs/>
                <w:color w:val="000000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b/>
                <w:bCs/>
                <w:color w:val="000000"/>
                <w:kern w:val="2"/>
                <w:sz w:val="24"/>
                <w:szCs w:val="24"/>
                <w:lang w:bidi="hi-IN"/>
              </w:rPr>
            </w:r>
          </w:p>
        </w:tc>
      </w:tr>
      <w:tr>
        <w:trPr/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rPr>
                <w:rFonts w:ascii="Times New Roman" w:hAnsi="Times New Roman" w:eastAsia="Lucida Sans Unicode" w:cs="Calibri"/>
                <w:b/>
                <w:b/>
                <w:bCs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Calibri"/>
                <w:b/>
                <w:bCs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Итого: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32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4"/>
          <w:szCs w:val="24"/>
        </w:rPr>
      </w:pPr>
      <w:r>
        <w:rPr>
          <w:rFonts w:eastAsia="Calibri"/>
          <w:b/>
          <w:bCs/>
          <w:sz w:val="24"/>
          <w:szCs w:val="24"/>
          <w:lang w:eastAsia="en-US"/>
        </w:rPr>
        <w:t>2.2 Календарный учебный график.</w:t>
      </w:r>
    </w:p>
    <w:tbl>
      <w:tblPr>
        <w:tblW w:w="10241" w:type="dxa"/>
        <w:jc w:val="left"/>
        <w:tblInd w:w="31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578"/>
        <w:gridCol w:w="1877"/>
        <w:gridCol w:w="738"/>
        <w:gridCol w:w="880"/>
        <w:gridCol w:w="881"/>
        <w:gridCol w:w="894"/>
        <w:gridCol w:w="887"/>
        <w:gridCol w:w="870"/>
        <w:gridCol w:w="891"/>
        <w:gridCol w:w="883"/>
        <w:gridCol w:w="860"/>
      </w:tblGrid>
      <w:tr>
        <w:trPr>
          <w:trHeight w:val="319" w:hRule="atLeast"/>
        </w:trPr>
        <w:tc>
          <w:tcPr>
            <w:tcW w:w="57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  <w:lang w:eastAsia="ru-RU"/>
              </w:rPr>
              <w:t>Номер п/п</w:t>
            </w:r>
          </w:p>
        </w:tc>
        <w:tc>
          <w:tcPr>
            <w:tcW w:w="187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  <w:lang w:eastAsia="ru-RU"/>
              </w:rPr>
              <w:t>Темы</w:t>
            </w:r>
          </w:p>
        </w:tc>
        <w:tc>
          <w:tcPr>
            <w:tcW w:w="738" w:type="dxa"/>
            <w:vMerge w:val="restart"/>
            <w:tcBorders>
              <w:top w:val="single" w:sz="6" w:space="0" w:color="000000"/>
              <w:left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  <w:lang w:eastAsia="ru-RU"/>
              </w:rPr>
              <w:t>Всего, час.</w:t>
            </w:r>
          </w:p>
        </w:tc>
        <w:tc>
          <w:tcPr>
            <w:tcW w:w="7046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  <w:lang w:eastAsia="ru-RU"/>
              </w:rPr>
              <w:t>Учебные дни</w:t>
            </w:r>
          </w:p>
        </w:tc>
      </w:tr>
      <w:tr>
        <w:trPr>
          <w:trHeight w:val="366" w:hRule="atLeast"/>
        </w:trPr>
        <w:tc>
          <w:tcPr>
            <w:tcW w:w="578" w:type="dxa"/>
            <w:vMerge w:val="continue"/>
            <w:tcBorders>
              <w:top w:val="single" w:sz="6" w:space="0" w:color="000000"/>
              <w:left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rPr>
                <w:rFonts w:ascii="Times New Roman" w:hAnsi="Times New Roman" w:eastAsia="Lucida Sans Unicode" w:cs="Arial Narrow"/>
                <w:b/>
                <w:b/>
                <w:bCs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Arial Narrow"/>
                <w:b/>
                <w:bCs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1877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rPr>
                <w:rFonts w:ascii="Times New Roman" w:hAnsi="Times New Roman" w:eastAsia="Lucida Sans Unicode" w:cs="Arial Narrow"/>
                <w:b/>
                <w:b/>
                <w:bCs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Arial Narrow"/>
                <w:b/>
                <w:bCs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738" w:type="dxa"/>
            <w:vMerge w:val="continue"/>
            <w:tcBorders>
              <w:top w:val="single" w:sz="6" w:space="0" w:color="000000"/>
              <w:left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rPr>
                <w:rFonts w:ascii="Times New Roman" w:hAnsi="Times New Roman" w:eastAsia="Lucida Sans Unicode" w:cs="Arial Narrow"/>
                <w:b/>
                <w:b/>
                <w:bCs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Arial Narrow"/>
                <w:b/>
                <w:bCs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val="ru-RU" w:eastAsia="ru-RU" w:bidi="ru-RU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ru-RU" w:bidi="ru-RU"/>
              </w:rPr>
              <w:t>7</w:t>
            </w:r>
          </w:p>
        </w:tc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val="en-US" w:eastAsia="ru-RU" w:bidi="ru-RU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-US" w:eastAsia="ru-RU" w:bidi="ru-RU"/>
              </w:rPr>
              <w:t>8</w:t>
            </w:r>
          </w:p>
        </w:tc>
      </w:tr>
      <w:tr>
        <w:trPr>
          <w:trHeight w:val="400" w:hRule="atLeast"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Теоретические занятия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ind w:left="0" w:right="0" w:hanging="0"/>
              <w:jc w:val="center"/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400" w:hRule="atLeast"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Практические занятия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ind w:left="0" w:right="0" w:hanging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</w:tr>
      <w:tr>
        <w:trPr>
          <w:trHeight w:val="400" w:hRule="atLeast"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76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  <w:lang w:val="en-US" w:eastAsia="ru-RU"/>
              </w:rPr>
              <w:t>3</w:t>
            </w:r>
            <w:r>
              <w:rPr>
                <w:bCs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Проверка знаний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2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 w:val="false"/>
                <w:b w:val="false"/>
                <w:bCs w:val="false"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 w:val="false"/>
                <w:bCs w:val="false"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 w:val="false"/>
                <w:b w:val="false"/>
                <w:bCs w:val="false"/>
                <w:color w:val="000000"/>
                <w:kern w:val="2"/>
                <w:sz w:val="24"/>
                <w:szCs w:val="24"/>
                <w:lang w:val="en-US" w:eastAsia="ru-RU" w:bidi="hi-IN"/>
              </w:rPr>
            </w:pPr>
            <w:r>
              <w:rPr>
                <w:rFonts w:eastAsia="Lucida Sans Unicode" w:cs="Mangal;Courier Std"/>
                <w:b w:val="false"/>
                <w:bCs w:val="false"/>
                <w:color w:val="000000"/>
                <w:kern w:val="2"/>
                <w:sz w:val="24"/>
                <w:szCs w:val="24"/>
                <w:lang w:val="en-US" w:eastAsia="ru-RU" w:bidi="hi-IN"/>
              </w:rPr>
              <w:t>2</w:t>
            </w:r>
          </w:p>
        </w:tc>
      </w:tr>
      <w:tr>
        <w:trPr>
          <w:trHeight w:val="400" w:hRule="atLeast"/>
        </w:trPr>
        <w:tc>
          <w:tcPr>
            <w:tcW w:w="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rPr>
                <w:rFonts w:ascii="Times New Roman" w:hAnsi="Times New Roman" w:eastAsia="Lucida Sans Unicode" w:cs="Mangal;Courier Std"/>
                <w:b/>
                <w:b/>
                <w:bCs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bCs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ИТОГО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ind w:left="0" w:right="0" w:hanging="0"/>
              <w:jc w:val="center"/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</w:tr>
    </w:tbl>
    <w:p>
      <w:pPr>
        <w:pStyle w:val="Style30"/>
        <w:spacing w:lineRule="auto" w:line="240" w:before="0" w:after="0"/>
        <w:ind w:left="0" w:right="0" w:hanging="0"/>
        <w:rPr>
          <w:rFonts w:ascii="Times New Roman" w:hAnsi="Times New Roman"/>
          <w:sz w:val="20"/>
          <w:szCs w:val="20"/>
        </w:rPr>
      </w:pPr>
      <w:r>
        <w:rPr>
          <w:sz w:val="20"/>
          <w:szCs w:val="20"/>
          <w:shd w:fill="auto" w:val="clear"/>
        </w:rPr>
        <w:t>*Количество часов, отводимых на занятие может корректироваться в зависимости от загруженности преподавателя.</w:t>
      </w:r>
    </w:p>
    <w:p>
      <w:pPr>
        <w:pStyle w:val="Normal"/>
        <w:widowControl/>
        <w:suppressAutoHyphens w:val="false"/>
        <w:bidi w:val="0"/>
        <w:spacing w:lineRule="auto" w:line="240" w:before="0" w:after="0"/>
        <w:ind w:left="0" w:right="0" w:hanging="0"/>
        <w:jc w:val="center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auto"/>
          <w:sz w:val="24"/>
          <w:szCs w:val="24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0"/>
        <w:ind w:left="0" w:right="0" w:hanging="0"/>
        <w:jc w:val="center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auto"/>
          <w:sz w:val="24"/>
          <w:szCs w:val="24"/>
          <w:lang w:val="ru-RU" w:eastAsia="zh-CN" w:bidi="ar-SA"/>
        </w:rPr>
      </w:r>
    </w:p>
    <w:p>
      <w:pPr>
        <w:pStyle w:val="Default"/>
        <w:spacing w:lineRule="auto" w:line="240" w:before="0" w:after="0"/>
        <w:ind w:left="0" w:right="0" w:hanging="0"/>
        <w:jc w:val="center"/>
        <w:rPr>
          <w:rFonts w:ascii="Times New Roman" w:hAnsi="Times New Roman"/>
          <w:sz w:val="24"/>
          <w:szCs w:val="24"/>
        </w:rPr>
      </w:pPr>
      <w:r>
        <w:rPr/>
      </w:r>
    </w:p>
    <w:sectPr>
      <w:type w:val="nextPage"/>
      <w:pgSz w:w="11906" w:h="16838"/>
      <w:pgMar w:left="851" w:right="794" w:gutter="0" w:header="0" w:top="794" w:footer="0" w:bottom="851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Arial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extBookC">
    <w:charset w:val="cc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space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suff w:val="space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suff w:val="space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ru-RU" w:bidi="ru-RU"/>
    </w:rPr>
  </w:style>
  <w:style w:type="paragraph" w:styleId="1">
    <w:name w:val="Heading 1"/>
    <w:basedOn w:val="Normal"/>
    <w:uiPriority w:val="1"/>
    <w:qFormat/>
    <w:pPr>
      <w:ind w:left="366" w:right="361" w:hanging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Normal"/>
    <w:uiPriority w:val="9"/>
    <w:semiHidden/>
    <w:unhideWhenUsed/>
    <w:qFormat/>
    <w:pPr>
      <w:keepNext w:val="true"/>
      <w:keepLines/>
      <w:spacing w:before="40" w:after="0"/>
      <w:outlineLvl w:val="1"/>
    </w:pPr>
    <w:rPr>
      <w:rFonts w:ascii="Cambria" w:hAnsi="Cambria" w:eastAsia="Cambria" w:cs="Cambria"/>
      <w:color w:val="365F91" w:themeColor="accent1" w:themeShade="bf"/>
      <w:sz w:val="26"/>
      <w:szCs w:val="26"/>
    </w:rPr>
  </w:style>
  <w:style w:type="paragraph" w:styleId="3">
    <w:name w:val="Heading 3"/>
    <w:basedOn w:val="Normal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4">
    <w:name w:val="Heading 4"/>
    <w:basedOn w:val="Normal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5">
    <w:name w:val="Heading 5"/>
    <w:basedOn w:val="Normal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">
    <w:name w:val="Heading 6"/>
    <w:basedOn w:val="Normal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7">
    <w:name w:val="Heading 7"/>
    <w:basedOn w:val="Normal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8">
    <w:name w:val="Heading 8"/>
    <w:basedOn w:val="Normal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9">
    <w:name w:val="Heading 9"/>
    <w:basedOn w:val="Normal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 w:customStyle="1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31" w:customStyle="1">
    <w:name w:val="Заголовок 3 Знак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41" w:customStyle="1">
    <w:name w:val="Заголовок 4 Знак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1" w:customStyle="1">
    <w:name w:val="Заголовок 5 Знак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1" w:customStyle="1">
    <w:name w:val="Заголовок 6 Знак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1" w:customStyle="1">
    <w:name w:val="Заголовок 7 Знак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1" w:customStyle="1">
    <w:name w:val="Заголовок 8 Знак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1" w:customStyle="1">
    <w:name w:val="Заголовок 9 Знак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5" w:customStyle="1">
    <w:name w:val="Название Знак"/>
    <w:basedOn w:val="DefaultParagraphFont"/>
    <w:uiPriority w:val="10"/>
    <w:qFormat/>
    <w:rPr>
      <w:sz w:val="48"/>
      <w:szCs w:val="48"/>
    </w:rPr>
  </w:style>
  <w:style w:type="character" w:styleId="Style6" w:customStyle="1">
    <w:name w:val="Подзаголовок Знак"/>
    <w:basedOn w:val="DefaultParagraphFont"/>
    <w:uiPriority w:val="11"/>
    <w:qFormat/>
    <w:rPr>
      <w:sz w:val="24"/>
      <w:szCs w:val="24"/>
    </w:rPr>
  </w:style>
  <w:style w:type="character" w:styleId="21" w:customStyle="1">
    <w:name w:val="Цитата 2 Знак"/>
    <w:uiPriority w:val="29"/>
    <w:qFormat/>
    <w:rPr>
      <w:i/>
    </w:rPr>
  </w:style>
  <w:style w:type="character" w:styleId="Style7" w:customStyle="1">
    <w:name w:val="Выделенная цитата Знак"/>
    <w:uiPriority w:val="30"/>
    <w:qFormat/>
    <w:rPr>
      <w:i/>
    </w:rPr>
  </w:style>
  <w:style w:type="character" w:styleId="Style8" w:customStyle="1">
    <w:name w:val="Верхний колонтитул Знак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Style9" w:customStyle="1">
    <w:name w:val="Нижний колонтитул Знак"/>
    <w:uiPriority w:val="99"/>
    <w:qFormat/>
    <w:rPr/>
  </w:style>
  <w:style w:type="character" w:styleId="Style10">
    <w:name w:val="Интернет-ссылка"/>
    <w:uiPriority w:val="99"/>
    <w:unhideWhenUsed/>
    <w:rPr>
      <w:color w:val="0000FF" w:themeColor="hyperlink"/>
      <w:u w:val="single"/>
    </w:rPr>
  </w:style>
  <w:style w:type="character" w:styleId="Style11" w:customStyle="1">
    <w:name w:val="Текст сноски Знак"/>
    <w:uiPriority w:val="99"/>
    <w:qFormat/>
    <w:rPr>
      <w:sz w:val="18"/>
    </w:rPr>
  </w:style>
  <w:style w:type="character" w:styleId="Style12">
    <w:name w:val="Привязка сноски"/>
    <w:rPr>
      <w:vertAlign w:val="superscript"/>
    </w:rPr>
  </w:style>
  <w:style w:type="character" w:styleId="FootnoteCharacters">
    <w:name w:val="Footnote Characters"/>
    <w:basedOn w:val="DefaultParagraphFont"/>
    <w:uiPriority w:val="99"/>
    <w:unhideWhenUsed/>
    <w:qFormat/>
    <w:rPr>
      <w:vertAlign w:val="superscript"/>
    </w:rPr>
  </w:style>
  <w:style w:type="character" w:styleId="Style13" w:customStyle="1">
    <w:name w:val="Текст концевой сноски Знак"/>
    <w:uiPriority w:val="99"/>
    <w:qFormat/>
    <w:rPr>
      <w:sz w:val="20"/>
    </w:rPr>
  </w:style>
  <w:style w:type="character" w:styleId="Style14">
    <w:name w:val="Привязка концевой сноски"/>
    <w:rPr>
      <w:vertAlign w:val="superscript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22" w:customStyle="1">
    <w:name w:val="Заголовок 2 Знак"/>
    <w:basedOn w:val="DefaultParagraphFont"/>
    <w:uiPriority w:val="9"/>
    <w:semiHidden/>
    <w:qFormat/>
    <w:rPr>
      <w:rFonts w:ascii="Cambria" w:hAnsi="Cambria" w:eastAsia="Cambria" w:cs="Cambria"/>
      <w:color w:val="365F91" w:themeColor="accent1" w:themeShade="bf"/>
      <w:sz w:val="26"/>
      <w:szCs w:val="26"/>
      <w:lang w:val="ru-RU" w:eastAsia="ru-RU" w:bidi="ru-RU"/>
    </w:rPr>
  </w:style>
  <w:style w:type="character" w:styleId="Style15" w:customStyle="1">
    <w:name w:val="Основной текст Знак"/>
    <w:basedOn w:val="DefaultParagraphFont"/>
    <w:uiPriority w:val="1"/>
    <w:qFormat/>
    <w:rPr>
      <w:rFonts w:ascii="Times New Roman" w:hAnsi="Times New Roman" w:eastAsia="Times New Roman" w:cs="Times New Roman"/>
      <w:sz w:val="24"/>
      <w:szCs w:val="24"/>
      <w:lang w:val="ru-RU" w:eastAsia="ru-RU" w:bidi="ru-RU"/>
    </w:rPr>
  </w:style>
  <w:style w:type="character" w:styleId="FontStyle22">
    <w:name w:val="Font Style22"/>
    <w:qFormat/>
    <w:rPr>
      <w:rFonts w:ascii="Times New Roman" w:hAnsi="Times New Roman" w:eastAsia="Times New Roman" w:cs="Times New Roman"/>
      <w:b/>
      <w:bCs/>
      <w:color w:val="000000"/>
      <w:sz w:val="22"/>
      <w:szCs w:val="22"/>
    </w:rPr>
  </w:style>
  <w:style w:type="character" w:styleId="FontStyle20">
    <w:name w:val="Font Style20"/>
    <w:qFormat/>
    <w:rPr>
      <w:rFonts w:ascii="Times New Roman" w:hAnsi="Times New Roman" w:eastAsia="Times New Roman" w:cs="Times New Roman"/>
      <w:color w:val="000000"/>
      <w:sz w:val="22"/>
      <w:szCs w:val="22"/>
    </w:rPr>
  </w:style>
  <w:style w:type="character" w:styleId="Style16">
    <w:name w:val="Маркеры списка"/>
    <w:qFormat/>
    <w:rPr>
      <w:rFonts w:ascii="OpenSymbol" w:hAnsi="OpenSymbol" w:eastAsia="OpenSymbol" w:cs="OpenSymbol"/>
    </w:rPr>
  </w:style>
  <w:style w:type="character" w:styleId="WW8Num8z1">
    <w:name w:val="WW8Num8z1"/>
    <w:qFormat/>
    <w:rPr>
      <w:color w:val="000000"/>
    </w:rPr>
  </w:style>
  <w:style w:type="character" w:styleId="FontStyle11">
    <w:name w:val="Font Style11"/>
    <w:qFormat/>
    <w:rPr>
      <w:rFonts w:ascii="Times New Roman" w:hAnsi="Times New Roman" w:eastAsia="Times New Roman" w:cs="Times New Roman"/>
      <w:b/>
      <w:bCs/>
      <w:color w:val="000000"/>
      <w:sz w:val="22"/>
      <w:szCs w:val="22"/>
    </w:rPr>
  </w:style>
  <w:style w:type="character" w:styleId="FontStyle12">
    <w:name w:val="Font Style12"/>
    <w:qFormat/>
    <w:rPr>
      <w:rFonts w:ascii="Times New Roman" w:hAnsi="Times New Roman" w:eastAsia="Times New Roman" w:cs="Times New Roman"/>
      <w:color w:val="000000"/>
      <w:sz w:val="22"/>
      <w:szCs w:val="22"/>
    </w:rPr>
  </w:style>
  <w:style w:type="character" w:styleId="FontStyle51">
    <w:name w:val="Font Style51"/>
    <w:qFormat/>
    <w:rPr>
      <w:rFonts w:ascii="Times New Roman" w:hAnsi="Times New Roman" w:eastAsia="Times New Roman" w:cs="Times New Roman"/>
      <w:b/>
      <w:bCs/>
      <w:sz w:val="22"/>
      <w:szCs w:val="22"/>
    </w:rPr>
  </w:style>
  <w:style w:type="character" w:styleId="FontStyle62">
    <w:name w:val="Font Style62"/>
    <w:qFormat/>
    <w:rPr>
      <w:rFonts w:ascii="Times New Roman" w:hAnsi="Times New Roman" w:eastAsia="Times New Roman" w:cs="Times New Roman"/>
      <w:b/>
      <w:bCs/>
      <w:sz w:val="22"/>
      <w:szCs w:val="22"/>
    </w:rPr>
  </w:style>
  <w:style w:type="character" w:styleId="FontStyle18">
    <w:name w:val="Font Style18"/>
    <w:qFormat/>
    <w:rPr>
      <w:rFonts w:ascii="Times New Roman" w:hAnsi="Times New Roman" w:eastAsia="Times New Roman" w:cs="Times New Roman"/>
      <w:b/>
      <w:bCs/>
      <w:sz w:val="26"/>
      <w:szCs w:val="26"/>
    </w:rPr>
  </w:style>
  <w:style w:type="character" w:styleId="FontStyle21">
    <w:name w:val="Font Style21"/>
    <w:qFormat/>
    <w:rPr>
      <w:rFonts w:ascii="Times New Roman" w:hAnsi="Times New Roman" w:eastAsia="Times New Roman" w:cs="Times New Roman"/>
      <w:b/>
      <w:bCs/>
      <w:sz w:val="26"/>
      <w:szCs w:val="26"/>
    </w:rPr>
  </w:style>
  <w:style w:type="character" w:styleId="FontStyle58">
    <w:name w:val="Font Style58"/>
    <w:qFormat/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FontStyle55">
    <w:name w:val="Font Style55"/>
    <w:qFormat/>
    <w:rPr>
      <w:rFonts w:ascii="Times New Roman" w:hAnsi="Times New Roman" w:eastAsia="Times New Roman" w:cs="Times New Roman"/>
      <w:sz w:val="24"/>
      <w:szCs w:val="24"/>
    </w:rPr>
  </w:style>
  <w:style w:type="character" w:styleId="FontStyle40">
    <w:name w:val="Font Style40"/>
    <w:qFormat/>
    <w:rPr>
      <w:rFonts w:ascii="Times New Roman" w:hAnsi="Times New Roman" w:eastAsia="Times New Roman" w:cs="Times New Roman"/>
      <w:sz w:val="24"/>
      <w:szCs w:val="24"/>
    </w:rPr>
  </w:style>
  <w:style w:type="character" w:styleId="12">
    <w:name w:val="Основной шрифт абзаца1"/>
    <w:qFormat/>
    <w:rPr/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8z0">
    <w:name w:val="WW8Num8z0"/>
    <w:qFormat/>
    <w:rPr>
      <w:rFonts w:ascii="Courier New" w:hAnsi="Courier New" w:cs="Courier New"/>
    </w:rPr>
  </w:style>
  <w:style w:type="character" w:styleId="WW8Num7z4">
    <w:name w:val="WW8Num7z4"/>
    <w:qFormat/>
    <w:rPr>
      <w:rFonts w:ascii="Courier New" w:hAnsi="Courier New" w:cs="Courier New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23">
    <w:name w:val="Основной шрифт абзаца2"/>
    <w:qFormat/>
    <w:rPr/>
  </w:style>
  <w:style w:type="character" w:styleId="Style17">
    <w:name w:val="Основной шрифт абзаца"/>
    <w:qFormat/>
    <w:rPr/>
  </w:style>
  <w:style w:type="character" w:styleId="WW8Num4z8">
    <w:name w:val="WW8Num4z8"/>
    <w:qFormat/>
    <w:rPr/>
  </w:style>
  <w:style w:type="character" w:styleId="WW8Num4z7">
    <w:name w:val="WW8Num4z7"/>
    <w:qFormat/>
    <w:rPr/>
  </w:style>
  <w:style w:type="character" w:styleId="WW8Num4z6">
    <w:name w:val="WW8Num4z6"/>
    <w:qFormat/>
    <w:rPr/>
  </w:style>
  <w:style w:type="character" w:styleId="WW8Num4z5">
    <w:name w:val="WW8Num4z5"/>
    <w:qFormat/>
    <w:rPr/>
  </w:style>
  <w:style w:type="character" w:styleId="WW8Num4z4">
    <w:name w:val="WW8Num4z4"/>
    <w:qFormat/>
    <w:rPr/>
  </w:style>
  <w:style w:type="character" w:styleId="WW8Num4z3">
    <w:name w:val="WW8Num4z3"/>
    <w:qFormat/>
    <w:rPr/>
  </w:style>
  <w:style w:type="character" w:styleId="WW8Num4z2">
    <w:name w:val="WW8Num4z2"/>
    <w:qFormat/>
    <w:rPr/>
  </w:style>
  <w:style w:type="character" w:styleId="WW8Num4z1">
    <w:name w:val="WW8Num4z1"/>
    <w:qFormat/>
    <w:rPr/>
  </w:style>
  <w:style w:type="character" w:styleId="WW8Num4z0">
    <w:name w:val="WW8Num4z0"/>
    <w:qFormat/>
    <w:rPr/>
  </w:style>
  <w:style w:type="character" w:styleId="WW8Num3z8">
    <w:name w:val="WW8Num3z8"/>
    <w:qFormat/>
    <w:rPr/>
  </w:style>
  <w:style w:type="character" w:styleId="WW8Num3z7">
    <w:name w:val="WW8Num3z7"/>
    <w:qFormat/>
    <w:rPr/>
  </w:style>
  <w:style w:type="character" w:styleId="WW8Num3z6">
    <w:name w:val="WW8Num3z6"/>
    <w:qFormat/>
    <w:rPr/>
  </w:style>
  <w:style w:type="character" w:styleId="WW8Num3z5">
    <w:name w:val="WW8Num3z5"/>
    <w:qFormat/>
    <w:rPr/>
  </w:style>
  <w:style w:type="character" w:styleId="WW8Num3z4">
    <w:name w:val="WW8Num3z4"/>
    <w:qFormat/>
    <w:rPr/>
  </w:style>
  <w:style w:type="character" w:styleId="WW8Num3z3">
    <w:name w:val="WW8Num3z3"/>
    <w:qFormat/>
    <w:rPr/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2z8">
    <w:name w:val="WW8Num2z8"/>
    <w:qFormat/>
    <w:rPr/>
  </w:style>
  <w:style w:type="character" w:styleId="WW8Num2z7">
    <w:name w:val="WW8Num2z7"/>
    <w:qFormat/>
    <w:rPr/>
  </w:style>
  <w:style w:type="character" w:styleId="WW8Num2z6">
    <w:name w:val="WW8Num2z6"/>
    <w:qFormat/>
    <w:rPr/>
  </w:style>
  <w:style w:type="character" w:styleId="WW8Num2z5">
    <w:name w:val="WW8Num2z5"/>
    <w:qFormat/>
    <w:rPr/>
  </w:style>
  <w:style w:type="character" w:styleId="WW8Num2z4">
    <w:name w:val="WW8Num2z4"/>
    <w:qFormat/>
    <w:rPr/>
  </w:style>
  <w:style w:type="character" w:styleId="WW8Num2z3">
    <w:name w:val="WW8Num2z3"/>
    <w:qFormat/>
    <w:rPr/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1z8">
    <w:name w:val="WW8Num1z8"/>
    <w:qFormat/>
    <w:rPr/>
  </w:style>
  <w:style w:type="character" w:styleId="WW8Num1z7">
    <w:name w:val="WW8Num1z7"/>
    <w:qFormat/>
    <w:rPr/>
  </w:style>
  <w:style w:type="character" w:styleId="WW8Num1z6">
    <w:name w:val="WW8Num1z6"/>
    <w:qFormat/>
    <w:rPr/>
  </w:style>
  <w:style w:type="character" w:styleId="WW8Num1z5">
    <w:name w:val="WW8Num1z5"/>
    <w:qFormat/>
    <w:rPr/>
  </w:style>
  <w:style w:type="character" w:styleId="WW8Num1z4">
    <w:name w:val="WW8Num1z4"/>
    <w:qFormat/>
    <w:rPr/>
  </w:style>
  <w:style w:type="character" w:styleId="WW8Num1z3">
    <w:name w:val="WW8Num1z3"/>
    <w:qFormat/>
    <w:rPr/>
  </w:style>
  <w:style w:type="character" w:styleId="WW8Num1z1">
    <w:name w:val="WW8Num1z1"/>
    <w:qFormat/>
    <w:rPr>
      <w:rFonts w:ascii="Courier New" w:hAnsi="Courier New" w:cs="Courier New"/>
    </w:rPr>
  </w:style>
  <w:style w:type="character" w:styleId="Bold">
    <w:name w:val="Bold"/>
    <w:qFormat/>
    <w:rPr>
      <w:b/>
    </w:rPr>
  </w:style>
  <w:style w:type="character" w:styleId="C0">
    <w:name w:val="c0"/>
    <w:qFormat/>
    <w:rPr/>
  </w:style>
  <w:style w:type="character" w:styleId="Style18">
    <w:name w:val="Символ нумерации"/>
    <w:qFormat/>
    <w:rPr/>
  </w:style>
  <w:style w:type="character" w:styleId="Style19">
    <w:name w:val="Маркеры"/>
    <w:qFormat/>
    <w:rPr>
      <w:rFonts w:ascii="OpenSymbol" w:hAnsi="OpenSymbol" w:eastAsia="OpenSymbol" w:cs="OpenSymbol"/>
    </w:rPr>
  </w:style>
  <w:style w:type="character" w:styleId="Blk">
    <w:name w:val="blk"/>
    <w:basedOn w:val="Style17"/>
    <w:qFormat/>
    <w:rPr/>
  </w:style>
  <w:style w:type="paragraph" w:styleId="Style20">
    <w:name w:val="Заголовок"/>
    <w:basedOn w:val="Normal"/>
    <w:next w:val="Style21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Style21">
    <w:name w:val="Body Text"/>
    <w:basedOn w:val="Normal"/>
    <w:uiPriority w:val="1"/>
    <w:qFormat/>
    <w:pPr/>
    <w:rPr>
      <w:sz w:val="24"/>
      <w:szCs w:val="24"/>
    </w:rPr>
  </w:style>
  <w:style w:type="paragraph" w:styleId="Style22">
    <w:name w:val="List"/>
    <w:basedOn w:val="Style21"/>
    <w:pPr/>
    <w:rPr>
      <w:rFonts w:cs="Mangal"/>
    </w:rPr>
  </w:style>
  <w:style w:type="paragraph" w:styleId="Style23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24">
    <w:name w:val="Указатель"/>
    <w:basedOn w:val="Normal"/>
    <w:qFormat/>
    <w:pPr>
      <w:suppressLineNumbers/>
    </w:pPr>
    <w:rPr>
      <w:rFonts w:cs="Mangal"/>
    </w:rPr>
  </w:style>
  <w:style w:type="paragraph" w:styleId="Style25">
    <w:name w:val="Title"/>
    <w:basedOn w:val="Normal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tyle26">
    <w:name w:val="Subtitle"/>
    <w:basedOn w:val="Normal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link w:val="22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F2F2F2" w:fill="F2F2F2"/>
      <w:ind w:left="720" w:right="720" w:hanging="0"/>
    </w:pPr>
    <w:rPr>
      <w:i/>
    </w:rPr>
  </w:style>
  <w:style w:type="paragraph" w:styleId="Style27">
    <w:name w:val="Колонтитул"/>
    <w:basedOn w:val="Normal"/>
    <w:qFormat/>
    <w:pPr/>
    <w:rPr/>
  </w:style>
  <w:style w:type="paragraph" w:styleId="Style28">
    <w:name w:val="Header"/>
    <w:basedOn w:val="Normal"/>
    <w:uiPriority w:val="99"/>
    <w:unhideWhenUsed/>
    <w:pPr>
      <w:tabs>
        <w:tab w:val="clear" w:pos="720"/>
        <w:tab w:val="center" w:pos="7143" w:leader="none"/>
        <w:tab w:val="right" w:pos="14287" w:leader="none"/>
      </w:tabs>
    </w:pPr>
    <w:rPr/>
  </w:style>
  <w:style w:type="paragraph" w:styleId="Style29">
    <w:name w:val="Footer"/>
    <w:basedOn w:val="Normal"/>
    <w:uiPriority w:val="99"/>
    <w:unhideWhenUsed/>
    <w:pPr>
      <w:tabs>
        <w:tab w:val="clear" w:pos="720"/>
        <w:tab w:val="center" w:pos="7143" w:leader="none"/>
        <w:tab w:val="right" w:pos="14287" w:leader="none"/>
      </w:tabs>
    </w:pPr>
    <w:rPr/>
  </w:style>
  <w:style w:type="paragraph" w:styleId="Caption">
    <w:name w:val="caption"/>
    <w:basedOn w:val="Normal"/>
    <w:uiPriority w:val="35"/>
    <w:semiHidden/>
    <w:unhideWhenUsed/>
    <w:qFormat/>
    <w:pPr>
      <w:spacing w:lineRule="auto" w:line="276"/>
    </w:pPr>
    <w:rPr>
      <w:b/>
      <w:bCs/>
      <w:color w:val="4F81BD" w:themeColor="accent1"/>
      <w:sz w:val="18"/>
      <w:szCs w:val="18"/>
    </w:rPr>
  </w:style>
  <w:style w:type="paragraph" w:styleId="Style30">
    <w:name w:val="Footnote Text"/>
    <w:basedOn w:val="Normal"/>
    <w:uiPriority w:val="99"/>
    <w:semiHidden/>
    <w:unhideWhenUsed/>
    <w:pPr>
      <w:spacing w:before="0" w:after="40"/>
    </w:pPr>
    <w:rPr>
      <w:sz w:val="18"/>
    </w:rPr>
  </w:style>
  <w:style w:type="paragraph" w:styleId="Style31">
    <w:name w:val="Endnote Text"/>
    <w:basedOn w:val="Normal"/>
    <w:uiPriority w:val="99"/>
    <w:semiHidden/>
    <w:unhideWhenUsed/>
    <w:pPr/>
    <w:rPr>
      <w:sz w:val="20"/>
    </w:rPr>
  </w:style>
  <w:style w:type="paragraph" w:styleId="13">
    <w:name w:val="TOC 1"/>
    <w:basedOn w:val="Normal"/>
    <w:uiPriority w:val="39"/>
    <w:unhideWhenUsed/>
    <w:pPr>
      <w:spacing w:before="0" w:after="57"/>
    </w:pPr>
    <w:rPr/>
  </w:style>
  <w:style w:type="paragraph" w:styleId="24">
    <w:name w:val="TOC 2"/>
    <w:basedOn w:val="Normal"/>
    <w:uiPriority w:val="39"/>
    <w:unhideWhenUsed/>
    <w:pPr>
      <w:spacing w:before="0" w:after="57"/>
      <w:ind w:left="283" w:hanging="0"/>
    </w:pPr>
    <w:rPr/>
  </w:style>
  <w:style w:type="paragraph" w:styleId="32">
    <w:name w:val="TOC 3"/>
    <w:basedOn w:val="Normal"/>
    <w:uiPriority w:val="39"/>
    <w:unhideWhenUsed/>
    <w:pPr>
      <w:spacing w:before="0" w:after="57"/>
      <w:ind w:left="567" w:hanging="0"/>
    </w:pPr>
    <w:rPr/>
  </w:style>
  <w:style w:type="paragraph" w:styleId="42">
    <w:name w:val="TOC 4"/>
    <w:basedOn w:val="Normal"/>
    <w:uiPriority w:val="39"/>
    <w:unhideWhenUsed/>
    <w:pPr>
      <w:spacing w:before="0" w:after="57"/>
      <w:ind w:left="850" w:hanging="0"/>
    </w:pPr>
    <w:rPr/>
  </w:style>
  <w:style w:type="paragraph" w:styleId="52">
    <w:name w:val="TOC 5"/>
    <w:basedOn w:val="Normal"/>
    <w:uiPriority w:val="39"/>
    <w:unhideWhenUsed/>
    <w:pPr>
      <w:spacing w:before="0" w:after="57"/>
      <w:ind w:left="1134" w:hanging="0"/>
    </w:pPr>
    <w:rPr/>
  </w:style>
  <w:style w:type="paragraph" w:styleId="62">
    <w:name w:val="TOC 6"/>
    <w:basedOn w:val="Normal"/>
    <w:uiPriority w:val="39"/>
    <w:unhideWhenUsed/>
    <w:pPr>
      <w:spacing w:before="0" w:after="57"/>
      <w:ind w:left="1417" w:hanging="0"/>
    </w:pPr>
    <w:rPr/>
  </w:style>
  <w:style w:type="paragraph" w:styleId="72">
    <w:name w:val="TOC 7"/>
    <w:basedOn w:val="Normal"/>
    <w:uiPriority w:val="39"/>
    <w:unhideWhenUsed/>
    <w:pPr>
      <w:spacing w:before="0" w:after="57"/>
      <w:ind w:left="1701" w:hanging="0"/>
    </w:pPr>
    <w:rPr/>
  </w:style>
  <w:style w:type="paragraph" w:styleId="82">
    <w:name w:val="TOC 8"/>
    <w:basedOn w:val="Normal"/>
    <w:uiPriority w:val="39"/>
    <w:unhideWhenUsed/>
    <w:pPr>
      <w:spacing w:before="0" w:after="57"/>
      <w:ind w:left="1984" w:hanging="0"/>
    </w:pPr>
    <w:rPr/>
  </w:style>
  <w:style w:type="paragraph" w:styleId="92">
    <w:name w:val="TOC 9"/>
    <w:basedOn w:val="Normal"/>
    <w:uiPriority w:val="39"/>
    <w:unhideWhenUsed/>
    <w:pPr>
      <w:spacing w:before="0" w:after="57"/>
      <w:ind w:left="2268" w:hanging="0"/>
    </w:pPr>
    <w:rPr/>
  </w:style>
  <w:style w:type="paragraph" w:styleId="Style32">
    <w:name w:val="Index Heading"/>
    <w:basedOn w:val="Style20"/>
    <w:pPr/>
    <w:rPr/>
  </w:style>
  <w:style w:type="paragraph" w:styleId="Style33">
    <w:name w:val="TOC Heading"/>
    <w:uiPriority w:val="39"/>
    <w:unhideWhenUsed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en-US" w:bidi="ar-SA"/>
    </w:rPr>
  </w:style>
  <w:style w:type="paragraph" w:styleId="Tableoffigures">
    <w:name w:val="table of figures"/>
    <w:basedOn w:val="Normal"/>
    <w:uiPriority w:val="99"/>
    <w:unhideWhenUsed/>
    <w:qFormat/>
    <w:pPr/>
    <w:rPr/>
  </w:style>
  <w:style w:type="paragraph" w:styleId="ListParagraph">
    <w:name w:val="List Paragraph"/>
    <w:basedOn w:val="Normal"/>
    <w:uiPriority w:val="1"/>
    <w:qFormat/>
    <w:pPr>
      <w:ind w:left="118" w:right="108" w:hanging="0"/>
      <w:jc w:val="both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Arial"/>
      <w:color w:val="auto"/>
      <w:kern w:val="0"/>
      <w:sz w:val="20"/>
      <w:szCs w:val="20"/>
      <w:lang w:val="ru-RU" w:eastAsia="ru-RU" w:bidi="ar-SA"/>
    </w:rPr>
  </w:style>
  <w:style w:type="paragraph" w:styleId="Style34">
    <w:name w:val="Содержимое таблицы"/>
    <w:basedOn w:val="Normal"/>
    <w:qFormat/>
    <w:pPr>
      <w:widowControl w:val="false"/>
      <w:suppressLineNumbers/>
    </w:pPr>
    <w:rPr/>
  </w:style>
  <w:style w:type="paragraph" w:styleId="Style35">
    <w:name w:val="Заголовок таблицы"/>
    <w:basedOn w:val="Style34"/>
    <w:qFormat/>
    <w:pPr>
      <w:suppressLineNumbers/>
      <w:jc w:val="center"/>
    </w:pPr>
    <w:rPr>
      <w:b/>
      <w:bCs/>
    </w:rPr>
  </w:style>
  <w:style w:type="paragraph" w:styleId="Standard">
    <w:name w:val="Standard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Andale Sans UI" w:cs="Tahoma"/>
      <w:color w:val="auto"/>
      <w:kern w:val="2"/>
      <w:sz w:val="24"/>
      <w:szCs w:val="24"/>
      <w:lang w:val="de-DE" w:eastAsia="zh-CN" w:bidi="fa-IR"/>
    </w:rPr>
  </w:style>
  <w:style w:type="paragraph" w:styleId="Style111">
    <w:name w:val="Style11"/>
    <w:basedOn w:val="Normal"/>
    <w:next w:val="Normal"/>
    <w:qFormat/>
    <w:pPr/>
    <w:rPr/>
  </w:style>
  <w:style w:type="paragraph" w:styleId="311">
    <w:name w:val="Основной текст с отступом 31"/>
    <w:basedOn w:val="Normal"/>
    <w:qFormat/>
    <w:pPr>
      <w:spacing w:before="0" w:after="120"/>
      <w:ind w:left="283" w:hanging="0"/>
    </w:pPr>
    <w:rPr>
      <w:sz w:val="16"/>
      <w:szCs w:val="16"/>
    </w:rPr>
  </w:style>
  <w:style w:type="paragraph" w:styleId="Style36">
    <w:name w:val="Абзац списка"/>
    <w:basedOn w:val="Normal"/>
    <w:qFormat/>
    <w:pPr>
      <w:spacing w:lineRule="auto" w:line="240" w:before="0" w:after="0"/>
      <w:ind w:left="720" w:hanging="0"/>
    </w:pPr>
    <w:rPr>
      <w:rFonts w:ascii="Times New Roman" w:hAnsi="Times New Roman" w:cs="Times New Roman"/>
    </w:rPr>
  </w:style>
  <w:style w:type="paragraph" w:styleId="14">
    <w:name w:val="Текст1"/>
    <w:basedOn w:val="Normal"/>
    <w:qFormat/>
    <w:pPr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Style37">
    <w:name w:val="Style3"/>
    <w:basedOn w:val="Normal"/>
    <w:next w:val="Normal"/>
    <w:qFormat/>
    <w:pPr/>
    <w:rPr/>
  </w:style>
  <w:style w:type="paragraph" w:styleId="Style61">
    <w:name w:val="Style6"/>
    <w:basedOn w:val="Normal"/>
    <w:next w:val="Normal"/>
    <w:qFormat/>
    <w:pPr/>
    <w:rPr/>
  </w:style>
  <w:style w:type="paragraph" w:styleId="Style41">
    <w:name w:val="Style4"/>
    <w:basedOn w:val="Normal"/>
    <w:next w:val="Normal"/>
    <w:qFormat/>
    <w:pPr/>
    <w:rPr/>
  </w:style>
  <w:style w:type="paragraph" w:styleId="Style51">
    <w:name w:val="Style5"/>
    <w:basedOn w:val="Normal"/>
    <w:next w:val="Normal"/>
    <w:qFormat/>
    <w:pPr/>
    <w:rPr/>
  </w:style>
  <w:style w:type="paragraph" w:styleId="Style210">
    <w:name w:val="Style2"/>
    <w:basedOn w:val="Normal"/>
    <w:next w:val="Normal"/>
    <w:qFormat/>
    <w:pPr/>
    <w:rPr/>
  </w:style>
  <w:style w:type="paragraph" w:styleId="HTMLPreformatted">
    <w:name w:val="HTML Preformatted"/>
    <w:basedOn w:val="Normal"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textAlignment w:val="baseline"/>
    </w:pPr>
    <w:rPr>
      <w:rFonts w:ascii="Courier New" w:hAnsi="Courier New" w:cs="Courier New"/>
      <w:color w:val="000000"/>
      <w:sz w:val="20"/>
      <w:szCs w:val="20"/>
    </w:rPr>
  </w:style>
  <w:style w:type="paragraph" w:styleId="Style201">
    <w:name w:val="Style20"/>
    <w:basedOn w:val="Normal"/>
    <w:next w:val="Normal"/>
    <w:qFormat/>
    <w:pPr>
      <w:widowControl w:val="false"/>
      <w:suppressAutoHyphens w:val="true"/>
    </w:pPr>
    <w:rPr/>
  </w:style>
  <w:style w:type="paragraph" w:styleId="Style38">
    <w:name w:val="Верхний и нижний колонтитулы"/>
    <w:basedOn w:val="Normal"/>
    <w:qFormat/>
    <w:pPr>
      <w:tabs>
        <w:tab w:val="clear" w:pos="720"/>
        <w:tab w:val="center" w:pos="4819" w:leader="none"/>
        <w:tab w:val="right" w:pos="9638" w:leader="none"/>
      </w:tabs>
    </w:pPr>
    <w:rPr/>
  </w:style>
  <w:style w:type="paragraph" w:styleId="211">
    <w:name w:val="Основной текст с отступом 21"/>
    <w:basedOn w:val="Normal"/>
    <w:qFormat/>
    <w:pPr>
      <w:tabs>
        <w:tab w:val="clear" w:pos="720"/>
        <w:tab w:val="left" w:pos="1134" w:leader="none"/>
      </w:tabs>
      <w:ind w:firstLine="1140"/>
      <w:jc w:val="both"/>
    </w:pPr>
    <w:rPr>
      <w:sz w:val="22"/>
      <w:szCs w:val="20"/>
    </w:rPr>
  </w:style>
  <w:style w:type="paragraph" w:styleId="15">
    <w:name w:val="Указатель1"/>
    <w:basedOn w:val="Normal"/>
    <w:qFormat/>
    <w:pPr/>
    <w:rPr>
      <w:rFonts w:cs="Mangal"/>
    </w:rPr>
  </w:style>
  <w:style w:type="paragraph" w:styleId="16">
    <w:name w:val="Название1"/>
    <w:basedOn w:val="Normal"/>
    <w:qFormat/>
    <w:pPr>
      <w:spacing w:before="120" w:after="120"/>
    </w:pPr>
    <w:rPr>
      <w:rFonts w:cs="Mangal"/>
      <w:i/>
      <w:iCs/>
    </w:rPr>
  </w:style>
  <w:style w:type="paragraph" w:styleId="25">
    <w:name w:val="Указатель2"/>
    <w:basedOn w:val="Normal"/>
    <w:qFormat/>
    <w:pPr/>
    <w:rPr>
      <w:rFonts w:cs="Mangal"/>
    </w:rPr>
  </w:style>
  <w:style w:type="paragraph" w:styleId="26">
    <w:name w:val="Название2"/>
    <w:basedOn w:val="Normal"/>
    <w:qFormat/>
    <w:pPr>
      <w:spacing w:before="120" w:after="120"/>
    </w:pPr>
    <w:rPr>
      <w:rFonts w:cs="Mangal"/>
      <w:i/>
      <w:iCs/>
    </w:rPr>
  </w:style>
  <w:style w:type="paragraph" w:styleId="Style39">
    <w:name w:val="Body Text Indent"/>
    <w:basedOn w:val="Normal"/>
    <w:pPr>
      <w:spacing w:lineRule="auto" w:line="240" w:before="0" w:after="0"/>
      <w:ind w:left="0" w:right="0" w:firstLine="397"/>
      <w:jc w:val="both"/>
    </w:pPr>
    <w:rPr>
      <w:rFonts w:ascii="Times New Roman" w:hAnsi="Times New Roman" w:cs="Times New Roman"/>
      <w:sz w:val="24"/>
      <w:szCs w:val="24"/>
    </w:rPr>
  </w:style>
  <w:style w:type="paragraph" w:styleId="Default">
    <w:name w:val="Default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2"/>
      <w:sz w:val="24"/>
      <w:szCs w:val="24"/>
      <w:lang w:val="ru-RU" w:eastAsia="zh-CN" w:bidi="ar-SA"/>
    </w:rPr>
  </w:style>
  <w:style w:type="paragraph" w:styleId="FORMATTEXT">
    <w:name w:val=".FORMATTEXT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Arial" w:hAnsi="Arial" w:eastAsia="Courier New" w:cs="Lucida Sans"/>
      <w:color w:val="auto"/>
      <w:kern w:val="0"/>
      <w:sz w:val="20"/>
      <w:szCs w:val="24"/>
      <w:lang w:val="ru-RU" w:eastAsia="zh-CN" w:bidi="hi-IN"/>
    </w:rPr>
  </w:style>
  <w:style w:type="paragraph" w:styleId="Style40">
    <w:name w:val="[Без стиля]"/>
    <w:qFormat/>
    <w:pPr>
      <w:widowControl/>
      <w:suppressAutoHyphens w:val="true"/>
      <w:overflowPunct w:val="false"/>
      <w:bidi w:val="0"/>
      <w:spacing w:lineRule="auto" w:line="288" w:before="0" w:after="0"/>
      <w:jc w:val="left"/>
      <w:textAlignment w:val="center"/>
    </w:pPr>
    <w:rPr>
      <w:rFonts w:ascii="Times New Roman" w:hAnsi="Times New Roman" w:eastAsia="Symbol" w:cs="Times New Roman"/>
      <w:color w:val="000000"/>
      <w:kern w:val="0"/>
      <w:sz w:val="24"/>
      <w:szCs w:val="24"/>
      <w:lang w:val="en-US" w:eastAsia="en-US" w:bidi="ar-SA"/>
    </w:rPr>
  </w:style>
  <w:style w:type="paragraph" w:styleId="17PRILtxt">
    <w:name w:val="17PRIL-txt"/>
    <w:basedOn w:val="Style40"/>
    <w:qFormat/>
    <w:pPr>
      <w:tabs>
        <w:tab w:val="clear" w:pos="720"/>
        <w:tab w:val="center" w:pos="4791" w:leader="none"/>
      </w:tabs>
      <w:spacing w:lineRule="atLeast" w:line="380" w:before="0" w:after="0"/>
      <w:ind w:left="567" w:right="567" w:firstLine="283"/>
      <w:jc w:val="both"/>
      <w:textAlignment w:val="center"/>
    </w:pPr>
    <w:rPr>
      <w:rFonts w:ascii="TextBookC" w:hAnsi="TextBookC" w:cs="TextBookC"/>
      <w:color w:val="000000"/>
      <w:sz w:val="20"/>
      <w:szCs w:val="20"/>
    </w:rPr>
  </w:style>
  <w:style w:type="paragraph" w:styleId="Norm">
    <w:name w:val="Norm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Таблица простая 11"/>
    <w:basedOn w:val="a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shd w:val="clear" w:color="FFFFFF" w:fill="F2F2F2" w:themeFill="text1" w:themeFillTint="d"/>
      </w:tcPr>
    </w:tblStylePr>
    <w:tblStylePr w:type="band1Horz">
      <w:tblPr/>
      <w:tcPr>
        <w:shd w:val="clear" w:color="FFFFFF" w:fill="F2F2F2" w:themeFill="text1" w:themeFillTint="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  <w:tblPr/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color="97B4D8" w:themeColor="accen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color="DA9896" w:themeColor="accent2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color="C4D79D" w:themeColor="accent3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color="B4A4C8" w:themeColor="accent4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color="95CEDD" w:themeColor="accent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color="FAC192" w:themeColor="accent6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D8AC2" w:themeColor="accent1" w:sz="12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FFFFFF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12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12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12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FFFFFF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5D8AC2" w:themeColor="accent1" w:sz="4" w:space="0"/>
          <w:left w:val="single" w:color="5D8AC2" w:themeColor="accent1" w:sz="4" w:space="0"/>
          <w:bottom w:val="single" w:color="5D8AC2" w:themeColor="accent1" w:sz="4" w:space="0"/>
          <w:right w:val="single" w:color="5D8AC2" w:themeColor="accent1" w:sz="4" w:space="0"/>
        </w:tcBorders>
        <w:shd w:val="clear" w:color="FFFFFF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CE6F2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FFFFFF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D99695" w:themeColor="accent2" w:sz="4" w:space="0"/>
          <w:left w:val="single" w:color="D99695" w:themeColor="accent2" w:sz="4" w:space="0"/>
          <w:bottom w:val="single" w:color="D99695" w:themeColor="accent2" w:sz="4" w:space="0"/>
          <w:right w:val="single" w:color="D99695" w:themeColor="accent2" w:sz="4" w:space="0"/>
        </w:tcBorders>
        <w:shd w:val="clear" w:color="FFFFFF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9ABB59" w:themeColor="accent3" w:sz="4" w:space="0"/>
          <w:left w:val="single" w:color="9ABB59" w:themeColor="accent3" w:sz="4" w:space="0"/>
          <w:bottom w:val="single" w:color="9ABB59" w:themeColor="accent3" w:sz="4" w:space="0"/>
          <w:right w:val="single" w:color="9ABB59" w:themeColor="accent3" w:sz="4" w:space="0"/>
        </w:tcBorders>
        <w:shd w:val="clear" w:color="FFFFFF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B2A1C6" w:themeColor="accent4" w:sz="4" w:space="0"/>
          <w:left w:val="single" w:color="B2A1C6" w:themeColor="accent4" w:sz="4" w:space="0"/>
          <w:bottom w:val="single" w:color="B2A1C6" w:themeColor="accent4" w:sz="4" w:space="0"/>
          <w:right w:val="single" w:color="B2A1C6" w:themeColor="accent4" w:sz="4" w:space="0"/>
        </w:tcBorders>
        <w:shd w:val="clear" w:color="FFFFFF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FFFFFF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FFFFF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4F81BD" w:themeFill="accent1"/>
      </w:tcPr>
    </w:tblStylePr>
    <w:tblStylePr w:type="firstCol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band1Vert">
      <w:tblPr/>
      <w:tcPr>
        <w:shd w:val="clear" w:color="FFFFFF" w:fill="AEC4E0" w:themeFill="accent1" w:themeFillTint="75"/>
      </w:tcPr>
    </w:tblStylePr>
    <w:tblStylePr w:type="band1Horz">
      <w:tblPr/>
      <w:tcPr>
        <w:shd w:val="clear" w:color="FFFFFF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C0504D" w:themeFill="accent2"/>
      </w:tcPr>
    </w:tblStylePr>
    <w:tblStylePr w:type="firstCol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band1Vert">
      <w:tblPr/>
      <w:tcPr>
        <w:shd w:val="clear" w:color="FFFFFF" w:fill="E2AEAD" w:themeFill="accent2" w:themeFillTint="75"/>
      </w:tcPr>
    </w:tblStylePr>
    <w:tblStylePr w:type="band1Horz">
      <w:tblPr/>
      <w:tcPr>
        <w:shd w:val="clear" w:color="FFFFFF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9BBB59" w:themeFill="accent3"/>
      </w:tcPr>
    </w:tblStylePr>
    <w:tblStylePr w:type="firstCol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band1Vert">
      <w:tblPr/>
      <w:tcPr>
        <w:shd w:val="clear" w:color="FFFFFF" w:fill="D0DFB2" w:themeFill="accent3" w:themeFillTint="75"/>
      </w:tcPr>
    </w:tblStylePr>
    <w:tblStylePr w:type="band1Horz">
      <w:tblPr/>
      <w:tcPr>
        <w:shd w:val="clear" w:color="FFFFFF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8064A2" w:themeFill="accent4"/>
      </w:tcPr>
    </w:tblStylePr>
    <w:tblStylePr w:type="firstCol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band1Vert">
      <w:tblPr/>
      <w:tcPr>
        <w:shd w:val="clear" w:color="FFFFFF" w:fill="C4B7D4" w:themeFill="accent4" w:themeFillTint="75"/>
      </w:tcPr>
    </w:tblStylePr>
    <w:tblStylePr w:type="band1Horz">
      <w:tblPr/>
      <w:tcPr>
        <w:shd w:val="clear" w:color="FFFFFF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4BACC6" w:themeFill="accent5"/>
      </w:tcPr>
    </w:tblStylePr>
    <w:tblStylePr w:type="firstCol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band1Vert">
      <w:tblPr/>
      <w:tcPr>
        <w:shd w:val="clear" w:color="FFFFFF" w:fill="ACD8E4" w:themeFill="accent5" w:themeFillTint="75"/>
      </w:tcPr>
    </w:tblStylePr>
    <w:tblStylePr w:type="band1Horz">
      <w:tblPr/>
      <w:tcPr>
        <w:shd w:val="clear" w:color="FFFFFF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F79646" w:themeFill="accent6"/>
      </w:tcPr>
    </w:tblStylePr>
    <w:tblStylePr w:type="firstCol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band1Vert">
      <w:tblPr/>
      <w:tcPr>
        <w:shd w:val="clear" w:color="FFFFFF" w:fill="FBCEAA" w:themeFill="accent6" w:themeFillTint="75"/>
      </w:tcPr>
    </w:tblStylePr>
    <w:tblStylePr w:type="band1Horz">
      <w:tblPr/>
      <w:tcPr>
        <w:shd w:val="clear" w:color="FFFFFF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val="7F7F7F" w:themeColor="text1" w:themeTint="80" w:themeShade="95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lastCol">
      <w:rPr>
        <w:b/>
        <w:color w:val="7F7F7F" w:themeColor="text1" w:themeTint="80" w:themeShade="95"/>
      </w:rPr>
      <w:tblPr/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color="A6BFDD" w:themeColor="accent1" w:sz="12" w:space="0"/>
        </w:tcBorders>
      </w:tcPr>
    </w:tblStylePr>
    <w:tblStylePr w:type="lastRow">
      <w:rPr>
        <w:b/>
        <w:color w:val="A6BFDD" w:themeColor="accent1" w:themeTint="80" w:themeShade="95"/>
      </w:rPr>
      <w:tblPr/>
    </w:tblStylePr>
    <w:tblStylePr w:type="firstCol">
      <w:rPr>
        <w:b/>
        <w:color w:val="A6BFDD" w:themeColor="accent1" w:themeTint="80" w:themeShade="95"/>
      </w:rPr>
      <w:tblPr/>
    </w:tblStylePr>
    <w:tblStylePr w:type="lastCol">
      <w:rPr>
        <w:b/>
        <w:color w:val="A6BFDD" w:themeColor="accent1" w:themeTint="80" w:themeShade="95"/>
      </w:rPr>
      <w:tblPr/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b/>
        <w:color w:val="D99695" w:themeColor="accent2" w:themeTint="97" w:themeShade="95"/>
      </w:rPr>
      <w:tblPr/>
    </w:tblStylePr>
    <w:tblStylePr w:type="firstCol">
      <w:rPr>
        <w:b/>
        <w:color w:val="D99695" w:themeColor="accent2" w:themeTint="97" w:themeShade="95"/>
      </w:rPr>
      <w:tblPr/>
    </w:tblStylePr>
    <w:tblStylePr w:type="lastCol">
      <w:rPr>
        <w:b/>
        <w:color w:val="D99695" w:themeColor="accent2" w:themeTint="97" w:themeShade="95"/>
      </w:rPr>
      <w:tblPr/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color="9ABB59" w:themeColor="accent3" w:sz="12" w:space="0"/>
        </w:tcBorders>
      </w:tcPr>
    </w:tblStylePr>
    <w:tblStylePr w:type="lastRow">
      <w:rPr>
        <w:b/>
        <w:color w:val="9ABB59" w:themeColor="accent3" w:themeTint="fe" w:themeShade="95"/>
      </w:rPr>
      <w:tblPr/>
    </w:tblStylePr>
    <w:tblStylePr w:type="firstCol">
      <w:rPr>
        <w:b/>
        <w:color w:val="9ABB59" w:themeColor="accent3" w:themeTint="fe" w:themeShade="95"/>
      </w:rPr>
      <w:tblPr/>
    </w:tblStylePr>
    <w:tblStylePr w:type="lastCol">
      <w:rPr>
        <w:b/>
        <w:color w:val="9ABB59" w:themeColor="accent3" w:themeTint="fe" w:themeShade="95"/>
      </w:rPr>
      <w:tblPr/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FFFFFF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b/>
        <w:color w:val="B2A1C6" w:themeColor="accent4" w:themeTint="9a" w:themeShade="95"/>
      </w:rPr>
      <w:tblPr/>
    </w:tblStylePr>
    <w:tblStylePr w:type="firstCol">
      <w:rPr>
        <w:b/>
        <w:color w:val="B2A1C6" w:themeColor="accent4" w:themeTint="9a" w:themeShade="95"/>
      </w:rPr>
      <w:tblPr/>
    </w:tblStylePr>
    <w:tblStylePr w:type="lastCol">
      <w:rPr>
        <w:b/>
        <w:color w:val="B2A1C6" w:themeColor="accent4" w:themeTint="9a" w:themeShade="95"/>
      </w:rPr>
      <w:tblPr/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FFFFF" w:fill="FDE9D8" w:themeFill="accent6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FFFFFF" w:fill="FFFFFF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6BFDD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color="A6BFDD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6BFDD" w:themeColor="accent1" w:sz="4" w:space="0"/>
        </w:tcBorders>
        <w:shd w:val="clear" w:color="FFFFFF" w:fill="FFFFFF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single" w:color="A6BFDD" w:themeColor="accent1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99695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99695" w:themeColor="accent2" w:sz="4" w:space="0"/>
        </w:tcBorders>
        <w:shd w:val="clear" w:color="FFFFFF" w:fill="FFFFFF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single" w:color="D99695" w:themeColor="accent2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ABB59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color="9ABB59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ABB59" w:themeColor="accent3" w:sz="4" w:space="0"/>
        </w:tcBorders>
        <w:shd w:val="clear" w:color="FFFFFF" w:fill="FFFFFF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single" w:color="9ABB59" w:themeColor="accent3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FFFFFF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B2A1C6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B2A1C6" w:themeColor="accent4" w:sz="4" w:space="0"/>
        </w:tcBorders>
        <w:shd w:val="clear" w:color="FFFFFF" w:fill="FFFFFF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single" w:color="B2A1C6" w:themeColor="accent4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9D0DE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color="99D0DE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9D0DE" w:themeColor="accent5" w:sz="4" w:space="0"/>
        </w:tcBorders>
        <w:shd w:val="clear" w:color="FFFFFF" w:fill="FFFFFF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color="auto" w:sz="0" w:space="0"/>
          <w:left w:val="single" w:color="99D0DE" w:themeColor="accent5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AC396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color="FAC396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AC396" w:themeColor="accent6" w:sz="4" w:space="0"/>
        </w:tcBorders>
        <w:shd w:val="clear" w:color="FFFFFF" w:fill="FFFFFF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color="auto" w:sz="0" w:space="0"/>
          <w:left w:val="single" w:color="FAC396" w:themeColor="accent6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FFFFF" w:fill="FDE9D8" w:themeFill="accent6" w:themeFillTint="34"/>
      </w:tcPr>
    </w:tblStylePr>
    <w:tblStylePr w:type="band2Horz">
      <w:rPr>
        <w:color w:val="B15407" w:themeColor="accent6" w:themeShade="95"/>
        <w:sz w:val="22"/>
      </w:rPr>
      <w:tblPr/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tblPr/>
      <w:tcPr>
        <w:shd w:val="clear" w:color="FFFFFF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tblPr/>
      <w:tcPr>
        <w:shd w:val="clear" w:color="FFFFFF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tblPr/>
      <w:tcPr>
        <w:shd w:val="clear" w:color="FFFFFF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tblPr/>
      <w:tcPr>
        <w:shd w:val="clear" w:color="FFFFFF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tblPr/>
      <w:tcPr>
        <w:shd w:val="clear" w:color="FFFFFF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tblPr/>
      <w:tcPr>
        <w:shd w:val="clear" w:color="FFFFFF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FFFFFF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FFFFF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FFFFFF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FFFF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FFFFFF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FFFFF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D99695" w:themeColor="accent2" w:sz="4" w:space="0"/>
          <w:right w:val="single" w:color="D99695" w:themeColor="accent2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99695" w:themeColor="accent2" w:sz="4" w:space="0"/>
          <w:bottom w:val="single" w:color="D99695" w:themeColor="accent2" w:sz="4" w:space="0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C3D69B" w:themeFill="accent3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C3D69B" w:themeColor="accent3" w:sz="4" w:space="0"/>
          <w:right w:val="single" w:color="C3D69B" w:themeColor="accent3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3D69B" w:themeColor="accent3" w:sz="4" w:space="0"/>
          <w:bottom w:val="single" w:color="C3D69B" w:themeColor="accent3" w:sz="4" w:space="0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B2A1C6" w:themeColor="accent4" w:sz="4" w:space="0"/>
          <w:right w:val="single" w:color="B2A1C6" w:themeColor="accent4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2A1C6" w:themeColor="accent4" w:sz="4" w:space="0"/>
          <w:bottom w:val="single" w:color="B2A1C6" w:themeColor="accent4" w:sz="4" w:space="0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92CCDC" w:themeFill="accent5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92CCDC" w:themeColor="accent5" w:sz="4" w:space="0"/>
          <w:right w:val="single" w:color="92CCDC" w:themeColor="accent5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92CCDC" w:themeColor="accent5" w:sz="4" w:space="0"/>
          <w:bottom w:val="single" w:color="92CCDC" w:themeColor="accent5" w:sz="4" w:space="0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FAC090" w:themeFill="accent6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FAC090" w:themeColor="accent6" w:sz="4" w:space="0"/>
          <w:right w:val="single" w:color="FAC090" w:themeColor="accent6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AC090" w:themeColor="accent6" w:sz="4" w:space="0"/>
          <w:bottom w:val="single" w:color="FAC090" w:themeColor="accent6" w:sz="4" w:space="0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FFFFFF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FFFFF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FFFFFF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FFFF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FFFFFF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FFFFF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FFFFFF" w:fill="4F81BD" w:themeFill="accent1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D99695" w:themeColor="accent2" w:sz="32" w:space="0"/>
          <w:bottom w:val="single" w:color="FFFFFF" w:themeColor="light1" w:sz="12" w:space="0"/>
        </w:tcBorders>
        <w:shd w:val="clear" w:color="FFFFFF" w:fill="D99695" w:themeFill="accent2" w:themeFillTint="97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D99695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99695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C3D69B" w:themeColor="accent3" w:sz="32" w:space="0"/>
          <w:bottom w:val="single" w:color="FFFFFF" w:themeColor="light1" w:sz="12" w:space="0"/>
        </w:tcBorders>
        <w:shd w:val="clear" w:color="FFFFFF" w:fill="C3D69B" w:themeFill="accent3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C3D69B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3D69B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B2A1C6" w:themeColor="accent4" w:sz="32" w:space="0"/>
          <w:bottom w:val="single" w:color="FFFFFF" w:themeColor="light1" w:sz="12" w:space="0"/>
        </w:tcBorders>
        <w:shd w:val="clear" w:color="FFFFFF" w:fill="B2A1C6" w:themeFill="accent4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B2A1C6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92CCDC" w:themeColor="accent5" w:sz="32" w:space="0"/>
          <w:bottom w:val="single" w:color="FFFFFF" w:themeColor="light1" w:sz="12" w:space="0"/>
        </w:tcBorders>
        <w:shd w:val="clear" w:color="FFFFFF" w:fill="92CCDC" w:themeFill="accent5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92CCDC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FAC090" w:themeColor="accent6" w:sz="32" w:space="0"/>
          <w:bottom w:val="single" w:color="FFFFFF" w:themeColor="light1" w:sz="12" w:space="0"/>
        </w:tcBorders>
        <w:shd w:val="clear" w:color="FFFFFF" w:fill="FAC090" w:themeFill="accent6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AC090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val="000000" w:themeColor="text1"/>
      </w:rPr>
      <w:tblPr/>
    </w:tblStylePr>
    <w:tblStylePr w:type="lastCol">
      <w:rPr>
        <w:b/>
        <w:color w:val="000000" w:themeColor="text1"/>
      </w:rPr>
      <w:tblPr/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A71" w:themeColor="accent1" w:themeShade="95"/>
      </w:rPr>
      <w:tblPr/>
    </w:tblStylePr>
    <w:tblStylePr w:type="lastCol">
      <w:rPr>
        <w:b/>
        <w:color w:val="2A4A71" w:themeColor="accent1" w:themeShade="95"/>
      </w:rPr>
      <w:tblPr/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FFFFFF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4" w:space="0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  <w:color w:val="D99695" w:themeColor="accent2" w:themeTint="97" w:themeShade="95"/>
      </w:rPr>
      <w:tblPr/>
    </w:tblStylePr>
    <w:tblStylePr w:type="lastCol">
      <w:rPr>
        <w:b/>
        <w:color w:val="D99695" w:themeColor="accent2" w:themeTint="97" w:themeShade="95"/>
      </w:rPr>
      <w:tblPr/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color="C3D69B" w:themeColor="accent3" w:sz="4" w:space="0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color="C3D69B" w:themeColor="accent3" w:sz="4" w:space="0"/>
        </w:tcBorders>
      </w:tcPr>
    </w:tblStylePr>
    <w:tblStylePr w:type="firstCol">
      <w:rPr>
        <w:b/>
        <w:color w:val="C3D69B" w:themeColor="accent3" w:themeTint="98" w:themeShade="95"/>
      </w:rPr>
      <w:tblPr/>
    </w:tblStylePr>
    <w:tblStylePr w:type="lastCol">
      <w:rPr>
        <w:b/>
        <w:color w:val="C3D69B" w:themeColor="accent3" w:themeTint="98" w:themeShade="95"/>
      </w:rPr>
      <w:tblPr/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FFFFFF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4" w:space="0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  <w:color w:val="B2A1C6" w:themeColor="accent4" w:themeTint="9a" w:themeShade="95"/>
      </w:rPr>
      <w:tblPr/>
    </w:tblStylePr>
    <w:tblStylePr w:type="lastCol">
      <w:rPr>
        <w:b/>
        <w:color w:val="B2A1C6" w:themeColor="accent4" w:themeTint="9a" w:themeShade="95"/>
      </w:rPr>
      <w:tblPr/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color="92CCDC" w:themeColor="accent5" w:sz="4" w:space="0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color="92CCDC" w:themeColor="accent5" w:sz="4" w:space="0"/>
        </w:tcBorders>
      </w:tcPr>
    </w:tblStylePr>
    <w:tblStylePr w:type="firstCol">
      <w:rPr>
        <w:b/>
        <w:color w:val="92CCDC" w:themeColor="accent5" w:themeTint="9a" w:themeShade="95"/>
      </w:rPr>
      <w:tblPr/>
    </w:tblStylePr>
    <w:tblStylePr w:type="lastCol">
      <w:rPr>
        <w:b/>
        <w:color w:val="92CCDC" w:themeColor="accent5" w:themeTint="9a" w:themeShade="95"/>
      </w:rPr>
      <w:tblPr/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color="FAC090" w:themeColor="accent6" w:sz="4" w:space="0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color="FAC090" w:themeColor="accent6" w:sz="4" w:space="0"/>
        </w:tcBorders>
      </w:tcPr>
    </w:tblStylePr>
    <w:tblStylePr w:type="firstCol">
      <w:rPr>
        <w:b/>
        <w:color w:val="FAC090" w:themeColor="accent6" w:themeTint="98" w:themeShade="95"/>
      </w:rPr>
      <w:tblPr/>
    </w:tblStylePr>
    <w:tblStylePr w:type="lastCol">
      <w:rPr>
        <w:b/>
        <w:color w:val="FAC090" w:themeColor="accent6" w:themeTint="98" w:themeShade="95"/>
      </w:rPr>
      <w:tblPr/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FFFFF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FFFFFF" w:fill="FFFFFF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color="4F81BD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F81BD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color="4F81BD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F81BD" w:themeColor="accent1" w:sz="4" w:space="0"/>
        </w:tcBorders>
        <w:shd w:val="clear" w:color="FFFFFF" w:fill="FFFFFF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single" w:color="4F81BD" w:themeColor="accent1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FFFFFF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99695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99695" w:themeColor="accent2" w:sz="4" w:space="0"/>
        </w:tcBorders>
        <w:shd w:val="clear" w:color="FFFFFF" w:fill="FFFFFF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single" w:color="D99695" w:themeColor="accent2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C3D69B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color="C3D69B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C3D69B" w:themeColor="accent3" w:sz="4" w:space="0"/>
        </w:tcBorders>
        <w:shd w:val="clear" w:color="FFFFFF" w:fill="FFFFFF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single" w:color="C3D69B" w:themeColor="accent3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FFFFFF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B2A1C6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B2A1C6" w:themeColor="accent4" w:sz="4" w:space="0"/>
        </w:tcBorders>
        <w:shd w:val="clear" w:color="FFFFFF" w:fill="FFFFFF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single" w:color="B2A1C6" w:themeColor="accent4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2CCDC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color="92CCDC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2CCDC" w:themeColor="accent5" w:sz="4" w:space="0"/>
        </w:tcBorders>
        <w:shd w:val="clear" w:color="FFFFFF" w:fill="FFFFFF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single" w:color="92CCDC" w:themeColor="accent5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AC090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color="FAC090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AC090" w:themeColor="accent6" w:sz="4" w:space="0"/>
        </w:tcBorders>
        <w:shd w:val="clear" w:color="FFFFFF" w:fill="FFFFFF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single" w:color="FAC090" w:themeColor="accent6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FFFFF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C7D7EA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4BACC6" w:themeFill="accent5"/>
      </w:tcPr>
    </w:tblStylePr>
    <w:tblStylePr w:type="lastRow">
      <w:rPr>
        <w:color w:val="F2F2F2"/>
        <w:sz w:val="22"/>
      </w:rPr>
      <w:tblPr/>
      <w:tcPr>
        <w:shd w:val="clear" w:color="FFFFFF" w:fill="4BACC6" w:themeFill="accent5"/>
      </w:tcPr>
    </w:tblStylePr>
    <w:tblStylePr w:type="firstCol">
      <w:rPr>
        <w:color w:val="F2F2F2"/>
        <w:sz w:val="22"/>
      </w:rPr>
      <w:tblPr/>
      <w:tcPr>
        <w:shd w:val="clear" w:color="FFFFFF" w:fill="4BACC6" w:themeFill="accent5"/>
      </w:tcPr>
    </w:tblStylePr>
    <w:tblStylePr w:type="lastCol">
      <w:rPr>
        <w:color w:val="F2F2F2"/>
        <w:sz w:val="22"/>
      </w:rPr>
      <w:tblPr/>
      <w:tcPr>
        <w:shd w:val="clear" w:color="FFFFFF" w:fill="4BACC6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F79646" w:themeFill="accent6"/>
      </w:tcPr>
    </w:tblStylePr>
    <w:tblStylePr w:type="lastRow">
      <w:rPr>
        <w:color w:val="F2F2F2"/>
        <w:sz w:val="22"/>
      </w:rPr>
      <w:tblPr/>
      <w:tcPr>
        <w:shd w:val="clear" w:color="FFFFFF" w:fill="F79646" w:themeFill="accent6"/>
      </w:tcPr>
    </w:tblStylePr>
    <w:tblStylePr w:type="firstCol">
      <w:rPr>
        <w:color w:val="F2F2F2"/>
        <w:sz w:val="22"/>
      </w:rPr>
      <w:tblPr/>
      <w:tcPr>
        <w:shd w:val="clear" w:color="FFFFFF" w:fill="F79646" w:themeFill="accent6"/>
      </w:tcPr>
    </w:tblStylePr>
    <w:tblStylePr w:type="lastCol">
      <w:rPr>
        <w:color w:val="F2F2F2"/>
        <w:sz w:val="22"/>
      </w:rPr>
      <w:tblPr/>
      <w:tcPr>
        <w:shd w:val="clear" w:color="FFFFFF" w:fill="F79646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2A4A71" w:themeColor="accent1" w:sz="4" w:space="0"/>
        <w:left w:val="single" w:color="2A4A71" w:themeColor="accent1" w:sz="4" w:space="0"/>
        <w:bottom w:val="single" w:color="2A4A71" w:themeColor="accent1" w:sz="4" w:space="0"/>
        <w:right w:val="single" w:color="2A4A71" w:themeColor="accent1" w:sz="4" w:space="0"/>
        <w:insideH w:val="single" w:color="2A4A71" w:themeColor="accent1" w:sz="4" w:space="0"/>
        <w:insideV w:val="single" w:color="2A4A71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C7D7EA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732A29" w:themeColor="accent2" w:sz="4" w:space="0"/>
        <w:left w:val="single" w:color="732A29" w:themeColor="accent2" w:sz="4" w:space="0"/>
        <w:bottom w:val="single" w:color="732A29" w:themeColor="accent2" w:sz="4" w:space="0"/>
        <w:right w:val="single" w:color="732A29" w:themeColor="accent2" w:sz="4" w:space="0"/>
        <w:insideH w:val="single" w:color="732A29" w:themeColor="accent2" w:sz="4" w:space="0"/>
        <w:insideV w:val="single" w:color="732A29" w:themeColor="accent2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5B722E" w:themeColor="accent3" w:sz="4" w:space="0"/>
        <w:left w:val="single" w:color="5B722E" w:themeColor="accent3" w:sz="4" w:space="0"/>
        <w:bottom w:val="single" w:color="5B722E" w:themeColor="accent3" w:sz="4" w:space="0"/>
        <w:right w:val="single" w:color="5B722E" w:themeColor="accent3" w:sz="4" w:space="0"/>
        <w:insideH w:val="single" w:color="5B722E" w:themeColor="accent3" w:sz="4" w:space="0"/>
        <w:insideV w:val="single" w:color="5B722E" w:themeColor="accent3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4A395F" w:themeColor="accent4" w:sz="4" w:space="0"/>
        <w:left w:val="single" w:color="4A395F" w:themeColor="accent4" w:sz="4" w:space="0"/>
        <w:bottom w:val="single" w:color="4A395F" w:themeColor="accent4" w:sz="4" w:space="0"/>
        <w:right w:val="single" w:color="4A395F" w:themeColor="accent4" w:sz="4" w:space="0"/>
        <w:insideH w:val="single" w:color="4A395F" w:themeColor="accent4" w:sz="4" w:space="0"/>
        <w:insideV w:val="single" w:color="4A395F" w:themeColor="accent4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266779" w:themeColor="accent5" w:sz="4" w:space="0"/>
        <w:left w:val="single" w:color="266779" w:themeColor="accent5" w:sz="4" w:space="0"/>
        <w:bottom w:val="single" w:color="266779" w:themeColor="accent5" w:sz="4" w:space="0"/>
        <w:right w:val="single" w:color="266779" w:themeColor="accent5" w:sz="4" w:space="0"/>
        <w:insideH w:val="single" w:color="266779" w:themeColor="accent5" w:sz="4" w:space="0"/>
        <w:insideV w:val="single" w:color="266779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4BACC6" w:themeFill="accent5"/>
      </w:tcPr>
    </w:tblStylePr>
    <w:tblStylePr w:type="lastRow">
      <w:rPr>
        <w:color w:val="F2F2F2"/>
        <w:sz w:val="22"/>
      </w:rPr>
      <w:tblPr/>
      <w:tcPr>
        <w:shd w:val="clear" w:color="FFFFFF" w:fill="4BACC6" w:themeFill="accent5"/>
      </w:tcPr>
    </w:tblStylePr>
    <w:tblStylePr w:type="firstCol">
      <w:rPr>
        <w:color w:val="F2F2F2"/>
        <w:sz w:val="22"/>
      </w:rPr>
      <w:tblPr/>
      <w:tcPr>
        <w:shd w:val="clear" w:color="FFFFFF" w:fill="4BACC6" w:themeFill="accent5"/>
      </w:tcPr>
    </w:tblStylePr>
    <w:tblStylePr w:type="lastCol">
      <w:rPr>
        <w:color w:val="F2F2F2"/>
        <w:sz w:val="22"/>
      </w:rPr>
      <w:tblPr/>
      <w:tcPr>
        <w:shd w:val="clear" w:color="FFFFFF" w:fill="4BACC6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B15407" w:themeColor="accent6" w:sz="4" w:space="0"/>
        <w:left w:val="single" w:color="B15407" w:themeColor="accent6" w:sz="4" w:space="0"/>
        <w:bottom w:val="single" w:color="B15407" w:themeColor="accent6" w:sz="4" w:space="0"/>
        <w:right w:val="single" w:color="B15407" w:themeColor="accent6" w:sz="4" w:space="0"/>
        <w:insideH w:val="single" w:color="B15407" w:themeColor="accent6" w:sz="4" w:space="0"/>
        <w:insideV w:val="single" w:color="B15407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F79646" w:themeFill="accent6"/>
      </w:tcPr>
    </w:tblStylePr>
    <w:tblStylePr w:type="lastRow">
      <w:rPr>
        <w:color w:val="F2F2F2"/>
        <w:sz w:val="22"/>
      </w:rPr>
      <w:tblPr/>
      <w:tcPr>
        <w:shd w:val="clear" w:color="FFFFFF" w:fill="F79646" w:themeFill="accent6"/>
      </w:tcPr>
    </w:tblStylePr>
    <w:tblStylePr w:type="firstCol">
      <w:rPr>
        <w:color w:val="F2F2F2"/>
        <w:sz w:val="22"/>
      </w:rPr>
      <w:tblPr/>
      <w:tcPr>
        <w:shd w:val="clear" w:color="FFFFFF" w:fill="F79646" w:themeFill="accent6"/>
      </w:tcPr>
    </w:tblStylePr>
    <w:tblStylePr w:type="lastCol">
      <w:rPr>
        <w:color w:val="F2F2F2"/>
        <w:sz w:val="22"/>
      </w:rPr>
      <w:tblPr/>
      <w:tcPr>
        <w:shd w:val="clear" w:color="FFFFFF" w:fill="F79646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404040"/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404040"/>
        <w:sz w:val="22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D99695" w:themeColor="accent2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D99695" w:themeColor="accent2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404040"/>
        <w:sz w:val="22"/>
      </w:rPr>
      <w:tblPr/>
      <w:tcPr>
        <w:tcBorders>
          <w:bottom w:val="single" w:color="C3D69B" w:themeColor="accent3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C3D69B" w:themeColor="accent3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C3D69B" w:themeColor="accent3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404040"/>
        <w:sz w:val="22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B2A1C6" w:themeColor="accent4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B2A1C6" w:themeColor="accent4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404040"/>
        <w:sz w:val="22"/>
      </w:rPr>
      <w:tblPr/>
      <w:tcPr>
        <w:tcBorders>
          <w:bottom w:val="single" w:color="92CCDC" w:themeColor="accent5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92CCDC" w:themeColor="accent5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92CCDC" w:themeColor="accent5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404040"/>
        <w:sz w:val="22"/>
      </w:rPr>
      <w:tblPr/>
      <w:tcPr>
        <w:tcBorders>
          <w:bottom w:val="single" w:color="FAC090" w:themeColor="accent6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FAC090" w:themeColor="accent6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FAC090" w:themeColor="accent6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b">
    <w:name w:val="Table Grid"/>
    <w:basedOn w:val="a1"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A8E93808-E518-4EEF-9C06-BBE64F5CC14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1173</TotalTime>
  <Application>LibreOffice/7.3.4.2$Windows_X86_64 LibreOffice_project/728fec16bd5f605073805c3c9e7c4212a0120dc5</Application>
  <AppVersion>15.0000</AppVersion>
  <Pages>3</Pages>
  <Words>755</Words>
  <Characters>4903</Characters>
  <CharactersWithSpaces>5531</CharactersWithSpaces>
  <Paragraphs>129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Малюкова Наталья</dc:creator>
  <dc:description/>
  <dc:language>ru-RU</dc:language>
  <cp:lastModifiedBy/>
  <cp:lastPrinted>2026-04-28T15:45:46Z</cp:lastPrinted>
  <dcterms:modified xsi:type="dcterms:W3CDTF">2026-04-30T13:17:41Z</dcterms:modified>
  <cp:revision>132</cp:revision>
  <dc:subject/>
  <dc:title>ПРИМЕРНАЯ ПРОГРАММА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2019-06-14T00:00:00Z</vt:filetime>
  </property>
  <property fmtid="{D5CDD505-2E9C-101B-9397-08002B2CF9AE}" pid="3" name="Creator">
    <vt:lpwstr>Microsoft® Word для Office 365</vt:lpwstr>
  </property>
  <property fmtid="{D5CDD505-2E9C-101B-9397-08002B2CF9AE}" pid="4" name="HyperlinksChanged">
    <vt:bool>0</vt:bool>
  </property>
  <property fmtid="{D5CDD505-2E9C-101B-9397-08002B2CF9AE}" pid="5" name="LastSaved">
    <vt:filetime>2020-05-07T00:00:00Z</vt:filetime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