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90" w:after="0"/>
        <w:jc w:val="center"/>
        <w:rPr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  <w:lang w:val="en-US"/>
        </w:rPr>
        <w:t>1</w:t>
      </w:r>
      <w:r>
        <w:rPr>
          <w:b/>
          <w:bCs/>
          <w:sz w:val="24"/>
          <w:szCs w:val="24"/>
          <w:shd w:fill="auto" w:val="clear"/>
          <w:lang w:val="ru-RU"/>
        </w:rPr>
        <w:t>. ОБЩАЯ ХАРАКТЕРИСТИКА ПРОГРАММЫ</w:t>
      </w:r>
    </w:p>
    <w:p>
      <w:pPr>
        <w:pStyle w:val="Normal"/>
        <w:spacing w:before="90" w:after="0"/>
        <w:jc w:val="both"/>
        <w:rPr>
          <w:rFonts w:ascii="Times New Roman" w:hAnsi="Times New Roman"/>
          <w:b/>
          <w:b/>
          <w:bCs/>
          <w:sz w:val="24"/>
          <w:szCs w:val="24"/>
          <w:highlight w:val="none"/>
          <w:shd w:fill="auto" w:val="clear"/>
          <w:lang w:val="en-US"/>
        </w:rPr>
      </w:pPr>
      <w:r>
        <w:rPr>
          <w:b/>
          <w:bCs/>
          <w:sz w:val="24"/>
          <w:szCs w:val="24"/>
          <w:shd w:fill="auto" w:val="clear"/>
          <w:lang w:val="en-US"/>
        </w:rPr>
      </w:r>
    </w:p>
    <w:p>
      <w:pPr>
        <w:pStyle w:val="Normal"/>
        <w:spacing w:before="90" w:after="0"/>
        <w:ind w:left="0" w:right="0" w:firstLine="709"/>
        <w:jc w:val="both"/>
        <w:rPr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  <w:t>1.1 Нормативно-правовые основы разработки программы</w:t>
      </w:r>
    </w:p>
    <w:p>
      <w:pPr>
        <w:pStyle w:val="Style22"/>
        <w:jc w:val="both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Style22"/>
        <w:jc w:val="both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Spacing"/>
        <w:ind w:left="0" w:right="0" w:firstLine="709"/>
        <w:jc w:val="both"/>
        <w:rPr>
          <w:highlight w:val="none"/>
          <w:shd w:fill="auto" w:val="clear"/>
        </w:rPr>
      </w:pPr>
      <w:r>
        <w:rPr>
          <w:rFonts w:eastAsia="Calibri" w:cs="Times New Roman" w:ascii="Times New Roman" w:hAnsi="Times New Roman"/>
          <w:color w:val="000000"/>
          <w:kern w:val="0"/>
          <w:sz w:val="24"/>
          <w:szCs w:val="24"/>
          <w:shd w:fill="auto" w:val="clear"/>
          <w:lang w:val="ru-RU" w:eastAsia="ru-RU" w:bidi="ar-SA"/>
        </w:rPr>
        <w:t xml:space="preserve">Дополнительная профессиональная программа (программа профессиональной переподготовки): «Специалист по охране труда» (далее Программа) разработана  </w:t>
      </w:r>
      <w:r>
        <w:rPr>
          <w:rFonts w:eastAsia="Calibri" w:cs="Times New Roman" w:ascii="Times New Roman" w:hAnsi="Times New Roman"/>
          <w:color w:val="000000"/>
          <w:kern w:val="0"/>
          <w:sz w:val="24"/>
          <w:szCs w:val="24"/>
          <w:shd w:fill="auto" w:val="clear"/>
          <w:lang w:val="en-US" w:eastAsia="ru-RU" w:bidi="ar-SA"/>
        </w:rPr>
        <w:t>с</w:t>
      </w:r>
      <w:r>
        <w:rPr>
          <w:rFonts w:eastAsia="Calibri" w:cs="Times New Roman" w:ascii="Times New Roman" w:hAnsi="Times New Roman"/>
          <w:color w:val="000000"/>
          <w:kern w:val="0"/>
          <w:sz w:val="24"/>
          <w:szCs w:val="24"/>
          <w:shd w:fill="auto" w:val="clear"/>
          <w:lang w:val="ru-RU" w:eastAsia="ru-RU" w:bidi="ar-SA"/>
        </w:rPr>
        <w:t>оответствии с федеральным законом от 29.12.2012 № 273-ФЗ «Об образовании в Российской Федерации», приказом Минобрнауки России от 24.03.2025 № 266 «Об утверждении Порядка организации и осуществления образовательной деятельности по дополнительным профессиональным программам», приказом Минздравсоцразвития России от 17.05.2012 № 559н «Об утверждении Единого квалификационного справочника должностей руководителей, специалистов и служащих, раздел «Квалификационные характеристики должностей руководителей и специалистов, осуществляющих работы в области охраны труда», профстандартом 40.054 «Специалист в области охраны труда» утвержден приказом Министерства труда и социальной защиты Российской Федерации от 22.04.2021 № 274н</w:t>
      </w:r>
    </w:p>
    <w:p>
      <w:pPr>
        <w:pStyle w:val="Normal"/>
        <w:ind w:left="0" w:right="0" w:firstLine="709"/>
        <w:jc w:val="both"/>
        <w:rPr>
          <w:highlight w:val="none"/>
          <w:shd w:fill="auto" w:val="clear"/>
        </w:rPr>
      </w:pPr>
      <w:r>
        <w:rPr>
          <w:rFonts w:cs="Times New Roman"/>
          <w:sz w:val="24"/>
          <w:szCs w:val="24"/>
          <w:shd w:fill="auto" w:val="clear"/>
        </w:rPr>
        <w:t xml:space="preserve">Настоящая программа отвечает следующим требованиям: </w:t>
      </w:r>
    </w:p>
    <w:p>
      <w:pPr>
        <w:pStyle w:val="NoSpacing"/>
        <w:numPr>
          <w:ilvl w:val="0"/>
          <w:numId w:val="1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не противоречит федеральным государственным образовательным стандартам высшего и среднего профессионального образования и ориентирована на современные образовательные технологии и средства обучения. Ориентация на современные образовательные технологии реализована в формах и методах обучения, в методах контроля и управления образовательным процессом и средствах обучения;</w:t>
      </w:r>
    </w:p>
    <w:p>
      <w:pPr>
        <w:pStyle w:val="NoSpacing"/>
        <w:numPr>
          <w:ilvl w:val="0"/>
          <w:numId w:val="1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ориентирована на современные образовательные технологии и средства обучения (обучение проводится с использованием дистанционных технологий);</w:t>
      </w:r>
    </w:p>
    <w:p>
      <w:pPr>
        <w:pStyle w:val="NoSpacing"/>
        <w:numPr>
          <w:ilvl w:val="0"/>
          <w:numId w:val="1"/>
        </w:numPr>
        <w:jc w:val="both"/>
        <w:rPr>
          <w:highlight w:val="none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</w:rPr>
        <w:t>соответствует принятым правилам оформления программ.</w:t>
      </w:r>
    </w:p>
    <w:p>
      <w:pPr>
        <w:pStyle w:val="NoSpacing"/>
        <w:numPr>
          <w:ilvl w:val="0"/>
          <w:numId w:val="0"/>
        </w:numPr>
        <w:ind w:left="720" w:hanging="0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pacing w:before="90" w:after="0"/>
        <w:ind w:left="0" w:right="0" w:firstLine="709"/>
        <w:jc w:val="both"/>
        <w:rPr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  <w:t>1.2 Цель реализации программы</w:t>
      </w:r>
    </w:p>
    <w:p>
      <w:pPr>
        <w:pStyle w:val="NoSpacing"/>
        <w:ind w:left="0" w:right="0" w:firstLine="709"/>
        <w:jc w:val="both"/>
        <w:rPr>
          <w:rFonts w:ascii="Times New Roman" w:hAnsi="Times New Roman" w:cs="Times New Roman"/>
          <w:sz w:val="24"/>
          <w:szCs w:val="24"/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"/>
        <w:ind w:left="0" w:right="0" w:firstLine="709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  <w:lang w:val="ru-RU"/>
        </w:rPr>
        <w:t>Целью программы является подготовка слушателей, направленная на получение ими новой компетенции, необходимой для профессиональной деятельности по профилактике несчастных случаев на производстве и профессиональных заболеваний, снижению уровня воздействия (устранение воздействия) на работников вредных и (или) опасных производственных факторов, управлению профессиональными рисками.</w:t>
      </w:r>
    </w:p>
    <w:p>
      <w:pPr>
        <w:pStyle w:val="Normal"/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/>
          <w:sz w:val="24"/>
          <w:szCs w:val="24"/>
          <w:shd w:fill="auto" w:val="clear"/>
        </w:rPr>
        <w:t>Слушатели в результате освоения Программы должны обладать следующими профессиональными компетенциями: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Разработка, согласование и актуализация проектов локальных нормативных актов, содержащих требования по обеспечению безопасных условий и охраны труда;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Подготовка предложений по вопросам охраны и условий труда для включения в разделы коллективного договора, соглашения по охране труда и трудовые договоры;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Обсуждение с представительными органами работников вопросов реализации разделов коллективного договора, связанных с вопросами охраны и условий труда;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Анализ реализации разделов коллективного договора, связанных с вопросами охраны и условий труда, подготовка информации и предложений;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Осуществлять мониторинг законодательства Российской Федерации и передового опыта в области охраны труда;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Выявление потребностей в обучении по охране труда, оказанию первой помощи пострадавшим с учетом требований соответствующих нормативных правовых актов;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Подготовка проекта технического задания для заключения контрактов с образовательными организациями на проведение обучения руководителей и специалистов по вопросам охраны труда, проверки знания требований охраны труда с использованием электронных шаблонов;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Контроль за проведением обучения работников безопасным методам и приемам выполнения работ, инструктажей по охране труда и стажировок в соответствии с нормативными требованиями;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Оказание методической помощи руководителям структурных подразделений в разработке программ обучения, инструктажей, стажировок и инструкций по охране труда;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Организация проведения периодического обучения работников рабочих профессий оказанию первой помощи пострадавшим;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Проведение вводного инструктажа по охране труда, координация проведения инструктажей по охране труда на рабочем месте;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Информирование работников об условиях и охране труда на рабочих местах, о риске повреждения здоровья, о предоставляемых гарантиях и компенсациях, применяемых средствах индивидуальной защиты;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Сбор, систематизация информации и предложений от работников, представителей работников структурных подразделений организации по вопросам условий и охраны труда;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Подготовка информации и документов, представляемых органам исполнительной власти, органам профсоюзного контроля, необходимых для осуществления ими своих полномочий;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Организация сбора и обработки и интеграции в соответствующие цифровые платформы информации, характеризующей состояние условий и охраны труда у работодателя;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Организация сбора информации об обеспеченности работников полагающимися им средствами индивидуальной защиты;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Формирование документов статистической отчетности, внутреннего документооборота, содержащих информацию по вопросам охраны труда;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Определение применимых в организации методов оценки вредных и (или) опасных производственных факторов, опасностей, профессиональных рисков на рабочих местах;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Выявление, анализ и оценка профессиональных рисков;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Разработка предложений по обеспечению безопасных условий и охраны труда, управлению профессиональными рисками;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Разработка предложений по повышению мотивации работников к безопасному труду и их заинтересованности в улучшении условий труда, по вовлечению их в решение вопросов, связанных с охраной труда;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Подготовка предложений по обеспечению режима труда и отдыха работников;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Анализ документов по приемке и вводу в эксплуатацию производственных объектов, проверка соответствия вводимых в эксплуатацию производственных объектов государственным нормативным требованиям охраны труда и подготовка предложений работодателю;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Контроль проведения обязательных медицинских осмотров (освидетельствований), обязательных психиатрических освидетельствований работников организации;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Контроль обеспечения работников средствами индивидуальной и коллективной защиты, а также их хранения, оценки состояния и исправности;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Подготовка предложений в план мероприятий по предупреждению производственного травматизма и профзаболеваний;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Подготовка предложений по лечебно-профилактическому обслуживанию и поддержанию требований по санитарно-бытовому обслуживанию работников в соответствии с установленными нормами;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Контроль наличия средств оказания первой помощи пострадавшим;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Контроль организации уголков и (или) кабинетов охраны труда;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Организация и координация работ по охране труда в структурных подразделениях организации;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Актуализация нормативных правовых актов, содержащих государственные нормативные требования охраны труда, в соответствии со спецификой деятельности работодателя;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Систематизация нормативных правовых актов, содержащих государственные нормативные требования охраны труда, в соответствии со спецификой деятельности работодателя;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Хранение нормативных правовых актов, содержащих государственные нормативные требования охраны труда, в соответствии со спецификой деятельности работодателя;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Планирование проведения производственного контроля и специальной оценки условий труда на рабочих местах;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Организация работы комиссии по проведению специальной оценки условий труда;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Координация работ по выявлению опасных и (или) вредных производственных факторов, воздействующих на работника на его рабочем месте;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Организация контроля за соблюдением методики проведения работ по специальной оценке условий труда, рассмотрение и анализ результатов ее проведения;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Подготовка документов, связанных с организацией и проведением специальной оценки условий труда и ее результатами;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Информировать работников об условиях труда на их рабочих местах, уровнях профессиональных рисков, а также о предоставляемых им гарантиях, полагающихся компенсациях;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Контроль исполнения перечня рекомендуемых мероприятий по улучшению условий труда, разработанного по результатам специальной оценки условий труда;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Организация работы комиссии по расследованию несчастных случаев, произошедших на производстве, и профессиональных заболеваний;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Проведение осмотра места происшествия и опросов причастных лиц;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Изучение и представление информации об обстоятельствах несчастных случаев на производстве и профессиональных заболеваний по установленной форме;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Взаимодействие с членами комиссии по расследованию несчастных случаев, профсоюзной организацией, должностными лицами органов государственного надзора и пострадавшим работником (его родственниками);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Установление причин и обстоятельств несчастного случая, а также лиц, ответственных за допущенные нарушения требований охраны труда;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Подготовка документов, необходимых для расследования и учета несчастных случаев, происшедших на производстве, и профессиональных заболеваний;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Направление материалов расследования несчастных случаев в соответствующие органы и организации, а также пострадавшим и их доверенным лицам в порядке, установленном законодательством Российской Федерации или иными нормативными правовыми актами;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Координация работ по разработке мероприятий, направленных на предупреждение несчастных случаев на производстве и профессиональных заболеваний;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Обеспечение проведения предварительного анализа состояния охраны труда у работодателя (совместно с работниками и (или) уполномоченными ими представительными органами);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Определение целей и задач работодателя в области охраны труда с учетом специфики деятельности работодателя;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Расчет численности службы охраны труда, подготовка предложений;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Подготовка предложений для включения в локальный нормативный акт о системе управления охраной труда;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Подготовка предложений по направлениям развития и корректировке системы управления охраной труда, снижения профессиональных рисков;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Подготовка предложений в проекты локальных нормативных актов по распределению обязанностей в сфере охраны труда между должностными лицами работодателя с использованием уровней управления;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Осуществление оперативной и консультационной связи с органами государственной власти по вопросам охраны труда;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Подготовка плана мероприятий по улучшению условий и охраны труда и снижению уровней профессиональных рисков, обоснование объемов их финансирования;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Сбор необходимой информации для проведения оценки состояния условий и охраны труда на рабочих местах;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Оценка соответствия данных отчетной (статистической) документации работодателя по вопросам условий и охраны труда на рабочих местах требованиям нормативных правовых документов к статистической отчетности работодателя;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Подготовка локального заключения по итогам оценки соответствия данных отчетной (статистической) документации работодателя по вопросам условий и охраны труда на рабочих местах требованиям нормативных правовых документов к статистической отчетности работодателя;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Документирование процедур системы управления охраной труда;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Разработка планов (программ) мероприятий по улучшению условий и охраны труда и снижению уровней профессиональных рисков на рабочих местах;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Информирование и консультирование руководителей, специалистов службы охраны труда и лиц, осуществляющих оперативное (линейное) руководство безопасностью и охраной труда работников, по обеспечению безопасных условий труда на рабочих местах и оценке профессиональных рисков;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Изучение и распространение передового опыта по охране труда;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Разработка предложений по эффективному организационному обеспечению управления охраной труда;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Разработка предложений по организации и координации работы по охране труда;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Разработка мероприятий по повышению уровня мотивации работников к безопасному труду, заинтересованности работников в улучшении условий труда на рабочих местах, вовлечению их в решение вопросов, связанных с охраной труда;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Формирование стандартов и внутренних регламентов по вопросу подготовки работников по охране труда;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Определение критериев результативности процедур подготовки работников по охране труда;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Сбор и анализ информации для оценки эффективности применяемых процедур подготовки работников по охране труда;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Определение задач, принципов и целей стратегического управления профессиональными рисками в организации;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Определение требований к методическому обеспечению системы управления профессиональными рисками в организации;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Организация разработки локальных нормативных актов по формированию системы стратегического управления профессиональными рисками в организации;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Координирование разработки регламентов управления профессиональными рисками в организации;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Внедрение единых подходов к управлению профессиональными рисками в организации;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Актуализация основных положений регламентов управления профессиональными рисками в организации;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Постановка задач участникам процесса управления профессиональными рисками в организации;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Определение сроков и контроль выполнения задач по реализации процесса внедрения системы управления профессиональными рисками в организации;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Организация разработки и внедрения системы управления профессиональными рисками в организации;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Анализ и утверждение отчета об оценке профессиональных рисков в организации;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Рассмотрение и утверждение плана мероприятий и контрольных процедур по управлению профессиональными рисками в организации;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Организация и контроль подготовки предложений по корректировке действующей системы управления профессиональными рисками в организации;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Документирование процедур управления профессиональными рисками;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Контроль выполнения стратегии управления профессиональными рисками в организации;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Мониторинг системы управления профессиональными рисками в организации;</w:t>
      </w:r>
    </w:p>
    <w:p>
      <w:pPr>
        <w:pStyle w:val="Style37"/>
        <w:numPr>
          <w:ilvl w:val="0"/>
          <w:numId w:val="4"/>
        </w:numPr>
        <w:ind w:left="0" w:right="0" w:firstLine="567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Анализ показателей внедрения системы управления профессиональными рисками в отдельных подразделениях и в организации в целом.</w:t>
      </w:r>
    </w:p>
    <w:p>
      <w:pPr>
        <w:pStyle w:val="Normal"/>
        <w:ind w:left="0" w:right="0" w:firstLine="709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ind w:left="0" w:right="0" w:firstLine="709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spacing w:before="90" w:after="0"/>
        <w:ind w:left="0" w:right="0" w:firstLine="709"/>
        <w:jc w:val="both"/>
        <w:rPr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  <w:t>1.3 Планируемые результаты обучения</w:t>
      </w:r>
    </w:p>
    <w:p>
      <w:pPr>
        <w:pStyle w:val="Normal"/>
        <w:ind w:left="0" w:right="0" w:firstLine="709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ind w:left="0" w:right="0" w:firstLine="709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 xml:space="preserve">В результате обучения слушатели должны знать: </w:t>
      </w:r>
    </w:p>
    <w:p>
      <w:pPr>
        <w:pStyle w:val="Normal"/>
        <w:ind w:left="0" w:right="0" w:firstLine="709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Правила, процедуры, критерии и нормативы, установленные государственными нормативными требованиями охраны труда;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Локальные нормативные акты организации;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Национальные, межгосударственные и международные стандарты, регламентирующие систему управления охраной труда;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Основы технологических процессов, работы машин, устройств и оборудования, применяемые сырье и материалы с учетом специфики деятельности работодателя;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Внутренний документооборот, порядок работы с базами данных и электронными архивами;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Прикладные программы для локальных сетей и информационно-телекоммуникационной сети "Интернет", инструменты для проведения вебинаров и видеоконференций;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Нормативные правовые акты, регулирующие работу со служебной информацией;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Порядок оформления, согласования, утверждения, хранения и учета локальной документации, составления номенклатуры дел, в том числе в электронной форме;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Требования к порядку обучения по охране труда и проверки знаний требований охраны труда, приемов оказания первой помощи пострадавшим, установленные нормативными правовыми актами;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Информация о технологиях, формах, средствах и методах проведения обучения по охране труда, инструктажей и проверки знаний требований охраны труда, в том числе с применением системы цифровизации (электронных цифровых подписей);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Требования охраны труда, установленные правилами и инструкциями к технологическим процессам, машинам и приспособлениям;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Порядок финансирования мероприятий по улучшению условий и охраны труда, методы планирования расходов;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Система учета и хранения, в том числе в электронном виде, результатов обучения по охране труда и проверки знаний требований охраны труда, приемов первой помощи пострадавшим;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Порядок доведения информации по вопросам условий и охраны труда до заинтересованных лиц;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Состав информации и порядок функционирования единой общероссийской справочно-информационной системы по охране труда;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Полномочия трудового коллектива в решении вопросов охраны труда и полномочия органов исполнительной власти по мониторингу и контролю состояния условий и охраны труда;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Порядок взаимодействия с государственными органами и структурами, которые в установленном порядке вправе требовать от работодателей предоставления сведений по вопросам условий и охраны труда;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Состав и порядок оформления отчетной (статистической) документации по вопросам условий и охраны труда;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Источники и характеристики вредных и (или) опасных факторов производственной среды и трудового процесса, их классификация;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Методы идентификации потенциально вредных и (или) опасных производственных факторов и порядок оценки профессиональных рисков;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Порядок проведения предварительных при поступлении на работу, периодических и внеочередных медицинских осмотров работников, иных медицинских осмотров и освидетельствований работников;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Перечень мероприятий по улучшению условий и охраны труда и снижению уровней профессиональных рисков;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Требования санитарно-гигиенического законодательства Российской Федерации с учетом специфики деятельности работодателя;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Порядок и условия предоставления льгот и компенсаций работникам, занятым на работах с вредными и (или) опасными условиями труда;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Методы мотивации и стимулирования работников к безопасному труду;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Основные требования нормативных правовых актов к зданиям, сооружениям, помещениям, машинам, установкам, производственным процессам в части обеспечения безопасных условий и охраны труда;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Порядок разработки мероприятий по охране труда в составе проектной и технологической документации производственного назначения;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Порядок применения и основные характеристики средств коллективной и индивидуальной защиты;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Виды надзора и контроля за безопасностью труда;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Структура государственного надзора и контроля за охраной труда;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Права и обязанности представителей государственного контроля (надзора) за соблюдением требований охраны труда;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Обязанности работодателей при проведении государственного контроля (надзора) за соблюдением требований охраны труда;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Содержание корпоративной информационной системы;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Вопросы осуществления общественного контроля за состоянием условий и охраны труда, принципы взаимодействия с органами общественного контроля;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Виды ответственности за нарушение требований охраны труда и порядок привлечения к ответственности;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Электронный документооборот в сфере контрольно-надзорных действий;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Цифровые платформы сбора обязательной отчетной и статистической информации;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Прикладные компьютерные программы для создания текстовых документов, электронных таблиц, порядок работы с ними;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Документация, оформляемая при привлечении к ответственности за нарушения требований охраны труда;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Порядок оформления и подачи апелляций в случае привлечения к ответственности за нарушения требований охраны труда;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Факторы производственной среды и трудового процесса, основные вопросы гигиенической оценки и классификации условий труда;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Перечень опасностей, параметры источников опасности рабочей среды и трудового процесса, необходимые для ранжирования негативных факторов и выработки защитных мер;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Основные технологические процессы и режимы производства, оборудование, применяемое в организации, принципы его работы и правила эксплуатации;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Правила и средства контроля соответствия технического состояния оборудования требованиям безопасности;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Правовые и организационные основы порядка проведения производственного контроля и специальной оценки условий труда;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Виды несчастных случаев, происходящих на производстве; несчастные случаи, подлежащие расследованию;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Причины, виды и профилактика профессиональных заболеваний;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Порядок и сроки расследования несчастных случаев, происшедших на производстве, и профессиональных заболеваний;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Интернет-сервисы, мобильные приложения и порядок передачи информации о произошедших несчастных случаях;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Порядок оформления материалов расследования несчастных случаев;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Национальные, межгосударственные и основные международные стандарты систем управления охраной труда;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Принципы и методы программно-целевого планирования и организации мероприятий по охране труда;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Показатели и методики определения эффективности функционирования системы управления охраной труда;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Лучшие отечественные и зарубежные практики в области управления охраной труда;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Прикладные программы для локальных сетей и информационно-телекоммуникационной сети "Интернет", системы онлайн-консультирования;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Нормативные правовые акты, регулирующие работу со служебной информацией и персональными данными;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Порядок ведения учета и оформления необходимой документации, составления отчетов, номенклатуры дел в бумажном и электронном формате;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Нормативные правовые акты по охране труда;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Применяемое оборудование, технологические процессы, структура управления в организации;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Правила финансового обеспечения и разработки бюджетов финансирования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Механизм финансирования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Правила установления страхователям скидок и надбавок к тарифам на обязательное социальное страхование от несчастных случаев на производстве и профессиональных заболеваний;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Нормативные правовые акты, нормативно-технические документы, относящиеся к методам, порядку выявления и оценке опасностей и профессиональных рисков работников;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Методы идентификации потенциально вредных и (или) опасных производственных факторов;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Требования к заполнению протокола оценки травмоопасности на рабочих местах;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Типовые нормы средств индивидуальной защиты;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Требования к разработке положения о системе управления охраной труда в организации;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Классификация, характеристики и источники вредных и (или) опасных факторов производственной среды и трудового процесса, а также методы оценки уровня их воздействия на работника;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Перечень мероприятий по улучшению условий и охраны труда и снижению уровней профессиональных рисков;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Виды гарантий и компенсаций, предоставляемых работникам, занятым на работах с вредными и (или) опасными условиями труда, основание и порядок их предоставления;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Эффективные технологии управления персоналом;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Методы оценки профессиональных рисков;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Технологии информирования и убеждения работников;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Методы мотивации и стимулирования работников к безопасному труду;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Основные критерии оценки результативности применяемых процедур подготовки работников по вопросам охраны труда;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Основные положения национальных, межгосударственных и международных стандартов, регламентирующих подготовку и обучение по охране труда;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Документы, определяющие порядок создания локальных нормативных актов в организации, порядок их согласования и утверждения;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Специфика производственной деятельности организации;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Принципы построения и совершенствования процессов управления профессиональными рисками;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Основные принципы и элементы стратегического менеджмента;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Международные, межгосударственные и национальные стандарты, лучшие практики управления профессиональными рисками;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Локальные нормативные акты, определяющие общую стратегию развития организации;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Нормы корпоративного управления и корпоративной культуры;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Основы и принципы управления проектами;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Современные теории организационных изменений и подходы к их осуществлению;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Содержание, элементы и принципы процессов стратегического, оперативного планирования;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Современные теории и концепции взаимодействия работников в организации, включая вопросы корпоративной этики, мотивации, групповой динамики, командообразования, коммуникаций, лидерства, управления конфликтами, внедрения инноваций;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Требования и правила составления отчета об оценке профессиональных рисков;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Локальные нормативные акты по управлению профессиональными рисками в организации;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Процедуры системы управления профессиональными рисками;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Процедуры контроля функционирования системы управления профессиональными рисками;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Виды и процедуры комплексного стратегического контроля;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Принципы формирования и анализа показателей эффективности системы управления профессиональными рисками;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Психологические аспекты внедрения процесса управления профессиональными рисками;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Современный международный и национальный опыт профессиональной деятельности риск-менеджера;</w:t>
      </w:r>
    </w:p>
    <w:p>
      <w:pPr>
        <w:pStyle w:val="Style37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Нормы профессиональной этики.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ind w:left="0" w:right="0" w:firstLine="709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В результате обучения слушатели должны уметь:</w:t>
      </w:r>
    </w:p>
    <w:p>
      <w:pPr>
        <w:pStyle w:val="Normal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Разрабатывать проекты локальных нормативных актов с соблюдением государственных нормативных требований охраны труда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Использовать системы электронного документооборота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Пользоваться цифровыми платформами, справочными правовыми системами, базами данных в области охраны труда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Использовать прикладные компьютерные программы для формирования проектов локальных нормативных актов, оформления отчетов, создания баз данных и электронных таблиц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Требования трудового законодательства Российской Федерации и законодательства Российской Федерации в области охраны труда, в том числе о техническом регулировании, о промышленной, пожарной, транспортной, радиационной, конструкционной, химической, биологической безопасности, о санитарно-эпидемиологическом благополучии населения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Определять аккредитованные организации, оказывающие услуги в области охраны труда и имеющие полномочия на проведение обучения работодателей и работников по вопросам охраны труда, с использованием единой общероссийской справочно-информационной системы по охране труда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Проводить вводный инструктаж по охране труда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Консультировать работников по вопросам применения безопасных методов и приемов выполнения работ, подготовки инструкций по охране труда и проведения инструктажей, стажировок на рабочем месте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Формировать отчетные документы о проведении инструктажей, обучения, стажировок, результатах контроля за состоянием условий и охраны труда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Выявлять потребность в обучении работников по вопросам охраны труда, оказания первой помощи пострадавшим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Анализировать и систематизировать данные о работниках, прошедших обучение по охране труда и проверку знания требований охраны труда, приемов оказания первой помощи пострадавшим, в электронном виде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Разрабатывать информационные и методические материалы для подготовки инструкций по охране труда, оказанию первой помощи пострадавшим, программы обучения работников безопасным методам и приемам выполнения работ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Определять порядок реализации мероприятий, обеспечивающих функционирование системы управления охраной труда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Контролировать своевременность, полноту выдачи работникам средств индивидуальной защиты и правильность их применения работниками в соответствии с правилами обеспечения работников специальной одеждой, специальной обувью и другими средствами индивидуальной защиты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Консультировать работников о порядке бесплатной выдачи им по установленным нормам молока или равноценных пищевых продуктов, компенсационных выплат, санитарно-бытовом обслуживании и медицинских осмотрах, о порядке и условиях предоставления льгот и компенсаций работникам, занятым на работах с вредными и (или) опасными условиями труда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Использовать в работе данные мониторинга условий и охраны труда на рабочих местах, риска повреждения здоровья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Подготавливать предложения по корректировке локальных нормативных актов на основе результатов контроля условий и охраны труда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Оформлять документацию и вести служебную переписку в соответствии с требованиями, утвержденными в организации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Организовывать размещение в доступных местах наглядных пособий и современных технических средств по вопросам условий и охраны труда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Применять методы оценки вредных и (или) опасных производственных факторов, опасностей, профессиональных рисков на рабочих местах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Координировать проведение производственного контроля условий труда, специальной оценки условий труда, анализировать результаты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Обосновывать приоритетность мероприятий по улучшению условий и охраны труда с точки зрения их эффективности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Разрабатывать меры управления рисками на основе анализа принимаемых мер и возможности дальнейшего снижения уровней профессиональных рисков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Формировать требования к средствам индивидуальной защиты и средствам коллективной защиты с учетом условий труда на рабочих местах, оценивать их характеристики, а также соответствие нормативным требованиям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Оценивать санитарно-бытовое обслуживание работников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Подготавливать список контингента работников, подлежащих прохождению предварительных и периодических медицинских осмотров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Оформлять необходимую документацию для заключения договора с медицинскими учреждениями на проведение медицинских осмотров и освидетельствований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Контролировать соблюдение требований охраны труда у работодателя, трудового законодательства Российской Федерации в области охраны труда, режимов труда и отдыха работников, указаний и предписаний органов государственной власти по результатам контрольно-надзорных мероприятий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Подготавливать предложения для включения в план (программу) мероприятий по улучшению условий и охраны труда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Контролировать подрядные работы по обеспечению безопасных условий труда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Разрабатывать локальный нормативный акт об организации работы по охране труда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Осуществлять контроль за соблюдением работниками нормативных правовых актов об охране труда, условий коллективного договора и соглашения по охране труда, локальных нормативных актов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Координировать разработку структурными подразделениями организации мероприятий по улучшению условий и охраны труда, контролировать их выполнение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Формировать план (программу) мероприятий, направленных на улучшение условий труда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Применять для осуществления контроля и процедур мониторинга электронный инструментарий, позволяющий выполнять передачу и обмен информацией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Осуществлять диалог и сотрудничество с работодателем, работниками и (или) их представителями, комитетом (комиссией) по охране труда, органами государственного управления, надзора и контроля с целью совершенствования условий и охраны труда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Выявлять причины несоблюдения требований охраны труда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Документально оформлять результаты контрольных мероприятий, выдавать предписания лицам, допустившим нарушения требований охраны труда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Осуществлять сбор и анализ документов и информации об условиях труда, разрабатывать программы производственного контроля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Пользоваться цифровыми платформами и справочно-информационными системами по охране труда, учету результатов проведения специальной оценки условий труда, государственной аккредитации, стандартизации и статистике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Оформлять и подавать декларации соответствия условий труда государственным нормативным требованиям охраны труда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Оформлять локальные нормативные акты об организации оценки и контроля условий труда на рабочих местах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Осуществлять сбор информации об обстоятельствах несчастных случаев на производстве и профессиональных заболеваний, о состоянии условий труда и обеспеченности работников средствами индивидуальной защиты, другой информации, необходимой для расследования несчастных случаев, происшедших на производстве, и профессиональных заболеваний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Анализировать материалы расследования с целью установления обстоятельств и причины несчастного случая, а также лиц, допустивших нарушения требований охраны труда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Пользоваться справочно-информационными системами по охране труда, информационным ресурсами органов контроля и надзора за охраной труда, цифровыми платформами государственной статистики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Выявлять и анализировать причины несчастных случаев на производстве и профессиональных заболеваний и обосновывать необходимые мероприятия, корректирующие действия по предотвращению аналогичных происшествий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Оценивать профессиональные риски, выявленные при расследовании несчастных случаев, разрабатывать меры по снижению их уровня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Выявлять производственные факторы, влияющие на безопасность труда, оперативно оценивать последствия их воздействия на работника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Оформлять материалы и заполнять формы документов при расследовании несчастных случаев на производстве и профессиональных заболеваний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Применять государственные нормативные требования охраны труда, межгосударственные, национальные и международные стандарты в сфере безопасности и охраны труда с целью обеспечения выполнения отдельных процедур системы управления охраной труда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Анализировать лучшие практики построения системы управления охраной труда и оценивать возможности использования этого опыта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Применять методы проверки (аудита) функционирования системы управления охраной труда, выявлять и анализировать недостатки с учетом отраслевой специфики и особенностей деятельности работодателя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Анализировать состояние производственного травматизма и профессиональных заболеваний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Пользоваться цифровыми платформами и справочно-информационными системами по охране труда, по учету результатов проведения специальной оценки условий труда, государственной аккредитации, стандартизации и статистики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Анализировать вероятность возникновения рисков на этапах производственной деятельности организации, ввода нового оборудования и технологических процессов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Обеспечивать проведение профилактической работы по предупреждению производственного травматизма, профессиональных заболеваний и заболеваний, обусловленных производственными факторами, а также работы по улучшению условий труда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Проводить расчеты необходимого финансового обеспечения для реализации мероприятий по улучшению условий и охраны труда и снижению уровней профессиональных рисков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Анализировать выполнение мероприятий, предусмотренных планами (программами) улучшения условий и охраны труда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Анализировать результаты оценки вредных и (или) опасных производственных факторов, опасностей, профессиональных рисков на рабочих местах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Анализировать состояние производственного травматизма и профессиональных заболеваний, результативности принимаемых мер по устранению выявленных нарушений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Оценивать травмоопасность на рабочих местах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Анализировать эффективность выбора и применения средств индивидуальной защиты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Контролировать проведение специальной оценки условий труда и анализировать результаты специальной оценки условий труда на рабочих местах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Оценивать приоритетность реализации мероприятий по улучшению условий и охраны труда с учетом их эффективности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Разрабатывать меры управления рисками на основе анализа принимаемых мер и возможности дальнейшего снижения уровней профессиональных рисков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Анализировать специфику производственной деятельности работодателя, его организационную структуру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Анализировать исполнение сметы расходования в подразделениях средств, выделенных на выполнение мероприятий по улучшению условий и охраны труда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Выявлять опасности, представляющие угрозу жизни и здоровью работников, и оценивать уровни профессиональных рисков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Анализировать выявленные профессиональные риски на рабочих местах, вести их мониторинг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Устанавливать и поддерживать деловые контакты, отношения, коммуникации с руководителем, специалистами службы охраны труда и лицами, осуществляющими оперативное (линейное) руководство безопасностью и охраной труда работников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Организовывать разработку локальных нормативных актов по вопросам подготовки работников по охране труда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Пользоваться передовыми практиками оценки подготовки и обучения работодателей и работников по вопросам охраны труда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Анализировать информацию, тенденции лучших мировых практик оценки подготовки и обучения работодателей и работников по вопросам охраны труда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Использовать единую общероссийскую справочно-информационную систему по охране труда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Устанавливать и поддерживать деловые контакты, отношения с работниками организации и заинтересованными сторонами по вопросам управления профессиональными рисками в организации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Руководить разработкой локальных нормативных актов по управлению профессиональными рисками в организации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Разрабатывать регламент управления рисками с учетом лучших национальных и международных практик создания системы управления профессиональными рисками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Организовывать процесс управления профессиональными рисками с учетом разработанных регламентов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Устанавливать и поддерживать деловые контакты, отношения с работниками организации и заинтересованными сторонами по вопросам управления профессиональными рисками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Оценивать ресурсы, необходимые для внедрения процесса управления профессиональными рисками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Организовывать процессы управления профессиональными рисками в организации с учетом требований корпоративных документов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Разрабатывать показатели оценки эффективности системы управления профессиональными рисками в организации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Оценивать эффективность внедрения системы управления профессиональными рисками в организации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Контролировать процесс формирования отчета об оценке профессиональных рисков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Классифицировать профессиональные риски на основе представленных отчетных данных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Организовывать взаимодействие между подразделениями по составлению и предоставлению отчета об оценке профессиональных рисков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Анализировать планы мероприятий структурных подразделений по управлению профессиональными рисками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Анализировать показатели внедрения системы управления профессиональными рисками</w:t>
      </w:r>
    </w:p>
    <w:p>
      <w:pPr>
        <w:pStyle w:val="ListParagraph"/>
        <w:numPr>
          <w:ilvl w:val="0"/>
          <w:numId w:val="3"/>
        </w:numPr>
        <w:ind w:left="720" w:right="108" w:hanging="360"/>
        <w:jc w:val="both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Разрабатывать предложения и рекомендации по совершенствованию системы управления профессиональными рисками в организации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0"/>
        </w:numPr>
        <w:ind w:left="720" w:right="108" w:hanging="0"/>
        <w:jc w:val="both"/>
        <w:rPr>
          <w:rFonts w:ascii="Times New Roman" w:hAnsi="Times New Roman"/>
          <w:sz w:val="12"/>
          <w:szCs w:val="12"/>
          <w:highlight w:val="none"/>
          <w:shd w:fill="auto" w:val="clear"/>
        </w:rPr>
      </w:pPr>
      <w:r>
        <w:rPr>
          <w:sz w:val="12"/>
          <w:szCs w:val="12"/>
          <w:shd w:fill="auto" w:val="clear"/>
        </w:rPr>
      </w:r>
    </w:p>
    <w:p>
      <w:pPr>
        <w:pStyle w:val="Normal"/>
        <w:spacing w:before="0" w:after="0"/>
        <w:ind w:left="0" w:right="0" w:firstLine="709"/>
        <w:jc w:val="both"/>
        <w:rPr>
          <w:highlight w:val="none"/>
          <w:shd w:fill="auto" w:val="clear"/>
        </w:rPr>
      </w:pPr>
      <w:r>
        <w:rPr>
          <w:rFonts w:eastAsia="Calibri" w:cs="Arial" w:cstheme="minorBidi" w:eastAsiaTheme="minorHAnsi"/>
          <w:b/>
          <w:sz w:val="24"/>
          <w:szCs w:val="24"/>
          <w:shd w:fill="auto" w:val="clear"/>
        </w:rPr>
        <w:t>1.4 Категория слушателей</w:t>
      </w:r>
    </w:p>
    <w:p>
      <w:pPr>
        <w:pStyle w:val="Normal"/>
        <w:spacing w:before="0" w:after="0"/>
        <w:ind w:left="0" w:right="0" w:firstLine="709"/>
        <w:jc w:val="both"/>
        <w:rPr>
          <w:rFonts w:ascii="Times New Roman" w:hAnsi="Times New Roman" w:eastAsia="Calibri" w:cs="Arial" w:cstheme="minorBidi" w:eastAsiaTheme="minorHAnsi"/>
          <w:b/>
          <w:b/>
          <w:sz w:val="12"/>
          <w:szCs w:val="12"/>
          <w:highlight w:val="none"/>
          <w:shd w:fill="auto" w:val="clear"/>
        </w:rPr>
      </w:pPr>
      <w:r>
        <w:rPr>
          <w:rFonts w:eastAsia="Calibri" w:cs="Arial" w:cstheme="minorBidi" w:eastAsiaTheme="minorHAnsi"/>
          <w:b/>
          <w:sz w:val="12"/>
          <w:szCs w:val="12"/>
          <w:shd w:fill="auto" w:val="clear"/>
        </w:rPr>
      </w:r>
    </w:p>
    <w:p>
      <w:pPr>
        <w:pStyle w:val="Normal"/>
        <w:widowControl/>
        <w:spacing w:before="0" w:after="0"/>
        <w:ind w:left="0" w:right="0" w:firstLine="709"/>
        <w:jc w:val="both"/>
        <w:rPr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  <w:lang w:bidi="ar-SA"/>
        </w:rPr>
        <w:t>1.</w:t>
      </w:r>
      <w:r>
        <w:rPr>
          <w:b/>
          <w:sz w:val="24"/>
          <w:szCs w:val="24"/>
          <w:shd w:fill="auto" w:val="clear"/>
          <w:lang w:bidi="ar-SA"/>
        </w:rPr>
        <w:t xml:space="preserve"> </w:t>
      </w:r>
      <w:r>
        <w:rPr>
          <w:rFonts w:eastAsia="Calibri" w:cs="Arial" w:cstheme="minorBidi" w:eastAsiaTheme="minorHAnsi"/>
          <w:b w:val="false"/>
          <w:i w:val="false"/>
          <w:sz w:val="24"/>
          <w:szCs w:val="24"/>
          <w:shd w:fill="auto" w:val="clear"/>
          <w:lang w:bidi="ar-SA"/>
        </w:rPr>
        <w:t>С</w:t>
      </w:r>
      <w:r>
        <w:rPr>
          <w:rFonts w:eastAsia="Calibri" w:cs="Times New Roman" w:eastAsiaTheme="minorHAnsi"/>
          <w:b w:val="false"/>
          <w:i w:val="false"/>
          <w:sz w:val="24"/>
          <w:szCs w:val="24"/>
          <w:shd w:fill="auto" w:val="clear"/>
          <w:lang w:bidi="ar-SA"/>
        </w:rPr>
        <w:t>пециалисты служб охраны труда на предприятии</w:t>
      </w:r>
    </w:p>
    <w:p>
      <w:pPr>
        <w:pStyle w:val="Normal"/>
        <w:widowControl/>
        <w:spacing w:before="0" w:after="0"/>
        <w:ind w:left="0" w:right="0" w:firstLine="709"/>
        <w:jc w:val="both"/>
        <w:rPr>
          <w:highlight w:val="none"/>
          <w:shd w:fill="auto" w:val="clear"/>
        </w:rPr>
      </w:pPr>
      <w:r>
        <w:rPr>
          <w:rFonts w:eastAsia="Calibri" w:cs="Arial" w:cstheme="minorBidi" w:eastAsiaTheme="minorHAnsi"/>
          <w:b w:val="false"/>
          <w:i w:val="false"/>
          <w:sz w:val="24"/>
          <w:szCs w:val="24"/>
          <w:shd w:fill="auto" w:val="clear"/>
          <w:lang w:bidi="ar-SA"/>
        </w:rPr>
        <w:t>2. Лица, не имеющие среднего и (или) высшего профильного образования в области охраны труда</w:t>
      </w:r>
    </w:p>
    <w:p>
      <w:pPr>
        <w:pStyle w:val="Normal"/>
        <w:widowControl/>
        <w:spacing w:before="0" w:after="0"/>
        <w:ind w:left="0" w:right="0" w:firstLine="709"/>
        <w:jc w:val="both"/>
        <w:rPr>
          <w:rFonts w:eastAsia="Calibri" w:cs="Arial" w:cstheme="minorBidi" w:eastAsiaTheme="minorHAnsi"/>
          <w:b w:val="false"/>
          <w:b w:val="false"/>
          <w:i w:val="false"/>
          <w:i w:val="false"/>
          <w:sz w:val="24"/>
          <w:szCs w:val="24"/>
          <w:lang w:bidi="ar-SA"/>
        </w:rPr>
      </w:pPr>
      <w:r>
        <w:rPr>
          <w:rFonts w:eastAsia="Calibri" w:cs="Arial" w:cstheme="minorBidi" w:eastAsiaTheme="minorHAnsi"/>
          <w:b w:val="false"/>
          <w:i w:val="false"/>
          <w:sz w:val="24"/>
          <w:szCs w:val="24"/>
          <w:lang w:bidi="ar-SA"/>
        </w:rPr>
      </w:r>
    </w:p>
    <w:p>
      <w:pPr>
        <w:pStyle w:val="Normal"/>
        <w:widowControl/>
        <w:spacing w:before="0" w:after="0"/>
        <w:ind w:left="0" w:right="0" w:firstLine="709"/>
        <w:jc w:val="both"/>
        <w:rPr>
          <w:rFonts w:ascii="Times New Roman" w:hAnsi="Times New Roman"/>
          <w:sz w:val="12"/>
          <w:szCs w:val="12"/>
          <w:highlight w:val="none"/>
          <w:shd w:fill="auto" w:val="clear"/>
        </w:rPr>
      </w:pPr>
      <w:r>
        <w:rPr>
          <w:sz w:val="12"/>
          <w:szCs w:val="12"/>
          <w:shd w:fill="auto" w:val="clear"/>
        </w:rPr>
      </w:r>
    </w:p>
    <w:p>
      <w:pPr>
        <w:pStyle w:val="Normal"/>
        <w:spacing w:before="0" w:after="0"/>
        <w:ind w:left="0" w:right="0" w:firstLine="709"/>
        <w:jc w:val="both"/>
        <w:rPr>
          <w:highlight w:val="none"/>
          <w:shd w:fill="auto" w:val="clear"/>
        </w:rPr>
      </w:pPr>
      <w:r>
        <w:rPr>
          <w:rFonts w:eastAsia="Calibri" w:cs="Arial" w:cstheme="minorBidi" w:eastAsiaTheme="minorHAnsi"/>
          <w:b/>
          <w:sz w:val="24"/>
          <w:szCs w:val="24"/>
          <w:shd w:fill="auto" w:val="clear"/>
        </w:rPr>
        <w:t>1.5 Объем. Срок обучения</w:t>
      </w:r>
    </w:p>
    <w:p>
      <w:pPr>
        <w:pStyle w:val="Normal"/>
        <w:spacing w:before="0" w:after="0"/>
        <w:ind w:left="0" w:right="0" w:firstLine="709"/>
        <w:jc w:val="both"/>
        <w:rPr>
          <w:rFonts w:eastAsia="Calibri" w:cs="Arial" w:cstheme="minorBidi" w:eastAsiaTheme="minorHAnsi"/>
          <w:b/>
          <w:b/>
          <w:sz w:val="24"/>
          <w:szCs w:val="24"/>
        </w:rPr>
      </w:pPr>
      <w:r>
        <w:rPr>
          <w:rFonts w:eastAsia="Calibri" w:cs="Arial" w:cstheme="minorBidi" w:eastAsiaTheme="minorHAnsi"/>
          <w:b/>
          <w:sz w:val="24"/>
          <w:szCs w:val="24"/>
        </w:rPr>
      </w:r>
    </w:p>
    <w:p>
      <w:pPr>
        <w:pStyle w:val="NormalWeb"/>
        <w:spacing w:beforeAutospacing="0" w:before="0" w:afterAutospacing="0" w:after="0"/>
        <w:ind w:left="0" w:right="0" w:firstLine="709"/>
        <w:jc w:val="both"/>
        <w:rPr>
          <w:highlight w:val="none"/>
          <w:shd w:fill="auto" w:val="clear"/>
        </w:rPr>
      </w:pPr>
      <w:r>
        <w:rPr>
          <w:rFonts w:eastAsia="Calibri" w:cs="Arial"/>
          <w:b w:val="false"/>
          <w:bCs w:val="false"/>
          <w:color w:val="000000"/>
          <w:sz w:val="24"/>
          <w:szCs w:val="24"/>
          <w:shd w:fill="auto" w:val="clear"/>
        </w:rPr>
        <w:t>Нормативная трудоемкость обучения по Программе составляет 256 часов.</w:t>
      </w:r>
    </w:p>
    <w:p>
      <w:pPr>
        <w:pStyle w:val="Normal"/>
        <w:spacing w:before="0" w:after="0"/>
        <w:ind w:left="0" w:right="0" w:firstLine="709"/>
        <w:jc w:val="both"/>
        <w:rPr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spacing w:before="0" w:after="0"/>
        <w:ind w:left="0" w:right="0" w:firstLine="709"/>
        <w:jc w:val="both"/>
        <w:rPr>
          <w:highlight w:val="none"/>
          <w:shd w:fill="auto" w:val="clear"/>
        </w:rPr>
      </w:pPr>
      <w:r>
        <w:rPr>
          <w:rFonts w:eastAsia="Calibri" w:cs="Arial" w:cstheme="minorBidi" w:eastAsiaTheme="minorHAnsi"/>
          <w:b/>
          <w:sz w:val="24"/>
          <w:szCs w:val="24"/>
          <w:shd w:fill="auto" w:val="clear"/>
        </w:rPr>
        <w:t>1.6 Форма обучения</w:t>
      </w:r>
    </w:p>
    <w:p>
      <w:pPr>
        <w:pStyle w:val="Normal"/>
        <w:spacing w:before="0" w:after="0"/>
        <w:ind w:left="0" w:right="0" w:firstLine="709"/>
        <w:jc w:val="both"/>
        <w:rPr>
          <w:rFonts w:ascii="Times New Roman" w:hAnsi="Times New Roman" w:eastAsia="Calibri" w:cs="Arial" w:cstheme="minorBidi" w:eastAsiaTheme="minorHAnsi"/>
          <w:b/>
          <w:b/>
          <w:sz w:val="24"/>
          <w:szCs w:val="24"/>
          <w:highlight w:val="none"/>
          <w:shd w:fill="auto" w:val="clear"/>
        </w:rPr>
      </w:pPr>
      <w:r>
        <w:rPr>
          <w:rFonts w:eastAsia="Calibri" w:cs="Arial" w:cstheme="minorBidi" w:eastAsiaTheme="minorHAnsi"/>
          <w:b/>
          <w:sz w:val="24"/>
          <w:szCs w:val="24"/>
          <w:shd w:fill="auto" w:val="clear"/>
        </w:rPr>
      </w:r>
    </w:p>
    <w:p>
      <w:pPr>
        <w:pStyle w:val="Normal"/>
        <w:spacing w:before="0" w:after="0"/>
        <w:ind w:left="0" w:right="0" w:firstLine="709"/>
        <w:jc w:val="both"/>
        <w:rPr>
          <w:highlight w:val="none"/>
          <w:shd w:fill="auto" w:val="clear"/>
        </w:rPr>
      </w:pPr>
      <w:r>
        <w:rPr>
          <w:rFonts w:eastAsia="Calibri" w:cs="Arial"/>
          <w:b w:val="false"/>
          <w:bCs w:val="false"/>
          <w:sz w:val="24"/>
          <w:szCs w:val="24"/>
          <w:shd w:fill="auto" w:val="clear"/>
          <w:lang w:bidi="ar-SA"/>
        </w:rPr>
        <w:t xml:space="preserve">Заочная с применением дистанционных образовательных технологий ООО «СМАРТА», размещенной в сети «Интернет» по адресу: </w:t>
      </w:r>
      <w:r>
        <w:rPr>
          <w:rFonts w:eastAsia="Calibri" w:cs="Arial"/>
          <w:b w:val="false"/>
          <w:bCs w:val="false"/>
          <w:sz w:val="24"/>
          <w:szCs w:val="24"/>
          <w:shd w:fill="auto" w:val="clear"/>
          <w:lang w:val="en-US" w:bidi="ar-SA"/>
        </w:rPr>
        <w:t>http://edu.smarta.life/.</w:t>
      </w:r>
    </w:p>
    <w:p>
      <w:pPr>
        <w:pStyle w:val="Normal"/>
        <w:spacing w:before="0" w:after="0"/>
        <w:ind w:left="0" w:right="0" w:firstLine="709"/>
        <w:jc w:val="both"/>
        <w:rPr>
          <w:rFonts w:ascii="Times New Roman" w:hAnsi="Times New Roman" w:eastAsia="Calibri" w:cs="Arial"/>
          <w:sz w:val="24"/>
          <w:szCs w:val="24"/>
          <w:highlight w:val="none"/>
          <w:shd w:fill="auto" w:val="clear"/>
          <w:lang w:bidi="ar-SA"/>
        </w:rPr>
      </w:pPr>
      <w:r>
        <w:rPr>
          <w:rFonts w:eastAsia="Calibri" w:cs="Arial"/>
          <w:sz w:val="24"/>
          <w:szCs w:val="24"/>
          <w:shd w:fill="auto" w:val="clear"/>
          <w:lang w:bidi="ar-SA"/>
        </w:rPr>
      </w:r>
    </w:p>
    <w:p>
      <w:pPr>
        <w:pStyle w:val="Normal"/>
        <w:spacing w:before="0" w:after="0"/>
        <w:ind w:left="0" w:right="0" w:firstLine="709"/>
        <w:jc w:val="both"/>
        <w:rPr>
          <w:highlight w:val="none"/>
          <w:shd w:fill="auto" w:val="clear"/>
        </w:rPr>
      </w:pPr>
      <w:r>
        <w:rPr>
          <w:rFonts w:eastAsia="Calibri" w:cs="Arial" w:cstheme="minorBidi" w:eastAsiaTheme="minorHAnsi"/>
          <w:b/>
          <w:sz w:val="24"/>
          <w:szCs w:val="24"/>
          <w:shd w:fill="auto" w:val="clear"/>
        </w:rPr>
        <w:t>1.7 Режим занятий</w:t>
      </w:r>
    </w:p>
    <w:p>
      <w:pPr>
        <w:pStyle w:val="Normal"/>
        <w:spacing w:before="0" w:after="0"/>
        <w:ind w:left="0" w:right="0" w:firstLine="709"/>
        <w:jc w:val="both"/>
        <w:rPr>
          <w:rFonts w:ascii="Times New Roman" w:hAnsi="Times New Roman" w:eastAsia="Calibri" w:cs="Arial" w:cstheme="minorBidi" w:eastAsiaTheme="minorHAnsi"/>
          <w:b/>
          <w:b/>
          <w:sz w:val="24"/>
          <w:szCs w:val="24"/>
          <w:highlight w:val="none"/>
          <w:shd w:fill="auto" w:val="clear"/>
        </w:rPr>
      </w:pPr>
      <w:r>
        <w:rPr>
          <w:rFonts w:eastAsia="Calibri" w:cs="Arial" w:cstheme="minorBidi" w:eastAsiaTheme="minorHAnsi"/>
          <w:b/>
          <w:sz w:val="24"/>
          <w:szCs w:val="24"/>
          <w:shd w:fill="auto" w:val="clear"/>
        </w:rPr>
      </w:r>
    </w:p>
    <w:p>
      <w:pPr>
        <w:pStyle w:val="NormalWeb"/>
        <w:spacing w:beforeAutospacing="0" w:before="0" w:afterAutospacing="0" w:after="0"/>
        <w:ind w:left="0" w:right="0" w:firstLine="709"/>
        <w:jc w:val="both"/>
        <w:rPr>
          <w:highlight w:val="none"/>
          <w:shd w:fill="auto" w:val="clear"/>
        </w:rPr>
      </w:pPr>
      <w:r>
        <w:rPr>
          <w:rFonts w:eastAsia="Calibri" w:cs="Arial"/>
          <w:b w:val="false"/>
          <w:bCs w:val="false"/>
          <w:color w:val="000000"/>
          <w:sz w:val="24"/>
          <w:szCs w:val="24"/>
          <w:shd w:fill="auto" w:val="clear"/>
        </w:rPr>
        <w:t>Учебная нагрузка устанавливается не более 8 академических часов в день.</w:t>
      </w:r>
    </w:p>
    <w:p>
      <w:pPr>
        <w:pStyle w:val="Normal"/>
        <w:spacing w:before="0" w:after="0"/>
        <w:ind w:left="0" w:right="0" w:firstLine="709"/>
        <w:jc w:val="both"/>
        <w:rPr>
          <w:rFonts w:ascii="Times New Roman" w:hAnsi="Times New Roman" w:eastAsia="Calibri" w:cs="Arial" w:cstheme="minorBidi" w:eastAsiaTheme="minorHAnsi"/>
          <w:b/>
          <w:b/>
          <w:sz w:val="24"/>
          <w:szCs w:val="24"/>
          <w:highlight w:val="none"/>
          <w:shd w:fill="auto" w:val="clear"/>
        </w:rPr>
      </w:pPr>
      <w:r>
        <w:rPr>
          <w:rFonts w:eastAsia="Calibri" w:cs="Arial" w:cstheme="minorBidi" w:eastAsiaTheme="minorHAnsi"/>
          <w:b/>
          <w:sz w:val="24"/>
          <w:szCs w:val="24"/>
          <w:shd w:fill="auto" w:val="clear"/>
        </w:rPr>
      </w:r>
    </w:p>
    <w:p>
      <w:pPr>
        <w:pStyle w:val="Normal"/>
        <w:spacing w:before="0" w:after="0"/>
        <w:ind w:left="0" w:right="0" w:firstLine="709"/>
        <w:jc w:val="both"/>
        <w:rPr>
          <w:highlight w:val="none"/>
          <w:shd w:fill="auto" w:val="clear"/>
        </w:rPr>
      </w:pPr>
      <w:r>
        <w:rPr>
          <w:rFonts w:eastAsia="Calibri" w:cs="Arial" w:cstheme="minorBidi" w:eastAsiaTheme="minorHAnsi"/>
          <w:b/>
          <w:sz w:val="24"/>
          <w:szCs w:val="24"/>
          <w:shd w:fill="auto" w:val="clear"/>
        </w:rPr>
        <w:t>1.8 Форма итоговой аттестации</w:t>
      </w:r>
    </w:p>
    <w:p>
      <w:pPr>
        <w:pStyle w:val="Normal"/>
        <w:spacing w:before="0" w:after="0"/>
        <w:ind w:left="0" w:right="0" w:firstLine="709"/>
        <w:jc w:val="both"/>
        <w:rPr>
          <w:rFonts w:ascii="Times New Roman" w:hAnsi="Times New Roman" w:eastAsia="Calibri" w:cs="Arial" w:cstheme="minorBidi" w:eastAsiaTheme="minorHAnsi"/>
          <w:b/>
          <w:b/>
          <w:sz w:val="24"/>
          <w:szCs w:val="24"/>
          <w:highlight w:val="none"/>
          <w:shd w:fill="auto" w:val="clear"/>
        </w:rPr>
      </w:pPr>
      <w:r>
        <w:rPr>
          <w:rFonts w:eastAsia="Calibri" w:cs="Arial" w:cstheme="minorBidi" w:eastAsiaTheme="minorHAnsi"/>
          <w:b/>
          <w:sz w:val="24"/>
          <w:szCs w:val="24"/>
          <w:shd w:fill="auto" w:val="clear"/>
        </w:rPr>
      </w:r>
    </w:p>
    <w:p>
      <w:pPr>
        <w:pStyle w:val="Normal"/>
        <w:spacing w:before="0" w:after="0"/>
        <w:ind w:left="0" w:right="0" w:firstLine="709"/>
        <w:jc w:val="both"/>
        <w:rPr>
          <w:highlight w:val="none"/>
          <w:shd w:fill="auto" w:val="clear"/>
        </w:rPr>
      </w:pPr>
      <w:r>
        <w:rPr>
          <w:rFonts w:eastAsia="Calibri" w:cs="Arial" w:cstheme="minorBidi" w:eastAsiaTheme="minorHAnsi"/>
          <w:b w:val="false"/>
          <w:bCs w:val="false"/>
          <w:sz w:val="24"/>
          <w:szCs w:val="24"/>
          <w:shd w:fill="auto" w:val="clear"/>
        </w:rPr>
        <w:t>Освоение Программы завершается итоговой аттестацией обучающихся в форме экзамена, проходящего в</w:t>
      </w:r>
      <w:r>
        <w:rPr>
          <w:rFonts w:eastAsia="Calibri" w:cs="Arial" w:cstheme="minorBidi" w:eastAsiaTheme="minorHAnsi"/>
          <w:b w:val="false"/>
          <w:bCs w:val="false"/>
          <w:sz w:val="24"/>
          <w:szCs w:val="24"/>
          <w:shd w:fill="auto" w:val="clear"/>
          <w:lang w:val="ru-RU"/>
        </w:rPr>
        <w:t xml:space="preserve"> </w:t>
      </w:r>
      <w:r>
        <w:rPr>
          <w:rFonts w:eastAsia="Calibri" w:cs="Arial" w:cstheme="minorBidi" w:eastAsiaTheme="minorHAnsi"/>
          <w:b w:val="false"/>
          <w:bCs w:val="false"/>
          <w:sz w:val="24"/>
          <w:szCs w:val="24"/>
          <w:shd w:fill="auto" w:val="clear"/>
          <w:lang w:val="en-US"/>
        </w:rPr>
        <w:t>ф</w:t>
      </w:r>
      <w:r>
        <w:rPr>
          <w:rFonts w:eastAsia="Calibri" w:cs="Arial" w:cstheme="minorBidi" w:eastAsiaTheme="minorHAnsi"/>
          <w:b w:val="false"/>
          <w:bCs w:val="false"/>
          <w:sz w:val="24"/>
          <w:szCs w:val="24"/>
          <w:shd w:fill="auto" w:val="clear"/>
          <w:lang w:val="ru-RU"/>
        </w:rPr>
        <w:t xml:space="preserve">ормате </w:t>
      </w:r>
      <w:r>
        <w:rPr>
          <w:rFonts w:eastAsia="Calibri" w:cs="Arial" w:cstheme="minorBidi" w:eastAsiaTheme="minorHAnsi"/>
          <w:b w:val="false"/>
          <w:bCs w:val="false"/>
          <w:sz w:val="24"/>
          <w:szCs w:val="24"/>
          <w:shd w:fill="auto" w:val="clear"/>
        </w:rPr>
        <w:t xml:space="preserve">тестирования. Лицам, успешно освоившим программу  и прошедшим итоговую аттестацию </w:t>
      </w:r>
      <w:r>
        <w:rPr>
          <w:rFonts w:eastAsia="Calibri" w:cs="Times New Roman"/>
          <w:b w:val="false"/>
          <w:bCs w:val="false"/>
          <w:sz w:val="24"/>
          <w:szCs w:val="24"/>
          <w:shd w:fill="auto" w:val="clear"/>
        </w:rPr>
        <w:t>выдается диплом о профессиональной переподготовке.</w:t>
      </w:r>
    </w:p>
    <w:p>
      <w:pPr>
        <w:pStyle w:val="Normal"/>
        <w:spacing w:before="0" w:after="0"/>
        <w:ind w:left="0" w:right="0" w:firstLine="709"/>
        <w:jc w:val="both"/>
        <w:rPr>
          <w:rFonts w:ascii="Times New Roman" w:hAnsi="Times New Roman" w:eastAsia="Calibri" w:cs="Arial" w:cstheme="minorBidi" w:eastAsiaTheme="minorHAnsi"/>
          <w:b/>
          <w:b/>
          <w:sz w:val="24"/>
          <w:szCs w:val="24"/>
          <w:highlight w:val="none"/>
          <w:shd w:fill="auto" w:val="clear"/>
        </w:rPr>
      </w:pPr>
      <w:r>
        <w:rPr>
          <w:rFonts w:eastAsia="Calibri" w:cs="Arial" w:cstheme="minorBidi" w:eastAsiaTheme="minorHAnsi"/>
          <w:b/>
          <w:sz w:val="24"/>
          <w:szCs w:val="24"/>
          <w:shd w:fill="auto" w:val="clear"/>
        </w:rPr>
      </w:r>
    </w:p>
    <w:p>
      <w:pPr>
        <w:pStyle w:val="Normal"/>
        <w:spacing w:before="0" w:after="0"/>
        <w:ind w:left="0" w:right="0" w:firstLine="709"/>
        <w:jc w:val="both"/>
        <w:rPr>
          <w:highlight w:val="none"/>
          <w:shd w:fill="auto" w:val="clear"/>
        </w:rPr>
      </w:pPr>
      <w:r>
        <w:rPr>
          <w:rFonts w:eastAsia="Calibri" w:cs="Arial" w:cstheme="minorBidi" w:eastAsiaTheme="minorHAnsi"/>
          <w:b/>
          <w:sz w:val="24"/>
          <w:szCs w:val="24"/>
          <w:shd w:fill="auto" w:val="clear"/>
        </w:rPr>
        <w:t>1.9 Организация, реализующая программу</w:t>
      </w:r>
    </w:p>
    <w:p>
      <w:pPr>
        <w:pStyle w:val="Normal"/>
        <w:spacing w:before="0" w:after="0"/>
        <w:ind w:left="0" w:right="0" w:firstLine="709"/>
        <w:jc w:val="both"/>
        <w:rPr>
          <w:rFonts w:ascii="Times New Roman" w:hAnsi="Times New Roman" w:eastAsia="Calibri" w:cs="Arial" w:cstheme="minorBidi" w:eastAsiaTheme="minorHAnsi"/>
          <w:b/>
          <w:b/>
          <w:sz w:val="24"/>
          <w:szCs w:val="24"/>
          <w:highlight w:val="none"/>
          <w:shd w:fill="auto" w:val="clear"/>
        </w:rPr>
      </w:pPr>
      <w:r>
        <w:rPr>
          <w:rFonts w:eastAsia="Calibri" w:cs="Arial" w:cstheme="minorBidi" w:eastAsiaTheme="minorHAnsi"/>
          <w:b/>
          <w:sz w:val="24"/>
          <w:szCs w:val="24"/>
          <w:shd w:fill="auto" w:val="clear"/>
        </w:rPr>
      </w:r>
    </w:p>
    <w:p>
      <w:pPr>
        <w:pStyle w:val="Normal"/>
        <w:spacing w:before="0" w:after="0"/>
        <w:ind w:left="0" w:right="0" w:firstLine="709"/>
        <w:jc w:val="both"/>
        <w:rPr>
          <w:highlight w:val="none"/>
          <w:shd w:fill="auto" w:val="clear"/>
        </w:rPr>
      </w:pPr>
      <w:r>
        <w:rPr>
          <w:rFonts w:eastAsia="Calibri" w:cs="Arial" w:cstheme="minorBidi" w:eastAsiaTheme="minorHAnsi"/>
          <w:b w:val="false"/>
          <w:bCs w:val="false"/>
          <w:sz w:val="24"/>
          <w:szCs w:val="24"/>
          <w:shd w:fill="auto" w:val="clear"/>
        </w:rPr>
        <w:t xml:space="preserve">АНО ДПО  </w:t>
      </w:r>
      <w:r>
        <w:rPr>
          <w:rFonts w:eastAsia="Calibri" w:cs="Arial"/>
          <w:b w:val="false"/>
          <w:bCs w:val="false"/>
          <w:color w:val="000000"/>
          <w:sz w:val="24"/>
          <w:szCs w:val="24"/>
          <w:shd w:fill="auto" w:val="clear"/>
        </w:rPr>
        <w:t>«</w:t>
      </w:r>
      <w:r>
        <w:rPr>
          <w:rFonts w:eastAsia="Calibri" w:cs="Arial"/>
          <w:b w:val="false"/>
          <w:bCs w:val="false"/>
          <w:color w:val="000000"/>
          <w:sz w:val="24"/>
          <w:szCs w:val="24"/>
          <w:shd w:fill="auto" w:val="clear"/>
          <w:lang w:val="ru-RU"/>
        </w:rPr>
        <w:t>Приокский учебный центр</w:t>
      </w:r>
      <w:r>
        <w:rPr>
          <w:rFonts w:eastAsia="Calibri" w:cs="Arial"/>
          <w:b w:val="false"/>
          <w:bCs w:val="false"/>
          <w:color w:val="000000"/>
          <w:sz w:val="24"/>
          <w:szCs w:val="24"/>
          <w:shd w:fill="auto" w:val="clear"/>
        </w:rPr>
        <w:t>»</w:t>
      </w:r>
    </w:p>
    <w:p>
      <w:pPr>
        <w:pStyle w:val="NoSpacing"/>
        <w:jc w:val="both"/>
        <w:rPr>
          <w:rFonts w:ascii="Times New Roman" w:hAnsi="Times New Roman" w:cs="Times New Roman"/>
          <w:sz w:val="24"/>
          <w:szCs w:val="24"/>
          <w:highlight w:val="none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</w:r>
    </w:p>
    <w:p>
      <w:pPr>
        <w:pStyle w:val="NoSpacing"/>
        <w:jc w:val="both"/>
        <w:rPr>
          <w:rFonts w:ascii="Calibri" w:hAnsi="Calibri" w:eastAsia="Calibri" w:cs="Arial" w:asciiTheme="minorHAnsi" w:cstheme="minorBidi" w:eastAsiaTheme="minorHAnsi" w:hAnsiTheme="minorHAnsi"/>
          <w:highlight w:val="none"/>
          <w:shd w:fill="auto" w:val="clear"/>
        </w:rPr>
      </w:pPr>
      <w:r>
        <w:rPr>
          <w:rFonts w:eastAsia="Calibri" w:cs="Arial" w:cstheme="minorBidi" w:eastAsiaTheme="minorHAnsi"/>
          <w:shd w:fill="auto" w:val="clear"/>
        </w:rPr>
      </w:r>
    </w:p>
    <w:p>
      <w:pPr>
        <w:pStyle w:val="NoSpacing"/>
        <w:jc w:val="both"/>
        <w:rPr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Spacing"/>
        <w:jc w:val="both"/>
        <w:rPr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Spacing"/>
        <w:jc w:val="both"/>
        <w:rPr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Spacing"/>
        <w:jc w:val="both"/>
        <w:rPr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Spacing"/>
        <w:jc w:val="both"/>
        <w:rPr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Spacing"/>
        <w:jc w:val="both"/>
        <w:rPr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Spacing"/>
        <w:jc w:val="both"/>
        <w:rPr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Spacing"/>
        <w:jc w:val="both"/>
        <w:rPr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Spacing"/>
        <w:jc w:val="both"/>
        <w:rPr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Spacing"/>
        <w:jc w:val="both"/>
        <w:rPr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Spacing"/>
        <w:jc w:val="both"/>
        <w:rPr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Spacing"/>
        <w:jc w:val="both"/>
        <w:rPr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Spacing"/>
        <w:jc w:val="both"/>
        <w:rPr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Spacing"/>
        <w:jc w:val="both"/>
        <w:rPr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rmal"/>
        <w:tabs>
          <w:tab w:val="clear" w:pos="720"/>
          <w:tab w:val="left" w:pos="2280" w:leader="none"/>
        </w:tabs>
        <w:jc w:val="center"/>
        <w:rPr>
          <w:highlight w:val="none"/>
          <w:shd w:fill="auto" w:val="clear"/>
        </w:rPr>
      </w:pPr>
      <w:r>
        <w:rPr>
          <w:b/>
          <w:sz w:val="24"/>
          <w:szCs w:val="24"/>
          <w:shd w:fill="auto" w:val="clear"/>
          <w:lang w:val="en-US"/>
        </w:rPr>
        <w:t xml:space="preserve">2. </w:t>
      </w:r>
      <w:r>
        <w:rPr>
          <w:b/>
          <w:sz w:val="24"/>
          <w:szCs w:val="24"/>
          <w:shd w:fill="auto" w:val="clear"/>
          <w:lang w:val="ru-RU"/>
        </w:rPr>
        <w:t>СОДЕРЖАНИЕ ПРОГРАММЫ</w:t>
      </w:r>
    </w:p>
    <w:p>
      <w:pPr>
        <w:pStyle w:val="Normal"/>
        <w:tabs>
          <w:tab w:val="clear" w:pos="720"/>
          <w:tab w:val="left" w:pos="2280" w:leader="none"/>
        </w:tabs>
        <w:jc w:val="center"/>
        <w:rPr>
          <w:b/>
          <w:b/>
          <w:sz w:val="24"/>
          <w:szCs w:val="24"/>
          <w:highlight w:val="none"/>
          <w:shd w:fill="auto" w:val="clear"/>
          <w:lang w:val="ru-RU"/>
        </w:rPr>
      </w:pPr>
      <w:r>
        <w:rPr>
          <w:b/>
          <w:sz w:val="24"/>
          <w:szCs w:val="24"/>
          <w:shd w:fill="auto" w:val="clear"/>
          <w:lang w:val="ru-RU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  <w:t>2.</w:t>
      </w:r>
      <w:r>
        <w:rPr>
          <w:b/>
          <w:sz w:val="24"/>
          <w:szCs w:val="24"/>
          <w:shd w:fill="auto" w:val="clear"/>
          <w:lang w:val="en-US"/>
        </w:rPr>
        <w:t>1</w:t>
      </w:r>
      <w:r>
        <w:rPr>
          <w:b/>
          <w:sz w:val="24"/>
          <w:szCs w:val="24"/>
          <w:shd w:fill="auto" w:val="clear"/>
        </w:rPr>
        <w:t xml:space="preserve"> Учебный план</w:t>
      </w:r>
    </w:p>
    <w:p>
      <w:pPr>
        <w:pStyle w:val="Docdata"/>
        <w:spacing w:beforeAutospacing="0" w:before="0" w:afterAutospacing="0" w:after="0"/>
        <w:jc w:val="center"/>
        <w:rPr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tbl>
      <w:tblPr>
        <w:tblW w:w="1031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"/>
        <w:gridCol w:w="3130"/>
        <w:gridCol w:w="1755"/>
        <w:gridCol w:w="1079"/>
        <w:gridCol w:w="1852"/>
        <w:gridCol w:w="1956"/>
      </w:tblGrid>
      <w:tr>
        <w:trPr/>
        <w:tc>
          <w:tcPr>
            <w:tcW w:w="5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№</w:t>
            </w:r>
            <w:r>
              <w:rPr>
                <w:rFonts w:eastAsia="Times New Roman" w:cs="Times New Roman"/>
                <w:b/>
                <w:sz w:val="24"/>
                <w:szCs w:val="24"/>
                <w:shd w:fill="auto" w:val="clear"/>
              </w:rPr>
              <w:t xml:space="preserve"> </w:t>
            </w: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п/п</w:t>
            </w:r>
          </w:p>
        </w:tc>
        <w:tc>
          <w:tcPr>
            <w:tcW w:w="31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Наименование учебных модулей</w:t>
            </w:r>
          </w:p>
        </w:tc>
        <w:tc>
          <w:tcPr>
            <w:tcW w:w="17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Общая трудоемкость, часов</w:t>
            </w:r>
          </w:p>
        </w:tc>
        <w:tc>
          <w:tcPr>
            <w:tcW w:w="2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В том числе</w:t>
            </w:r>
          </w:p>
        </w:tc>
        <w:tc>
          <w:tcPr>
            <w:tcW w:w="19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Промежуточная аттестация</w:t>
            </w:r>
          </w:p>
        </w:tc>
      </w:tr>
      <w:tr>
        <w:trPr/>
        <w:tc>
          <w:tcPr>
            <w:tcW w:w="54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</w:r>
          </w:p>
        </w:tc>
        <w:tc>
          <w:tcPr>
            <w:tcW w:w="31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</w:r>
          </w:p>
        </w:tc>
        <w:tc>
          <w:tcPr>
            <w:tcW w:w="175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Лекции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Практ.занятия и семинары</w:t>
            </w:r>
          </w:p>
        </w:tc>
        <w:tc>
          <w:tcPr>
            <w:tcW w:w="19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1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Раздел 1. Обеспечение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функционирования системы управления охраной труда в организации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100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100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1.1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Нормативное обеспечение безопасных условий и охраны труда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14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14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1.2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Организация подготовки работников в области охраны труда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14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14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1.3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Сбор, обработка и передача информации по вопросам условий и охраны труда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14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14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1.4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Организация и проведение мероприятий, направленных на снижение уровней профессиональных рисков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20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20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1.5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Содействие обеспечению функционирования системы управления охраной труда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12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12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1.6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Обеспечение контроля за состоянием условий и охраны труда на рабочих местах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12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12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1.7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Обеспечение расследования и учета несчастных случаев на производстве и профессиональных заболеваний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14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14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2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Раздел 2. Планирование, разработка и совершенствование системы управления охраной труда и оценки профессиональных рисков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34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22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12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2.1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Определение целей и задач системы управления охраной труда и профессиональными рисками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16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10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2.2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Подготовка предложений по распределению полномочий, ответственности, обязанностей по вопросам управления охраной труда, оценки профессиональных рисков и обоснованию ресурсного обеспечения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18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12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3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Раздел 3. Экспертиза эффективности мероприятий, направленных на обеспечение функционирования системы управления охраной труда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44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38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3.1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Анализ мероприятий, направленных на улучшение условий  и охраны труда, снижение профессиональных рисков, предупреждение несчастных случаев на производстве и профессиональных заболеваний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22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16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3.2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Консультирование работодателей и работников по вопросам обеспечения безопасных условий труда на рабочих местах и оценки профессиональных рисков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22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22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4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Раздел 4. Специфика производственной деятельности организации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50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50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4.1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Требования безопасности при выполнении отдельных видов работ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14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14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4.2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Требования безопасности при выполнении работ, связанных с эксплуатацией транспорта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12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12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4.3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Требования безопасности при выполнении сквозных видов работ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10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4.4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Требования безопасности в отдельных отраслях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14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14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Раздел 5. Стратегическое управление профессиональными рисками в организации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20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20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5.1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Методическое обеспечение стратегического управления профессиональными рисками в организации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5.2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Координация работ по внедрению системы управления профессиональными рисками в организации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5.3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Контроль и мониторинг результативности внедрения системы управления профессиональными рисками в организации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8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8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Проверка знания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8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8</w:t>
            </w:r>
          </w:p>
        </w:tc>
      </w:tr>
      <w:tr>
        <w:trPr/>
        <w:tc>
          <w:tcPr>
            <w:tcW w:w="3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ИТОГО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256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230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18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/>
                <w:sz w:val="24"/>
                <w:szCs w:val="24"/>
                <w:shd w:fill="auto" w:val="clear"/>
              </w:rPr>
              <w:t>8</w:t>
            </w:r>
          </w:p>
        </w:tc>
      </w:tr>
    </w:tbl>
    <w:p>
      <w:pPr>
        <w:pStyle w:val="Normal"/>
        <w:tabs>
          <w:tab w:val="clear" w:pos="720"/>
          <w:tab w:val="left" w:pos="2280" w:leader="none"/>
        </w:tabs>
        <w:jc w:val="center"/>
        <w:rPr>
          <w:b/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</w:r>
    </w:p>
    <w:p>
      <w:pPr>
        <w:pStyle w:val="Normal"/>
        <w:tabs>
          <w:tab w:val="clear" w:pos="720"/>
          <w:tab w:val="left" w:pos="2280" w:leader="none"/>
        </w:tabs>
        <w:jc w:val="center"/>
        <w:rPr>
          <w:highlight w:val="none"/>
          <w:shd w:fill="auto" w:val="clear"/>
        </w:rPr>
      </w:pPr>
      <w:r>
        <w:rPr>
          <w:b/>
          <w:sz w:val="24"/>
          <w:szCs w:val="24"/>
          <w:shd w:fill="auto" w:val="clear"/>
          <w:lang w:val="ru-RU"/>
        </w:rPr>
        <w:t>2.</w:t>
      </w:r>
      <w:r>
        <w:rPr>
          <w:b/>
          <w:sz w:val="24"/>
          <w:szCs w:val="24"/>
          <w:shd w:fill="auto" w:val="clear"/>
          <w:lang w:val="en-US"/>
        </w:rPr>
        <w:t>2</w:t>
      </w:r>
      <w:r>
        <w:rPr>
          <w:b/>
          <w:sz w:val="24"/>
          <w:szCs w:val="24"/>
          <w:shd w:fill="auto" w:val="clear"/>
          <w:lang w:val="ru-RU"/>
        </w:rPr>
        <w:t xml:space="preserve"> Календарный учебный график</w:t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</w:r>
    </w:p>
    <w:tbl>
      <w:tblPr>
        <w:tblW w:w="5000" w:type="pct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"/>
        <w:gridCol w:w="3231"/>
        <w:gridCol w:w="815"/>
        <w:gridCol w:w="819"/>
        <w:gridCol w:w="819"/>
        <w:gridCol w:w="818"/>
        <w:gridCol w:w="19"/>
        <w:gridCol w:w="798"/>
        <w:gridCol w:w="819"/>
        <w:gridCol w:w="828"/>
        <w:gridCol w:w="910"/>
      </w:tblGrid>
      <w:tr>
        <w:trPr/>
        <w:tc>
          <w:tcPr>
            <w:tcW w:w="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№</w:t>
            </w:r>
            <w:r>
              <w:rPr>
                <w:rFonts w:eastAsia="Times New Roman" w:cs="Times New Roman"/>
                <w:b w:val="false"/>
                <w:bCs w:val="false"/>
                <w:sz w:val="24"/>
                <w:shd w:fill="auto" w:val="clear"/>
              </w:rPr>
              <w:t xml:space="preserve"> </w:t>
            </w: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п/п</w:t>
            </w:r>
          </w:p>
        </w:tc>
        <w:tc>
          <w:tcPr>
            <w:tcW w:w="32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Наименование модуля</w:t>
            </w:r>
          </w:p>
        </w:tc>
        <w:tc>
          <w:tcPr>
            <w:tcW w:w="57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Количество учебных часов по неделям (Н)</w:t>
            </w:r>
          </w:p>
        </w:tc>
        <w:tc>
          <w:tcPr>
            <w:tcW w:w="9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Итого часов</w:t>
            </w:r>
          </w:p>
        </w:tc>
      </w:tr>
      <w:tr>
        <w:trPr/>
        <w:tc>
          <w:tcPr>
            <w:tcW w:w="37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  <w:tc>
          <w:tcPr>
            <w:tcW w:w="323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Н1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Н2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Н3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Н4</w:t>
            </w:r>
          </w:p>
        </w:tc>
        <w:tc>
          <w:tcPr>
            <w:tcW w:w="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Н5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Н6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Н7</w:t>
            </w:r>
          </w:p>
        </w:tc>
        <w:tc>
          <w:tcPr>
            <w:tcW w:w="9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</w:tr>
      <w:tr>
        <w:trPr/>
        <w:tc>
          <w:tcPr>
            <w:tcW w:w="1025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zCs w:val="24"/>
                <w:shd w:fill="auto" w:val="clear"/>
              </w:rPr>
              <w:t>Часть 1. Обеспечение функционирования системы управления охраной труда в организации</w:t>
            </w:r>
          </w:p>
        </w:tc>
      </w:tr>
      <w:tr>
        <w:trPr/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zCs w:val="24"/>
                <w:shd w:fill="auto" w:val="clear"/>
              </w:rPr>
              <w:t>1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 w:val="false"/>
                <w:b w:val="false"/>
                <w:bCs w:val="false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zCs w:val="24"/>
                <w:shd w:fill="auto" w:val="clear"/>
              </w:rPr>
              <w:t>Раздел 1. Обеспечение функционирования системы управления охраной труда в организации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40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40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20</w:t>
            </w:r>
          </w:p>
        </w:tc>
        <w:tc>
          <w:tcPr>
            <w:tcW w:w="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100</w:t>
            </w:r>
          </w:p>
        </w:tc>
      </w:tr>
      <w:tr>
        <w:trPr/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zCs w:val="24"/>
                <w:shd w:fill="auto" w:val="clear"/>
              </w:rPr>
              <w:t>2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 w:val="false"/>
                <w:b w:val="false"/>
                <w:bCs w:val="false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zCs w:val="24"/>
                <w:shd w:fill="auto" w:val="clear"/>
              </w:rPr>
              <w:t>Раздел 2. Планирование, разработка и совершенствование системы управления охраной труда и оценки профессиональных рисков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zCs w:val="24"/>
                <w:shd w:fill="auto" w:val="clear"/>
              </w:rPr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20</w:t>
            </w:r>
          </w:p>
        </w:tc>
        <w:tc>
          <w:tcPr>
            <w:tcW w:w="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14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34</w:t>
            </w:r>
          </w:p>
        </w:tc>
      </w:tr>
      <w:tr>
        <w:trPr/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zCs w:val="24"/>
                <w:shd w:fill="auto" w:val="clear"/>
              </w:rPr>
              <w:t>3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 w:val="false"/>
                <w:b w:val="false"/>
                <w:bCs w:val="false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zCs w:val="24"/>
                <w:shd w:fill="auto" w:val="clear"/>
              </w:rPr>
              <w:t>Раздел 3. Экспертиза эффективности мероприятий, направленных на обеспечение функционирования системы управления охраной труда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zCs w:val="24"/>
                <w:shd w:fill="auto" w:val="clear"/>
              </w:rPr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  <w:tc>
          <w:tcPr>
            <w:tcW w:w="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26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18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44</w:t>
            </w:r>
          </w:p>
        </w:tc>
      </w:tr>
      <w:tr>
        <w:trPr/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zCs w:val="24"/>
                <w:shd w:fill="auto" w:val="clear"/>
              </w:rPr>
              <w:t>4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 w:val="false"/>
                <w:b w:val="false"/>
                <w:bCs w:val="false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zCs w:val="24"/>
                <w:shd w:fill="auto" w:val="clear"/>
              </w:rPr>
              <w:t>Раздел 4. Специфика производственной деятельности организации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zCs w:val="24"/>
                <w:shd w:fill="auto" w:val="clear"/>
              </w:rPr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  <w:tc>
          <w:tcPr>
            <w:tcW w:w="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22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28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50</w:t>
            </w:r>
          </w:p>
        </w:tc>
      </w:tr>
      <w:tr>
        <w:trPr/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 w:val="false"/>
                <w:b w:val="false"/>
                <w:bCs w:val="false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zCs w:val="24"/>
                <w:shd w:fill="auto" w:val="clear"/>
              </w:rPr>
              <w:t>Раздел 5. Стратегическое управление профессиональными рисками в организации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zCs w:val="24"/>
                <w:shd w:fill="auto" w:val="clear"/>
              </w:rPr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  <w:tc>
          <w:tcPr>
            <w:tcW w:w="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12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8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20</w:t>
            </w:r>
          </w:p>
        </w:tc>
      </w:tr>
      <w:tr>
        <w:trPr/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 w:val="false"/>
                <w:b w:val="false"/>
                <w:bCs w:val="false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zCs w:val="24"/>
                <w:shd w:fill="auto" w:val="clear"/>
              </w:rPr>
              <w:t>Проверка знания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zCs w:val="24"/>
                <w:shd w:fill="auto" w:val="clear"/>
              </w:rPr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  <w:tc>
          <w:tcPr>
            <w:tcW w:w="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8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8</w:t>
            </w:r>
          </w:p>
        </w:tc>
      </w:tr>
      <w:tr>
        <w:trPr/>
        <w:tc>
          <w:tcPr>
            <w:tcW w:w="3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 w:val="false"/>
                <w:b w:val="false"/>
                <w:bCs w:val="false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Всего учебных часов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40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40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40</w:t>
            </w:r>
          </w:p>
        </w:tc>
        <w:tc>
          <w:tcPr>
            <w:tcW w:w="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40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40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40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16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highlight w:val="none"/>
                <w:shd w:fill="auto" w:val="clear"/>
              </w:rPr>
            </w:pPr>
            <w:r>
              <w:rPr>
                <w:rFonts w:cs="Times New Roman"/>
                <w:b w:val="false"/>
                <w:bCs w:val="false"/>
                <w:sz w:val="24"/>
                <w:shd w:fill="auto" w:val="clear"/>
              </w:rPr>
              <w:t>256</w:t>
            </w:r>
          </w:p>
        </w:tc>
      </w:tr>
    </w:tbl>
    <w:p>
      <w:pPr>
        <w:pStyle w:val="Normal"/>
        <w:tabs>
          <w:tab w:val="clear" w:pos="720"/>
          <w:tab w:val="left" w:pos="2280" w:leader="none"/>
        </w:tabs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tabs>
          <w:tab w:val="clear" w:pos="720"/>
          <w:tab w:val="left" w:pos="2280" w:leader="none"/>
        </w:tabs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tabs>
          <w:tab w:val="clear" w:pos="720"/>
          <w:tab w:val="left" w:pos="2280" w:leader="none"/>
        </w:tabs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tabs>
          <w:tab w:val="clear" w:pos="720"/>
          <w:tab w:val="left" w:pos="2280" w:leader="none"/>
        </w:tabs>
        <w:rPr>
          <w:highlight w:val="none"/>
          <w:shd w:fill="auto" w:val="clear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851" w:right="801" w:gutter="0" w:header="0" w:top="801" w:footer="720" w:bottom="851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Arial">
    <w:charset w:val="cc"/>
    <w:family w:val="roman"/>
    <w:pitch w:val="variable"/>
  </w:font>
  <w:font w:name="Segoe UI">
    <w:charset w:val="cc"/>
    <w:family w:val="roman"/>
    <w:pitch w:val="variable"/>
  </w:font>
  <w:font w:name="Courier New">
    <w:charset w:val="cc"/>
    <w:family w:val="roman"/>
    <w:pitch w:val="variable"/>
  </w:font>
  <w:font w:name="Symbol">
    <w:charset w:val="cc"/>
    <w:family w:val="roman"/>
    <w:pitch w:val="variable"/>
  </w:font>
  <w:font w:name="Wingdings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Verdana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6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590481676"/>
    </w:sdtPr>
    <w:sdtContent>
      <w:p>
        <w:pPr>
          <w:pStyle w:val="Style36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15</w:t>
        </w:r>
        <w:r>
          <w:rPr/>
          <w:fldChar w:fldCharType="end"/>
        </w:r>
      </w:p>
    </w:sdtContent>
  </w:sdt>
  <w:p>
    <w:pPr>
      <w:pStyle w:val="Style36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6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hyphenationZone w:val="360"/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uiPriority w:val="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ru-RU"/>
    </w:rPr>
  </w:style>
  <w:style w:type="paragraph" w:styleId="1">
    <w:name w:val="Heading 1"/>
    <w:basedOn w:val="Normal"/>
    <w:uiPriority w:val="1"/>
    <w:qFormat/>
    <w:pPr>
      <w:ind w:left="366" w:right="361" w:hanging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mbria" w:hAnsi="Cambria" w:eastAsia="Arial" w:cs="Arial" w:asciiTheme="majorHAnsi" w:cstheme="majorBidi" w:eastAsiaTheme="majorEastAsia" w:hAnsiTheme="majorHAnsi"/>
      <w:color w:val="365F91" w:themeColor="accent1" w:themeShade="bf"/>
      <w:sz w:val="26"/>
      <w:szCs w:val="26"/>
    </w:rPr>
  </w:style>
  <w:style w:type="paragraph" w:styleId="3">
    <w:name w:val="Heading 3"/>
    <w:basedOn w:val="Normal"/>
    <w:uiPriority w:val="9"/>
    <w:semiHidden/>
    <w:unhideWhenUsed/>
    <w:qFormat/>
    <w:pPr>
      <w:keepNext w:val="true"/>
      <w:keepLines/>
      <w:spacing w:before="200" w:after="0"/>
      <w:outlineLvl w:val="2"/>
    </w:pPr>
    <w:rPr>
      <w:rFonts w:ascii="Cambria" w:hAnsi="Cambria" w:eastAsia="Arial" w:cs="Arial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uiPriority w:val="29"/>
    <w:qFormat/>
    <w:rPr>
      <w:i/>
    </w:rPr>
  </w:style>
  <w:style w:type="character" w:styleId="Style7" w:customStyle="1">
    <w:name w:val="Выделенная цитата Знак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Style8">
    <w:name w:val="Интернет-ссылка"/>
    <w:uiPriority w:val="99"/>
    <w:unhideWhenUsed/>
    <w:rPr>
      <w:color w:val="0000FF" w:themeColor="hyperlink"/>
      <w:u w:val="single"/>
    </w:rPr>
  </w:style>
  <w:style w:type="character" w:styleId="FootnoteTextChar" w:customStyle="1">
    <w:name w:val="Footnote Text Char"/>
    <w:uiPriority w:val="99"/>
    <w:qFormat/>
    <w:rPr>
      <w:sz w:val="18"/>
    </w:rPr>
  </w:style>
  <w:style w:type="character" w:styleId="Style9" w:customStyle="1">
    <w:name w:val="Текст концевой сноски Знак"/>
    <w:uiPriority w:val="99"/>
    <w:qFormat/>
    <w:rPr>
      <w:sz w:val="20"/>
    </w:rPr>
  </w:style>
  <w:style w:type="character" w:styleId="Style10">
    <w:name w:val="Символ концевой сноски"/>
    <w:qFormat/>
    <w:rPr>
      <w:vertAlign w:val="superscript"/>
    </w:rPr>
  </w:style>
  <w:style w:type="character" w:styleId="Style11">
    <w:name w:val="Привязка концевой сноски"/>
    <w:rPr>
      <w:vertAlign w:val="superscript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22" w:customStyle="1">
    <w:name w:val="Заголовок 2 Знак"/>
    <w:basedOn w:val="DefaultParagraphFont"/>
    <w:uiPriority w:val="9"/>
    <w:semiHidden/>
    <w:qFormat/>
    <w:rPr>
      <w:rFonts w:ascii="Cambria" w:hAnsi="Cambria" w:eastAsia="Arial" w:cs="Arial" w:asciiTheme="majorHAnsi" w:cstheme="majorBidi" w:eastAsiaTheme="majorEastAsia" w:hAnsiTheme="majorHAnsi"/>
      <w:color w:val="365F91" w:themeColor="accent1" w:themeShade="bf"/>
      <w:sz w:val="26"/>
      <w:szCs w:val="26"/>
      <w:lang w:val="ru-RU" w:eastAsia="ru-RU" w:bidi="ru-RU"/>
    </w:rPr>
  </w:style>
  <w:style w:type="character" w:styleId="Style12" w:customStyle="1">
    <w:name w:val="Основной текст Знак"/>
    <w:basedOn w:val="DefaultParagraphFont"/>
    <w:uiPriority w:val="1"/>
    <w:qFormat/>
    <w:rPr>
      <w:rFonts w:ascii="Times New Roman" w:hAnsi="Times New Roman" w:eastAsia="Times New Roman" w:cs="Times New Roman"/>
      <w:sz w:val="24"/>
      <w:szCs w:val="24"/>
      <w:lang w:val="ru-RU" w:eastAsia="ru-RU" w:bidi="ru-RU"/>
    </w:rPr>
  </w:style>
  <w:style w:type="character" w:styleId="31" w:customStyle="1">
    <w:name w:val="Заголовок 3 Знак"/>
    <w:basedOn w:val="DefaultParagraphFont"/>
    <w:uiPriority w:val="9"/>
    <w:semiHidden/>
    <w:qFormat/>
    <w:rPr>
      <w:rFonts w:ascii="Cambria" w:hAnsi="Cambria" w:eastAsia="Arial" w:cs="Arial" w:asciiTheme="majorHAnsi" w:cstheme="majorBidi" w:eastAsiaTheme="majorEastAsia" w:hAnsiTheme="majorHAnsi"/>
      <w:b/>
      <w:bCs/>
      <w:color w:val="4F81BD" w:themeColor="accent1"/>
      <w:lang w:val="ru-RU" w:eastAsia="ru-RU" w:bidi="ru-RU"/>
    </w:rPr>
  </w:style>
  <w:style w:type="character" w:styleId="32" w:customStyle="1">
    <w:name w:val="Основной текст с отступом 3 Знак"/>
    <w:basedOn w:val="DefaultParagraphFont"/>
    <w:uiPriority w:val="99"/>
    <w:semiHidden/>
    <w:qFormat/>
    <w:rPr>
      <w:rFonts w:ascii="Times New Roman" w:hAnsi="Times New Roman" w:eastAsia="Times New Roman" w:cs="Times New Roman"/>
      <w:sz w:val="16"/>
      <w:szCs w:val="16"/>
      <w:lang w:val="ru-RU" w:eastAsia="ru-RU" w:bidi="ru-RU"/>
    </w:rPr>
  </w:style>
  <w:style w:type="character" w:styleId="23" w:customStyle="1">
    <w:name w:val="Основной текст с отступом 2 Знак"/>
    <w:basedOn w:val="DefaultParagraphFont"/>
    <w:uiPriority w:val="99"/>
    <w:semiHidden/>
    <w:qFormat/>
    <w:rPr>
      <w:rFonts w:ascii="Times New Roman" w:hAnsi="Times New Roman" w:eastAsia="Times New Roman" w:cs="Times New Roman"/>
      <w:lang w:val="ru-RU" w:eastAsia="ru-RU" w:bidi="ru-RU"/>
    </w:rPr>
  </w:style>
  <w:style w:type="character" w:styleId="Style13" w:customStyle="1">
    <w:name w:val="Текст сноски Знак"/>
    <w:basedOn w:val="DefaultParagraphFont"/>
    <w:uiPriority w:val="99"/>
    <w:semiHidden/>
    <w:qFormat/>
    <w:rPr>
      <w:rFonts w:ascii="Times New Roman" w:hAnsi="Times New Roman" w:eastAsia="Times New Roman" w:cs="Times New Roman"/>
      <w:sz w:val="20"/>
      <w:szCs w:val="20"/>
      <w:lang w:val="ru-RU" w:eastAsia="ru-RU" w:bidi="ru-RU"/>
    </w:rPr>
  </w:style>
  <w:style w:type="character" w:styleId="Style14">
    <w:name w:val="Символ сноски"/>
    <w:qFormat/>
    <w:rPr>
      <w:vertAlign w:val="superscript"/>
    </w:rPr>
  </w:style>
  <w:style w:type="character" w:styleId="Style15">
    <w:name w:val="Привязка сноски"/>
    <w:rPr>
      <w:vertAlign w:val="superscript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Style16" w:customStyle="1">
    <w:name w:val="Верхний колонтитул Знак"/>
    <w:basedOn w:val="DefaultParagraphFont"/>
    <w:uiPriority w:val="99"/>
    <w:qFormat/>
    <w:rPr>
      <w:rFonts w:ascii="Times New Roman" w:hAnsi="Times New Roman" w:eastAsia="Times New Roman" w:cs="Times New Roman"/>
      <w:lang w:val="ru-RU" w:eastAsia="ru-RU" w:bidi="ru-RU"/>
    </w:rPr>
  </w:style>
  <w:style w:type="character" w:styleId="Style17" w:customStyle="1">
    <w:name w:val="Нижний колонтитул Знак"/>
    <w:basedOn w:val="DefaultParagraphFont"/>
    <w:uiPriority w:val="99"/>
    <w:qFormat/>
    <w:rPr>
      <w:rFonts w:ascii="Times New Roman" w:hAnsi="Times New Roman" w:eastAsia="Times New Roman" w:cs="Times New Roman"/>
      <w:lang w:val="ru-RU" w:eastAsia="ru-RU" w:bidi="ru-RU"/>
    </w:rPr>
  </w:style>
  <w:style w:type="character" w:styleId="Style18" w:customStyle="1">
    <w:name w:val="Текст выноски Знак"/>
    <w:basedOn w:val="DefaultParagraphFont"/>
    <w:uiPriority w:val="99"/>
    <w:semiHidden/>
    <w:qFormat/>
    <w:rsid w:val="00ba0316"/>
    <w:rPr>
      <w:rFonts w:ascii="Segoe UI" w:hAnsi="Segoe UI" w:eastAsia="Times New Roman" w:cs="Segoe UI"/>
      <w:sz w:val="18"/>
      <w:szCs w:val="18"/>
      <w:lang w:val="ru-RU" w:eastAsia="ru-RU" w:bidi="ru-RU"/>
    </w:rPr>
  </w:style>
  <w:style w:type="character" w:styleId="HTML" w:customStyle="1">
    <w:name w:val="Стандартный HTML Знак"/>
    <w:basedOn w:val="DefaultParagraphFont"/>
    <w:qFormat/>
    <w:rsid w:val="00dc635b"/>
    <w:rPr>
      <w:rFonts w:ascii="Courier New" w:hAnsi="Courier New" w:eastAsia="Times New Roman" w:cs="Times New Roman"/>
      <w:sz w:val="20"/>
      <w:szCs w:val="20"/>
      <w:lang w:val="ru-RU" w:eastAsia="zh-CN"/>
    </w:rPr>
  </w:style>
  <w:style w:type="character" w:styleId="Style19" w:customStyle="1">
    <w:name w:val="Гипертекстовая ссылка"/>
    <w:basedOn w:val="DefaultParagraphFont"/>
    <w:uiPriority w:val="99"/>
    <w:qFormat/>
    <w:rsid w:val="00c00907"/>
    <w:rPr>
      <w:rFonts w:cs="Times New Roman"/>
      <w:b w:val="false"/>
      <w:color w:val="106BBE"/>
    </w:rPr>
  </w:style>
  <w:style w:type="character" w:styleId="1693" w:customStyle="1">
    <w:name w:val="1693"/>
    <w:basedOn w:val="DefaultParagraphFont"/>
    <w:qFormat/>
    <w:rsid w:val="00b23a11"/>
    <w:rPr/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12z0">
    <w:name w:val="WW8Num12z0"/>
    <w:qFormat/>
    <w:rPr/>
  </w:style>
  <w:style w:type="character" w:styleId="WW8Num30z0">
    <w:name w:val="WW8Num30z0"/>
    <w:qFormat/>
    <w:rPr/>
  </w:style>
  <w:style w:type="character" w:styleId="WW8Num26z0">
    <w:name w:val="WW8Num26z0"/>
    <w:qFormat/>
    <w:rPr/>
  </w:style>
  <w:style w:type="character" w:styleId="WW8Num17z0">
    <w:name w:val="WW8Num17z0"/>
    <w:qFormat/>
    <w:rPr/>
  </w:style>
  <w:style w:type="character" w:styleId="WW8Num21z0">
    <w:name w:val="WW8Num21z0"/>
    <w:qFormat/>
    <w:rPr/>
  </w:style>
  <w:style w:type="character" w:styleId="WW8Num4z0">
    <w:name w:val="WW8Num4z0"/>
    <w:qFormat/>
    <w:rPr/>
  </w:style>
  <w:style w:type="character" w:styleId="WW8Num6z0">
    <w:name w:val="WW8Num6z0"/>
    <w:qFormat/>
    <w:rPr/>
  </w:style>
  <w:style w:type="character" w:styleId="WW8Num5z0">
    <w:name w:val="WW8Num5z0"/>
    <w:qFormat/>
    <w:rPr/>
  </w:style>
  <w:style w:type="character" w:styleId="WW8Num15z0">
    <w:name w:val="WW8Num15z0"/>
    <w:qFormat/>
    <w:rPr/>
  </w:style>
  <w:style w:type="character" w:styleId="WW8Num27z0">
    <w:name w:val="WW8Num27z0"/>
    <w:qFormat/>
    <w:rPr/>
  </w:style>
  <w:style w:type="character" w:styleId="WW8Num3z0">
    <w:name w:val="WW8Num3z0"/>
    <w:qFormat/>
    <w:rPr/>
  </w:style>
  <w:style w:type="character" w:styleId="WW8Num13z0">
    <w:name w:val="WW8Num13z0"/>
    <w:qFormat/>
    <w:rPr/>
  </w:style>
  <w:style w:type="character" w:styleId="WW8Num16z0">
    <w:name w:val="WW8Num16z0"/>
    <w:qFormat/>
    <w:rPr/>
  </w:style>
  <w:style w:type="character" w:styleId="WW8Num10z0">
    <w:name w:val="WW8Num10z0"/>
    <w:qFormat/>
    <w:rPr/>
  </w:style>
  <w:style w:type="character" w:styleId="WW8Num7z0">
    <w:name w:val="WW8Num7z0"/>
    <w:qFormat/>
    <w:rPr/>
  </w:style>
  <w:style w:type="character" w:styleId="WW8Num18z0">
    <w:name w:val="WW8Num18z0"/>
    <w:qFormat/>
    <w:rPr/>
  </w:style>
  <w:style w:type="character" w:styleId="WW8Num14z0">
    <w:name w:val="WW8Num14z0"/>
    <w:qFormat/>
    <w:rPr/>
  </w:style>
  <w:style w:type="character" w:styleId="WW8Num2z0">
    <w:name w:val="WW8Num2z0"/>
    <w:qFormat/>
    <w:rPr/>
  </w:style>
  <w:style w:type="character" w:styleId="WW8Num1z0">
    <w:name w:val="WW8Num1z0"/>
    <w:qFormat/>
    <w:rPr/>
  </w:style>
  <w:style w:type="character" w:styleId="WW8Num24z0">
    <w:name w:val="WW8Num24z0"/>
    <w:qFormat/>
    <w:rPr/>
  </w:style>
  <w:style w:type="character" w:styleId="Style20">
    <w:name w:val="Символ нумерации"/>
    <w:qFormat/>
    <w:rPr/>
  </w:style>
  <w:style w:type="paragraph" w:styleId="Style21">
    <w:name w:val="Заголовок"/>
    <w:basedOn w:val="Normal"/>
    <w:next w:val="Style22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yle22">
    <w:name w:val="Body Text"/>
    <w:basedOn w:val="Normal"/>
    <w:uiPriority w:val="1"/>
    <w:qFormat/>
    <w:pPr/>
    <w:rPr>
      <w:sz w:val="24"/>
      <w:szCs w:val="24"/>
    </w:rPr>
  </w:style>
  <w:style w:type="paragraph" w:styleId="Style23">
    <w:name w:val="List"/>
    <w:basedOn w:val="Style22"/>
    <w:pPr/>
    <w:rPr>
      <w:rFonts w:cs="Mangal"/>
    </w:rPr>
  </w:style>
  <w:style w:type="paragraph" w:styleId="Style24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5">
    <w:name w:val="Указатель"/>
    <w:basedOn w:val="Normal"/>
    <w:qFormat/>
    <w:pPr>
      <w:suppressLineNumbers/>
    </w:pPr>
    <w:rPr>
      <w:rFonts w:cs="Mangal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val="4F81BD" w:themeColor="accent1"/>
      <w:sz w:val="18"/>
      <w:szCs w:val="18"/>
    </w:rPr>
  </w:style>
  <w:style w:type="paragraph" w:styleId="Style26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7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Style28">
    <w:name w:val="Endnote Text"/>
    <w:basedOn w:val="Normal"/>
    <w:uiPriority w:val="99"/>
    <w:semiHidden/>
    <w:unhideWhenUsed/>
    <w:pPr/>
    <w:rPr>
      <w:sz w:val="20"/>
    </w:rPr>
  </w:style>
  <w:style w:type="paragraph" w:styleId="12">
    <w:name w:val="TOC 1"/>
    <w:basedOn w:val="Normal"/>
    <w:uiPriority w:val="39"/>
    <w:unhideWhenUsed/>
    <w:pPr>
      <w:spacing w:before="0" w:after="57"/>
    </w:pPr>
    <w:rPr/>
  </w:style>
  <w:style w:type="paragraph" w:styleId="24">
    <w:name w:val="TOC 2"/>
    <w:basedOn w:val="Normal"/>
    <w:uiPriority w:val="39"/>
    <w:unhideWhenUsed/>
    <w:pPr>
      <w:spacing w:before="0" w:after="57"/>
      <w:ind w:left="283" w:hanging="0"/>
    </w:pPr>
    <w:rPr/>
  </w:style>
  <w:style w:type="paragraph" w:styleId="33">
    <w:name w:val="TOC 3"/>
    <w:basedOn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uiPriority w:val="39"/>
    <w:unhideWhenUsed/>
    <w:pPr>
      <w:spacing w:before="0" w:after="57"/>
      <w:ind w:left="2268" w:hanging="0"/>
    </w:pPr>
    <w:rPr/>
  </w:style>
  <w:style w:type="paragraph" w:styleId="Indexheading">
    <w:name w:val="index heading"/>
    <w:basedOn w:val="Style21"/>
    <w:qFormat/>
    <w:pPr/>
    <w:rPr/>
  </w:style>
  <w:style w:type="paragraph" w:styleId="Style29">
    <w:name w:val="Index Heading"/>
    <w:basedOn w:val="Style21"/>
    <w:pPr/>
    <w:rPr/>
  </w:style>
  <w:style w:type="paragraph" w:styleId="Style30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uiPriority w:val="99"/>
    <w:unhideWhenUsed/>
    <w:qFormat/>
    <w:pPr/>
    <w:rPr/>
  </w:style>
  <w:style w:type="paragraph" w:styleId="ListParagraph">
    <w:name w:val="List Paragraph"/>
    <w:basedOn w:val="Normal"/>
    <w:uiPriority w:val="1"/>
    <w:qFormat/>
    <w:pPr>
      <w:ind w:left="118" w:right="108" w:hanging="0"/>
      <w:jc w:val="both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0"/>
      <w:szCs w:val="20"/>
      <w:lang w:val="ru-RU" w:eastAsia="ru-RU" w:bidi="ar-SA"/>
    </w:rPr>
  </w:style>
  <w:style w:type="paragraph" w:styleId="Style31" w:customStyle="1">
    <w:name w:val="Знак"/>
    <w:basedOn w:val="Normal"/>
    <w:qFormat/>
    <w:pPr>
      <w:widowControl/>
      <w:spacing w:lineRule="exact" w:line="240" w:before="0" w:after="160"/>
    </w:pPr>
    <w:rPr>
      <w:rFonts w:ascii="Verdana" w:hAnsi="Verdana" w:cs="Verdana"/>
      <w:sz w:val="24"/>
      <w:szCs w:val="24"/>
      <w:lang w:val="en-US" w:eastAsia="en-US" w:bidi="ar-SA"/>
    </w:rPr>
  </w:style>
  <w:style w:type="paragraph" w:styleId="BodyTextIndent3">
    <w:name w:val="Body Text Indent 3"/>
    <w:basedOn w:val="Normal"/>
    <w:uiPriority w:val="99"/>
    <w:semiHidden/>
    <w:unhideWhenUsed/>
    <w:qFormat/>
    <w:pPr>
      <w:spacing w:before="0" w:after="120"/>
      <w:ind w:left="283" w:hanging="0"/>
    </w:pPr>
    <w:rPr>
      <w:sz w:val="16"/>
      <w:szCs w:val="16"/>
    </w:rPr>
  </w:style>
  <w:style w:type="paragraph" w:styleId="BodyTextIndent2">
    <w:name w:val="Body Text Indent 2"/>
    <w:basedOn w:val="Normal"/>
    <w:uiPriority w:val="99"/>
    <w:semiHidden/>
    <w:unhideWhenUsed/>
    <w:qFormat/>
    <w:pPr>
      <w:spacing w:lineRule="auto" w:line="480" w:before="0" w:after="120"/>
      <w:ind w:left="283" w:hanging="0"/>
    </w:pPr>
    <w:rPr/>
  </w:style>
  <w:style w:type="paragraph" w:styleId="Style32">
    <w:name w:val="Footnote Text"/>
    <w:basedOn w:val="Normal"/>
    <w:uiPriority w:val="99"/>
    <w:semiHidden/>
    <w:unhideWhenUsed/>
    <w:pPr/>
    <w:rPr>
      <w:sz w:val="20"/>
      <w:szCs w:val="20"/>
    </w:rPr>
  </w:style>
  <w:style w:type="paragraph" w:styleId="Style33">
    <w:name w:val="Колонтитул"/>
    <w:basedOn w:val="Normal"/>
    <w:qFormat/>
    <w:pPr/>
    <w:rPr/>
  </w:style>
  <w:style w:type="paragraph" w:styleId="Style34">
    <w:name w:val="Колонтитулы"/>
    <w:basedOn w:val="Normal"/>
    <w:qFormat/>
    <w:pPr/>
    <w:rPr/>
  </w:style>
  <w:style w:type="paragraph" w:styleId="Style35">
    <w:name w:val="Header"/>
    <w:basedOn w:val="Normal"/>
    <w:uiPriority w:val="99"/>
    <w:unhideWhenUsed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36">
    <w:name w:val="Footer"/>
    <w:basedOn w:val="Normal"/>
    <w:uiPriority w:val="99"/>
    <w:unhideWhenUsed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1" w:customStyle="1">
    <w:name w:val="s_1"/>
    <w:basedOn w:val="Normal"/>
    <w:qFormat/>
    <w:pPr>
      <w:widowControl/>
      <w:spacing w:beforeAutospacing="1" w:afterAutospacing="1"/>
    </w:pPr>
    <w:rPr>
      <w:sz w:val="24"/>
      <w:szCs w:val="24"/>
      <w:lang w:bidi="ar-SA"/>
    </w:rPr>
  </w:style>
  <w:style w:type="paragraph" w:styleId="BalloonText">
    <w:name w:val="Balloon Text"/>
    <w:basedOn w:val="Normal"/>
    <w:uiPriority w:val="99"/>
    <w:semiHidden/>
    <w:unhideWhenUsed/>
    <w:qFormat/>
    <w:rsid w:val="00ba0316"/>
    <w:pPr/>
    <w:rPr>
      <w:rFonts w:ascii="Segoe UI" w:hAnsi="Segoe UI" w:cs="Segoe UI"/>
      <w:sz w:val="18"/>
      <w:szCs w:val="18"/>
    </w:rPr>
  </w:style>
  <w:style w:type="paragraph" w:styleId="Justify2" w:customStyle="1">
    <w:name w:val="justify2"/>
    <w:basedOn w:val="Normal"/>
    <w:qFormat/>
    <w:rsid w:val="004c4191"/>
    <w:pPr>
      <w:widowControl/>
      <w:spacing w:beforeAutospacing="1" w:afterAutospacing="1"/>
    </w:pPr>
    <w:rPr>
      <w:sz w:val="20"/>
      <w:szCs w:val="20"/>
      <w:lang w:eastAsia="zh-CN" w:bidi="ar-SA"/>
    </w:rPr>
  </w:style>
  <w:style w:type="paragraph" w:styleId="HTMLPreformatted">
    <w:name w:val="HTML Preformatted"/>
    <w:basedOn w:val="Normal"/>
    <w:qFormat/>
    <w:rsid w:val="00dc635b"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  <w:szCs w:val="20"/>
      <w:lang w:eastAsia="zh-CN" w:bidi="ar-SA"/>
    </w:rPr>
  </w:style>
  <w:style w:type="paragraph" w:styleId="ConsPlusTitle" w:customStyle="1">
    <w:name w:val="ConsPlusTitle"/>
    <w:qFormat/>
    <w:rsid w:val="00dc635b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b/>
      <w:bCs/>
      <w:color w:val="auto"/>
      <w:kern w:val="0"/>
      <w:sz w:val="20"/>
      <w:szCs w:val="20"/>
      <w:lang w:val="ru-RU" w:eastAsia="ru-RU" w:bidi="ar-SA"/>
    </w:rPr>
  </w:style>
  <w:style w:type="paragraph" w:styleId="Right1" w:customStyle="1">
    <w:name w:val="right1"/>
    <w:basedOn w:val="Normal"/>
    <w:qFormat/>
    <w:rsid w:val="00e221a5"/>
    <w:pPr>
      <w:widowControl/>
      <w:spacing w:beforeAutospacing="1" w:afterAutospacing="1"/>
    </w:pPr>
    <w:rPr>
      <w:sz w:val="20"/>
      <w:szCs w:val="20"/>
      <w:lang w:eastAsia="zh-CN" w:bidi="ar-SA"/>
    </w:rPr>
  </w:style>
  <w:style w:type="paragraph" w:styleId="ConsPlusNormal" w:customStyle="1">
    <w:name w:val="ConsPlusNormal"/>
    <w:qFormat/>
    <w:rsid w:val="00e221a5"/>
    <w:pPr>
      <w:widowControl/>
      <w:suppressAutoHyphens w:val="true"/>
      <w:bidi w:val="0"/>
      <w:spacing w:before="0" w:after="0"/>
      <w:ind w:firstLine="720"/>
      <w:jc w:val="left"/>
    </w:pPr>
    <w:rPr>
      <w:rFonts w:ascii="Arial" w:hAnsi="Arial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Docdata" w:customStyle="1">
    <w:name w:val="docdata"/>
    <w:basedOn w:val="Normal"/>
    <w:qFormat/>
    <w:rsid w:val="00ea6873"/>
    <w:pPr>
      <w:widowControl/>
      <w:spacing w:beforeAutospacing="1" w:afterAutospacing="1"/>
    </w:pPr>
    <w:rPr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qFormat/>
    <w:rsid w:val="00342d85"/>
    <w:pPr>
      <w:widowControl/>
      <w:spacing w:beforeAutospacing="1" w:afterAutospacing="1"/>
    </w:pPr>
    <w:rPr>
      <w:sz w:val="24"/>
      <w:szCs w:val="24"/>
      <w:lang w:bidi="ar-SA"/>
    </w:rPr>
  </w:style>
  <w:style w:type="paragraph" w:styleId="Standard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Andale Sans UI;Arial Unicode MS" w:cs="Tahoma"/>
      <w:color w:val="auto"/>
      <w:kern w:val="2"/>
      <w:sz w:val="24"/>
      <w:szCs w:val="24"/>
      <w:lang w:val="de-DE" w:eastAsia="zh-CN" w:bidi="fa-IR"/>
    </w:rPr>
  </w:style>
  <w:style w:type="paragraph" w:styleId="Style37">
    <w:name w:val="Без интервала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0"/>
      <w:szCs w:val="20"/>
      <w:lang w:val="ru-RU" w:eastAsia="en-US" w:bidi="ar-SA"/>
    </w:rPr>
  </w:style>
  <w:style w:type="numbering" w:styleId="Style38" w:default="1">
    <w:name w:val="Без списка"/>
    <w:uiPriority w:val="99"/>
    <w:semiHidden/>
    <w:unhideWhenUsed/>
    <w:qFormat/>
  </w:style>
  <w:style w:type="numbering" w:styleId="WW8Num11">
    <w:name w:val="WW8Num11"/>
    <w:qFormat/>
  </w:style>
  <w:style w:type="numbering" w:styleId="WW8Num23">
    <w:name w:val="WW8Num23"/>
    <w:qFormat/>
  </w:style>
  <w:style w:type="numbering" w:styleId="WW8Num12">
    <w:name w:val="WW8Num12"/>
    <w:qFormat/>
  </w:style>
  <w:style w:type="numbering" w:styleId="WW8Num30">
    <w:name w:val="WW8Num30"/>
    <w:qFormat/>
  </w:style>
  <w:style w:type="numbering" w:styleId="WW8Num26">
    <w:name w:val="WW8Num26"/>
    <w:qFormat/>
  </w:style>
  <w:style w:type="numbering" w:styleId="WW8Num17">
    <w:name w:val="WW8Num17"/>
    <w:qFormat/>
  </w:style>
  <w:style w:type="numbering" w:styleId="WW8Num21">
    <w:name w:val="WW8Num21"/>
    <w:qFormat/>
  </w:style>
  <w:style w:type="numbering" w:styleId="WW8Num4">
    <w:name w:val="WW8Num4"/>
    <w:qFormat/>
  </w:style>
  <w:style w:type="numbering" w:styleId="WW8Num6">
    <w:name w:val="WW8Num6"/>
    <w:qFormat/>
  </w:style>
  <w:style w:type="numbering" w:styleId="WW8Num5">
    <w:name w:val="WW8Num5"/>
    <w:qFormat/>
  </w:style>
  <w:style w:type="numbering" w:styleId="WW8Num15">
    <w:name w:val="WW8Num15"/>
    <w:qFormat/>
  </w:style>
  <w:style w:type="numbering" w:styleId="WW8Num27">
    <w:name w:val="WW8Num27"/>
    <w:qFormat/>
  </w:style>
  <w:style w:type="numbering" w:styleId="WW8Num3">
    <w:name w:val="WW8Num3"/>
    <w:qFormat/>
  </w:style>
  <w:style w:type="numbering" w:styleId="WW8Num13">
    <w:name w:val="WW8Num13"/>
    <w:qFormat/>
  </w:style>
  <w:style w:type="numbering" w:styleId="WW8Num16">
    <w:name w:val="WW8Num16"/>
    <w:qFormat/>
  </w:style>
  <w:style w:type="numbering" w:styleId="WW8Num10">
    <w:name w:val="WW8Num10"/>
    <w:qFormat/>
  </w:style>
  <w:style w:type="numbering" w:styleId="WW8Num7">
    <w:name w:val="WW8Num7"/>
    <w:qFormat/>
  </w:style>
  <w:style w:type="numbering" w:styleId="WW8Num18">
    <w:name w:val="WW8Num18"/>
    <w:qFormat/>
  </w:style>
  <w:style w:type="numbering" w:styleId="WW8Num14">
    <w:name w:val="WW8Num14"/>
    <w:qFormat/>
  </w:style>
  <w:style w:type="numbering" w:styleId="WW8Num2">
    <w:name w:val="WW8Num2"/>
    <w:qFormat/>
  </w:style>
  <w:style w:type="numbering" w:styleId="WW8Num1">
    <w:name w:val="WW8Num1"/>
    <w:qFormat/>
  </w:style>
  <w:style w:type="numbering" w:styleId="WW8Num24">
    <w:name w:val="WW8Num24"/>
    <w:qFormat/>
  </w:style>
  <w:style w:type="numbering" w:styleId="WW8Num20">
    <w:name w:val="WW8Num20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Row">
      <w:rPr>
        <w:b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Row">
      <w:rPr>
        <w:b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Row">
      <w:rPr>
        <w:b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Row">
      <w:rPr>
        <w:b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b/>
        <w:sz w:val="22"/>
      </w:rPr>
      <w:tblPr/>
      <w:tcPr>
        <w:shd w:val="clear" w:color="4F81BD" w:fill="4F81BD" w:themeFill="accent1"/>
      </w:tcPr>
    </w:tblStylePr>
    <w:tblStylePr w:type="lastCol">
      <w:rPr>
        <w:b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b/>
        <w:sz w:val="22"/>
      </w:rPr>
      <w:tblPr/>
      <w:tcPr>
        <w:shd w:val="clear" w:color="C0504D" w:fill="C0504D" w:themeFill="accent2"/>
      </w:tcPr>
    </w:tblStylePr>
    <w:tblStylePr w:type="lastCol">
      <w:rPr>
        <w:b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b/>
        <w:sz w:val="22"/>
      </w:rPr>
      <w:tblPr/>
      <w:tcPr>
        <w:shd w:val="clear" w:color="9BBB59" w:fill="9BBB59" w:themeFill="accent3"/>
      </w:tcPr>
    </w:tblStylePr>
    <w:tblStylePr w:type="lastCol">
      <w:rPr>
        <w:b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b/>
        <w:sz w:val="22"/>
      </w:rPr>
      <w:tblPr/>
      <w:tcPr>
        <w:shd w:val="clear" w:color="8064A2" w:fill="8064A2" w:themeFill="accent4"/>
      </w:tcPr>
    </w:tblStylePr>
    <w:tblStylePr w:type="lastCol">
      <w:rPr>
        <w:b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b/>
        <w:sz w:val="22"/>
      </w:rPr>
      <w:tblPr/>
      <w:tcPr>
        <w:shd w:val="clear" w:color="4BACC6" w:fill="4BACC6" w:themeFill="accent5"/>
      </w:tcPr>
    </w:tblStylePr>
    <w:tblStylePr w:type="lastCol">
      <w:rPr>
        <w:b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b/>
        <w:sz w:val="22"/>
      </w:rPr>
      <w:tblPr/>
      <w:tcPr>
        <w:shd w:val="clear" w:color="F79646" w:fill="F79646" w:themeFill="accent6"/>
      </w:tcPr>
    </w:tblStylePr>
    <w:tblStylePr w:type="lastCol">
      <w:rPr>
        <w:b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themeColor="text1" w:themeTint="80" w:themeShade="95"/>
      </w:rPr>
      <w:tblPr/>
    </w:tblStylePr>
    <w:tblStylePr w:type="firstCol">
      <w:rPr>
        <w:b/>
        <w:color w:themeColor="text1" w:themeTint="80" w:themeShade="95"/>
      </w:rPr>
      <w:tblPr/>
    </w:tblStylePr>
    <w:tblStylePr w:type="lastCol">
      <w:rPr>
        <w:b/>
        <w:color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themeColor="accent1" w:themeTint="80" w:themeShade="95"/>
      </w:rPr>
      <w:tblPr/>
    </w:tblStylePr>
    <w:tblStylePr w:type="firstCol">
      <w:rPr>
        <w:b/>
        <w:color w:themeColor="accent1" w:themeTint="80" w:themeShade="95"/>
      </w:rPr>
      <w:tblPr/>
    </w:tblStylePr>
    <w:tblStylePr w:type="lastCol">
      <w:rPr>
        <w:b/>
        <w:color w:themeColor="accent1" w:themeTint="80" w:themeShade="95"/>
      </w:rPr>
      <w:tblPr/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themeColor="accent2" w:themeTint="97" w:themeShade="95"/>
      </w:rPr>
      <w:tblPr/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themeColor="accent3" w:themeTint="fe" w:themeShade="95"/>
      </w:rPr>
      <w:tblPr/>
    </w:tblStylePr>
    <w:tblStylePr w:type="firstCol">
      <w:rPr>
        <w:b/>
        <w:color w:themeColor="accent3" w:themeTint="fe" w:themeShade="95"/>
      </w:rPr>
      <w:tblPr/>
    </w:tblStylePr>
    <w:tblStylePr w:type="lastCol">
      <w:rPr>
        <w:b/>
        <w:color w:themeColor="accent3" w:themeTint="fe" w:themeShade="95"/>
      </w:rPr>
      <w:tblPr/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themeColor="accent4" w:themeTint="9a" w:themeShade="95"/>
      </w:rPr>
      <w:tblPr/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6BFD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6BFDD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single" w:color="A6BFD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ABB5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ABB59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single" w:color="9ABB59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9D0DE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99D0DE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9D0DE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single" w:color="99D0DE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396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FAC396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396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single" w:color="FAC396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themeColor="text1"/>
      </w:rPr>
      <w:tblPr/>
    </w:tblStylePr>
    <w:tblStylePr w:type="lastCol">
      <w:rPr>
        <w:b/>
        <w:color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themeColor="accent1" w:themeShade="95"/>
      </w:rPr>
      <w:tblPr/>
    </w:tblStylePr>
    <w:tblStylePr w:type="lastCol">
      <w:rPr>
        <w:b/>
        <w:color w:themeColor="accent1" w:themeShade="95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themeColor="accent3" w:themeTint="98" w:themeShade="95"/>
      </w:rPr>
      <w:tblPr/>
    </w:tblStylePr>
    <w:tblStylePr w:type="lastCol">
      <w:rPr>
        <w:b/>
        <w:color w:themeColor="accent3" w:themeTint="98" w:themeShade="95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themeColor="accent5" w:themeTint="9a" w:themeShade="95"/>
      </w:rPr>
      <w:tblPr/>
    </w:tblStylePr>
    <w:tblStylePr w:type="lastCol">
      <w:rPr>
        <w:b/>
        <w:color w:themeColor="accent5" w:themeTint="9a" w:themeShade="95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themeColor="accent6" w:themeTint="98" w:themeShade="95"/>
      </w:rPr>
      <w:tblPr/>
    </w:tblStylePr>
    <w:tblStylePr w:type="lastCol">
      <w:rPr>
        <w:b/>
        <w:color w:themeColor="accent6" w:themeTint="98" w:themeShade="95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3D69B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3D69B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single" w:color="C3D69B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2CCDC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2CCDC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single" w:color="92CCDC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090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090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single" w:color="FAC090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firstRow">
      <w:rPr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firstRow">
      <w:rPr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firstRow">
      <w:rPr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lang w:val="ru-RU" w:eastAsia="ru-RU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4">
    <w:name w:val="Table Grid"/>
    <w:basedOn w:val="a1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73A0C2E5-241B-4DB3-A517-A012E068C1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3236</TotalTime>
  <Application>LibreOffice/7.3.4.2$Windows_X86_64 LibreOffice_project/728fec16bd5f605073805c3c9e7c4212a0120dc5</Application>
  <AppVersion>15.0000</AppVersion>
  <Pages>15</Pages>
  <Words>4910</Words>
  <Characters>36291</Characters>
  <CharactersWithSpaces>40426</CharactersWithSpaces>
  <Paragraphs>508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2022-02-17T17:08:00Z</dcterms:created>
  <dc:creator>Марина Лукина</dc:creator>
  <dc:description/>
  <dc:language>ru-RU</dc:language>
  <cp:lastModifiedBy/>
  <cp:lastPrinted>2025-12-17T17:59:19Z</cp:lastPrinted>
  <dcterms:modified xsi:type="dcterms:W3CDTF">2026-04-30T11:17:11Z</dcterms:modified>
  <cp:revision>154</cp:revision>
  <dc:subject/>
  <dc:title>ПРИМЕРНАЯ ПРОГРАММА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2019-06-14T00:00:00Z</vt:filetime>
  </property>
  <property fmtid="{D5CDD505-2E9C-101B-9397-08002B2CF9AE}" pid="3" name="Creator">
    <vt:lpwstr>Microsoft® Word для Office 365</vt:lpwstr>
  </property>
  <property fmtid="{D5CDD505-2E9C-101B-9397-08002B2CF9AE}" pid="4" name="HyperlinksChanged">
    <vt:bool>0</vt:bool>
  </property>
  <property fmtid="{D5CDD505-2E9C-101B-9397-08002B2CF9AE}" pid="5" name="LastSaved">
    <vt:filetime>2020-05-07T00:00:00Z</vt:filetime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