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39"/>
        <w:spacing w:lineRule="auto" w:line="240"/>
        <w:ind w:left="0" w:right="0" w:firstLine="567"/>
        <w:jc w:val="center"/>
        <w:rPr/>
      </w:pPr>
      <w:r>
        <w:rPr>
          <w:rStyle w:val="FontStyle20"/>
          <w:b/>
          <w:bCs/>
          <w:sz w:val="24"/>
          <w:szCs w:val="24"/>
          <w:shd w:fill="auto" w:val="clear"/>
          <w:lang w:eastAsia="ru-RU"/>
        </w:rPr>
        <w:t xml:space="preserve">1. </w:t>
      </w:r>
      <w:r>
        <w:rPr>
          <w:rStyle w:val="FontStyle20"/>
          <w:rFonts w:eastAsia="Lucida Sans Unicode"/>
          <w:b/>
          <w:bCs/>
          <w:color w:val="000000"/>
          <w:kern w:val="2"/>
          <w:sz w:val="24"/>
          <w:szCs w:val="24"/>
          <w:shd w:fill="auto" w:val="clear"/>
          <w:lang w:eastAsia="ru-RU" w:bidi="hi-IN"/>
        </w:rPr>
        <w:t>ПОЯСНИТЕЛЬНАЯ ЗАПИСКА</w:t>
      </w:r>
    </w:p>
    <w:p>
      <w:pPr>
        <w:pStyle w:val="Normal"/>
        <w:spacing w:lineRule="auto" w:line="240"/>
        <w:ind w:left="0" w:right="0" w:firstLine="567"/>
        <w:jc w:val="left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</w:r>
    </w:p>
    <w:p>
      <w:pPr>
        <w:pStyle w:val="Normal"/>
        <w:spacing w:lineRule="auto" w:line="240"/>
        <w:ind w:left="0" w:right="0" w:firstLine="567"/>
        <w:jc w:val="both"/>
        <w:rPr/>
      </w:pPr>
      <w:r>
        <w:rPr>
          <w:rStyle w:val="FontStyle20"/>
          <w:b w:val="false"/>
          <w:bCs w:val="false"/>
          <w:sz w:val="24"/>
          <w:szCs w:val="24"/>
          <w:shd w:fill="auto" w:val="clear"/>
          <w:lang w:eastAsia="ru-RU"/>
        </w:rPr>
        <w:t xml:space="preserve">Дополнительная общеразвивающая программа «Обучение  работников 2 группы по безопасности работ по высоте» </w:t>
      </w:r>
      <w:r>
        <w:rPr>
          <w:rStyle w:val="FontStyle20"/>
          <w:b w:val="false"/>
          <w:bCs w:val="false"/>
          <w:sz w:val="24"/>
          <w:szCs w:val="24"/>
          <w:shd w:fill="auto" w:val="clear"/>
          <w:vertAlign w:val="superscript"/>
          <w:lang w:eastAsia="ru-RU"/>
        </w:rPr>
        <w:t xml:space="preserve"> </w:t>
      </w:r>
      <w:r>
        <w:rPr>
          <w:rStyle w:val="FontStyle20"/>
          <w:b w:val="false"/>
          <w:bCs w:val="false"/>
          <w:sz w:val="24"/>
          <w:szCs w:val="24"/>
          <w:shd w:fill="auto" w:val="clear"/>
          <w:lang w:eastAsia="ru-RU"/>
        </w:rPr>
        <w:t>(далее-Программа) предназначена для приобретения слушателями  необходимых знаний, умений, навыков с целью обеспечения профилактических мер по предотвращению производственного травматизма и профессиональных заболеваний.</w:t>
      </w:r>
    </w:p>
    <w:p>
      <w:pPr>
        <w:pStyle w:val="Style39"/>
        <w:spacing w:lineRule="auto" w:line="240"/>
        <w:ind w:left="0" w:right="0" w:firstLine="567"/>
        <w:jc w:val="both"/>
        <w:rPr/>
      </w:pPr>
      <w:r>
        <w:rPr>
          <w:rStyle w:val="FontStyle20"/>
          <w:sz w:val="24"/>
          <w:szCs w:val="24"/>
          <w:shd w:fill="auto" w:val="clear"/>
          <w:lang w:eastAsia="ru-RU"/>
        </w:rPr>
        <w:t>Программа  разработана на основе:</w:t>
      </w:r>
    </w:p>
    <w:p>
      <w:pPr>
        <w:pStyle w:val="Style39"/>
        <w:spacing w:lineRule="auto" w:line="240"/>
        <w:ind w:left="0" w:right="0" w:firstLine="567"/>
        <w:jc w:val="both"/>
        <w:rPr/>
      </w:pPr>
      <w:r>
        <w:rPr>
          <w:rStyle w:val="FontStyle20"/>
          <w:sz w:val="24"/>
          <w:szCs w:val="24"/>
          <w:shd w:fill="auto" w:val="clear"/>
          <w:lang w:eastAsia="ru-RU"/>
        </w:rPr>
        <w:t xml:space="preserve">1. </w:t>
      </w:r>
      <w:r>
        <w:rPr>
          <w:rStyle w:val="FontStyle20"/>
          <w:rFonts w:cs="Times New Roman"/>
          <w:sz w:val="24"/>
          <w:szCs w:val="24"/>
          <w:shd w:fill="auto" w:val="clear"/>
          <w:lang w:eastAsia="ru-RU"/>
        </w:rPr>
        <w:t>Трудового кодекса Российской Федерации от 30.12.</w:t>
      </w:r>
      <w:r>
        <w:rPr>
          <w:rStyle w:val="FontStyle20"/>
          <w:rFonts w:cs="Times New Roman"/>
          <w:sz w:val="24"/>
          <w:szCs w:val="24"/>
          <w:shd w:fill="auto" w:val="clear"/>
          <w:lang w:val="en-US" w:eastAsia="ru-RU"/>
        </w:rPr>
        <w:t xml:space="preserve">2001 </w:t>
      </w:r>
      <w:r>
        <w:rPr>
          <w:rStyle w:val="FontStyle20"/>
          <w:rFonts w:cs="Times New Roman"/>
          <w:sz w:val="24"/>
          <w:szCs w:val="24"/>
          <w:shd w:fill="auto" w:val="clear"/>
          <w:lang w:eastAsia="ru-RU"/>
        </w:rPr>
        <w:t xml:space="preserve">№197-ФЗ </w:t>
      </w:r>
      <w:r>
        <w:rPr>
          <w:rStyle w:val="FontStyle20"/>
          <w:sz w:val="24"/>
          <w:szCs w:val="24"/>
          <w:shd w:fill="auto" w:val="clear"/>
          <w:lang w:eastAsia="ru-RU"/>
        </w:rPr>
        <w:t>(ред. от 29.12.2025г с изм от 06.02.2026);</w:t>
      </w:r>
    </w:p>
    <w:p>
      <w:pPr>
        <w:pStyle w:val="Style39"/>
        <w:spacing w:lineRule="auto" w:line="240"/>
        <w:ind w:left="0" w:right="0" w:firstLine="567"/>
        <w:jc w:val="both"/>
        <w:rPr/>
      </w:pPr>
      <w:r>
        <w:rPr>
          <w:rStyle w:val="FontStyle20"/>
          <w:rFonts w:cs="Times New Roman"/>
          <w:strike w:val="false"/>
          <w:dstrike w:val="false"/>
          <w:sz w:val="24"/>
          <w:szCs w:val="24"/>
          <w:shd w:fill="auto" w:val="clear"/>
          <w:lang w:val="ru-RU" w:eastAsia="ru-RU"/>
        </w:rPr>
        <w:t>2. Постановления Правительства РФ  от 24.12.2021. № 2464 «О порядке обучения по охране труда и проверки знания требований охраны труда»</w:t>
      </w:r>
      <w:r>
        <w:rPr>
          <w:rStyle w:val="FontStyle20"/>
          <w:strike w:val="false"/>
          <w:dstrike w:val="false"/>
          <w:sz w:val="24"/>
          <w:szCs w:val="24"/>
          <w:shd w:fill="auto" w:val="clear"/>
          <w:lang w:val="ru-RU" w:eastAsia="ru-RU"/>
        </w:rPr>
        <w:t>;</w:t>
      </w:r>
    </w:p>
    <w:p>
      <w:pPr>
        <w:pStyle w:val="Style39"/>
        <w:spacing w:lineRule="auto" w:line="240"/>
        <w:ind w:left="0" w:right="0" w:firstLine="567"/>
        <w:jc w:val="both"/>
        <w:rPr/>
      </w:pPr>
      <w:r>
        <w:rPr>
          <w:rStyle w:val="FontStyle20"/>
          <w:strike w:val="false"/>
          <w:dstrike w:val="false"/>
          <w:sz w:val="24"/>
          <w:szCs w:val="24"/>
          <w:shd w:fill="auto" w:val="clear"/>
          <w:lang w:val="ru-RU" w:eastAsia="ru-RU"/>
        </w:rPr>
        <w:t>3. Федерального закона от 29 декабря 2012г. №273-ФЗ «Об образовании в Российской Федерации»;</w:t>
      </w:r>
    </w:p>
    <w:p>
      <w:pPr>
        <w:pStyle w:val="Style39"/>
        <w:spacing w:lineRule="auto" w:line="240"/>
        <w:ind w:left="0" w:right="0" w:firstLine="567"/>
        <w:jc w:val="both"/>
        <w:rPr/>
      </w:pPr>
      <w:r>
        <w:rPr>
          <w:rStyle w:val="FontStyle20"/>
          <w:strike w:val="false"/>
          <w:dstrike w:val="false"/>
          <w:sz w:val="24"/>
          <w:szCs w:val="24"/>
          <w:shd w:fill="auto" w:val="clear"/>
          <w:lang w:val="ru-RU" w:eastAsia="ru-RU"/>
        </w:rPr>
        <w:t xml:space="preserve">4. </w:t>
      </w:r>
      <w:r>
        <w:rPr>
          <w:rStyle w:val="FontStyle20"/>
          <w:rFonts w:eastAsia="Times New Roman" w:cs="Times New Roman"/>
          <w:b w:val="false"/>
          <w:bCs w:val="false"/>
          <w:strike w:val="false"/>
          <w:dstrike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>Приказа Минтруда России от 16.11.2020 № 782н «Об утверждении Правил по охране труда при работе на высоте»;</w:t>
      </w:r>
    </w:p>
    <w:p>
      <w:pPr>
        <w:pStyle w:val="Style39"/>
        <w:spacing w:lineRule="auto" w:line="240"/>
        <w:ind w:left="0" w:right="0" w:firstLine="567"/>
        <w:jc w:val="both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  <w:shd w:fill="auto" w:val="clear"/>
        </w:rPr>
        <w:t>Программа обучения учитывает специфику вида деятельности организации, трудовые функции работников.</w:t>
      </w:r>
    </w:p>
    <w:p>
      <w:pPr>
        <w:pStyle w:val="Style39"/>
        <w:spacing w:lineRule="auto" w:line="240"/>
        <w:ind w:left="0" w:right="0" w:firstLine="567"/>
        <w:jc w:val="both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  <w:shd w:fill="auto" w:val="clear"/>
        </w:rPr>
        <w:t>Актуализация программы обучения требованиям охраны труда осуществляется в следующих случаях:</w:t>
      </w:r>
    </w:p>
    <w:p>
      <w:pPr>
        <w:pStyle w:val="Style39"/>
        <w:spacing w:lineRule="auto" w:line="240"/>
        <w:ind w:left="0" w:right="0" w:firstLine="567"/>
        <w:jc w:val="both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  <w:shd w:fill="auto" w:val="clear"/>
        </w:rPr>
        <w:t>- вступление в силу нормативных правовых актов, содержащих государственные нормативные требования охраны труда;</w:t>
      </w:r>
    </w:p>
    <w:p>
      <w:pPr>
        <w:pStyle w:val="Style39"/>
        <w:spacing w:lineRule="auto" w:line="240"/>
        <w:ind w:left="0" w:right="0" w:firstLine="567"/>
        <w:jc w:val="both"/>
        <w:rPr>
          <w:rFonts w:ascii="Times New Roman" w:hAnsi="Times New Roman"/>
          <w:sz w:val="24"/>
          <w:szCs w:val="24"/>
        </w:rPr>
      </w:pPr>
      <w:r>
        <w:rPr>
          <w:b/>
          <w:sz w:val="24"/>
          <w:szCs w:val="24"/>
          <w:shd w:fill="auto" w:val="clear"/>
        </w:rPr>
        <w:t xml:space="preserve">- </w:t>
      </w:r>
      <w:r>
        <w:rPr>
          <w:b w:val="false"/>
          <w:bCs w:val="false"/>
          <w:sz w:val="24"/>
          <w:szCs w:val="24"/>
          <w:shd w:fill="auto" w:val="clear"/>
        </w:rPr>
        <w:t>ввод в эксплуатацию нового вида оборудования, инструментов и приспособлений, введение новых технологических процессов, а также использование нового вида сырья и материалов, требующих дополнительных знаний по охране труда у работников.</w:t>
      </w:r>
    </w:p>
    <w:p>
      <w:pPr>
        <w:pStyle w:val="Normal"/>
        <w:ind w:left="0" w:right="0" w:firstLine="567"/>
        <w:jc w:val="center"/>
        <w:rPr>
          <w:rFonts w:ascii="Times New Roman" w:hAnsi="Times New Roman"/>
          <w:b/>
          <w:b/>
          <w:sz w:val="24"/>
          <w:szCs w:val="24"/>
          <w:highlight w:val="none"/>
          <w:shd w:fill="auto" w:val="clear"/>
        </w:rPr>
      </w:pPr>
      <w:r>
        <w:rPr>
          <w:b/>
          <w:sz w:val="24"/>
          <w:szCs w:val="24"/>
          <w:shd w:fill="auto" w:val="clear"/>
        </w:rPr>
      </w:r>
    </w:p>
    <w:p>
      <w:pPr>
        <w:pStyle w:val="Style51"/>
        <w:spacing w:lineRule="auto" w:line="240"/>
        <w:ind w:left="0" w:right="0" w:firstLine="567"/>
        <w:jc w:val="both"/>
        <w:rPr/>
      </w:pPr>
      <w:r>
        <w:rPr>
          <w:rStyle w:val="FontStyle22"/>
          <w:sz w:val="24"/>
          <w:szCs w:val="24"/>
          <w:shd w:fill="auto" w:val="clear"/>
          <w:lang w:eastAsia="ru-RU"/>
        </w:rPr>
        <w:t>1.1. Цель реализации программы</w:t>
      </w:r>
    </w:p>
    <w:p>
      <w:pPr>
        <w:pStyle w:val="Style51"/>
        <w:spacing w:lineRule="auto" w:line="240"/>
        <w:ind w:left="0" w:right="0" w:firstLine="567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</w:r>
    </w:p>
    <w:p>
      <w:pPr>
        <w:pStyle w:val="Style51"/>
        <w:spacing w:lineRule="auto" w:line="240"/>
        <w:ind w:left="0" w:right="0" w:firstLine="709"/>
        <w:jc w:val="both"/>
        <w:rPr/>
      </w:pPr>
      <w:r>
        <w:rPr>
          <w:rStyle w:val="FontStyle20"/>
          <w:b w:val="false"/>
          <w:bCs w:val="false"/>
          <w:i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>Обучение по охране труда и проверка знания требований охраны труда относятся к профилактическим мероприятиям по охране труда, направленных на предотвращение случаев производственного травматизма и профессиональных заболеваний, снижение их последствий и  являются специализированным процессом получения знаний, умений и навыков безопасного выполнения работ.</w:t>
      </w:r>
    </w:p>
    <w:p>
      <w:pPr>
        <w:pStyle w:val="Norm"/>
        <w:bidi w:val="0"/>
        <w:ind w:left="0" w:right="0" w:firstLine="567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</w:r>
    </w:p>
    <w:p>
      <w:pPr>
        <w:pStyle w:val="Norm"/>
        <w:widowControl/>
        <w:suppressAutoHyphens w:val="true"/>
        <w:bidi w:val="0"/>
        <w:spacing w:lineRule="auto" w:line="240" w:before="0" w:after="0"/>
        <w:ind w:left="0" w:right="0" w:firstLine="567"/>
        <w:jc w:val="both"/>
        <w:rPr>
          <w:b w:val="false"/>
          <w:b w:val="false"/>
          <w:bCs w:val="false"/>
        </w:rPr>
      </w:pPr>
      <w:r>
        <w:rPr>
          <w:rStyle w:val="FontStyle22"/>
          <w:rFonts w:eastAsia="Times New Roman" w:cs="Times New Roman"/>
          <w:b/>
          <w:bCs/>
          <w:i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 xml:space="preserve">1.2.1 </w:t>
      </w:r>
      <w:r>
        <w:rPr>
          <w:rStyle w:val="FontStyle22"/>
          <w:rFonts w:eastAsia="Times New Roman" w:cs="Times New Roman"/>
          <w:b w:val="false"/>
          <w:bCs w:val="false"/>
          <w:i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>Лица, успешно освоившие программу, должны знать:</w:t>
      </w:r>
    </w:p>
    <w:p>
      <w:pPr>
        <w:pStyle w:val="Norm"/>
        <w:widowControl/>
        <w:suppressAutoHyphens w:val="true"/>
        <w:bidi w:val="0"/>
        <w:spacing w:lineRule="auto" w:line="240" w:before="0" w:after="0"/>
        <w:ind w:left="0" w:right="0" w:firstLine="567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2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Fonts w:ascii="TimesNewRomanPSMT" w:hAnsi="TimesNewRomanPSMT"/>
          <w:sz w:val="24"/>
        </w:rPr>
        <w:t>инструкции по охране труда при проведении работ на высоте;</w:t>
      </w:r>
    </w:p>
    <w:p>
      <w:pPr>
        <w:pStyle w:val="Normal"/>
        <w:numPr>
          <w:ilvl w:val="0"/>
          <w:numId w:val="2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Style w:val="Blk"/>
          <w:rFonts w:eastAsia="Times New Roman" w:cs="Times New Roman" w:ascii="TimesNewRomanPSMT" w:hAnsi="TimesNewRomanPSMT"/>
          <w:color w:val="000000"/>
          <w:kern w:val="0"/>
          <w:sz w:val="24"/>
          <w:szCs w:val="24"/>
          <w:shd w:fill="auto" w:val="clear"/>
          <w:lang w:val="ru-RU" w:eastAsia="ru-RU" w:bidi="ru-RU"/>
        </w:rPr>
        <w:t>о</w:t>
      </w:r>
      <w:r>
        <w:rPr>
          <w:rFonts w:ascii="TimesNewRomanPSMT" w:hAnsi="TimesNewRomanPSMT"/>
          <w:sz w:val="24"/>
        </w:rPr>
        <w:t>бщие сведения о технологическом процессе и оборудовании на данном рабочем месте, производственном участке, в цехе;</w:t>
      </w:r>
    </w:p>
    <w:p>
      <w:pPr>
        <w:pStyle w:val="Normal"/>
        <w:numPr>
          <w:ilvl w:val="0"/>
          <w:numId w:val="2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Style w:val="Blk"/>
          <w:rFonts w:eastAsia="Times New Roman" w:cs="Times New Roman" w:ascii="TimesNewRomanPSMT" w:hAnsi="TimesNewRomanPSMT"/>
          <w:color w:val="000000"/>
          <w:kern w:val="0"/>
          <w:sz w:val="24"/>
          <w:szCs w:val="24"/>
          <w:shd w:fill="auto" w:val="clear"/>
          <w:lang w:val="ru-RU" w:eastAsia="ru-RU" w:bidi="ru-RU"/>
        </w:rPr>
        <w:t>п</w:t>
      </w:r>
      <w:r>
        <w:rPr>
          <w:rFonts w:ascii="TimesNewRomanPSMT" w:hAnsi="TimesNewRomanPSMT"/>
          <w:sz w:val="24"/>
        </w:rPr>
        <w:t>роизводственные инструкции;</w:t>
      </w:r>
    </w:p>
    <w:p>
      <w:pPr>
        <w:pStyle w:val="Normal"/>
        <w:numPr>
          <w:ilvl w:val="0"/>
          <w:numId w:val="2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Style w:val="Blk"/>
          <w:rFonts w:eastAsia="Times New Roman" w:cs="Times New Roman" w:ascii="TimesNewRomanPSMT" w:hAnsi="TimesNewRomanPSMT"/>
          <w:color w:val="000000"/>
          <w:kern w:val="0"/>
          <w:sz w:val="24"/>
          <w:szCs w:val="24"/>
          <w:shd w:fill="auto" w:val="clear"/>
          <w:lang w:val="ru-RU" w:eastAsia="ru-RU" w:bidi="ru-RU"/>
        </w:rPr>
        <w:t>у</w:t>
      </w:r>
      <w:r>
        <w:rPr>
          <w:rFonts w:ascii="TimesNewRomanPSMT" w:hAnsi="TimesNewRomanPSMT"/>
          <w:sz w:val="24"/>
        </w:rPr>
        <w:t xml:space="preserve">словия труда на рабочем месте; </w:t>
      </w:r>
    </w:p>
    <w:p>
      <w:pPr>
        <w:pStyle w:val="Normal"/>
        <w:numPr>
          <w:ilvl w:val="0"/>
          <w:numId w:val="2"/>
        </w:numPr>
        <w:suppressAutoHyphens w:val="true"/>
        <w:spacing w:lineRule="auto" w:line="240"/>
        <w:ind w:left="0" w:right="0" w:firstLine="567"/>
        <w:jc w:val="both"/>
        <w:rPr>
          <w:rFonts w:ascii="TimesNewRomanPSMT" w:hAnsi="TimesNewRomanPSMT" w:eastAsia="Times New Roman" w:cs="Times New Roman"/>
          <w:color w:val="auto"/>
          <w:kern w:val="0"/>
          <w:sz w:val="24"/>
          <w:szCs w:val="22"/>
          <w:lang w:val="ru-RU" w:eastAsia="ru-RU" w:bidi="ru-RU"/>
        </w:rPr>
      </w:pPr>
      <w:r>
        <w:rPr>
          <w:rFonts w:eastAsia="Times New Roman" w:cs="Times New Roman" w:ascii="TimesNewRomanPSMT" w:hAnsi="TimesNewRomanPSMT"/>
          <w:color w:val="auto"/>
          <w:kern w:val="0"/>
          <w:sz w:val="24"/>
          <w:szCs w:val="22"/>
          <w:lang w:val="ru-RU" w:eastAsia="ru-RU" w:bidi="ru-RU"/>
        </w:rPr>
        <w:t>обстоятельства и характерные причины несчастных случаев, аварий, пожаров, происшедших на высоте в организациях (на предприятиях), случаи производственных травм, полученных при работах на высоте; обязанностями и действиями при аварии, пожаре; способы применения имеющихся на участке средств тушения пожара, противоаварийной защиты и сигнализации, места их расположения, схемами и маршрутами эвакуации в аварийной ситуации;</w:t>
      </w:r>
    </w:p>
    <w:p>
      <w:pPr>
        <w:pStyle w:val="Normal"/>
        <w:numPr>
          <w:ilvl w:val="0"/>
          <w:numId w:val="2"/>
        </w:numPr>
        <w:suppressAutoHyphens w:val="true"/>
        <w:spacing w:lineRule="auto" w:line="240"/>
        <w:ind w:left="0" w:right="0" w:firstLine="567"/>
        <w:jc w:val="both"/>
        <w:rPr>
          <w:rFonts w:ascii="TimesNewRomanPSMT" w:hAnsi="TimesNewRomanPSMT" w:eastAsia="Times New Roman" w:cs="Times New Roman"/>
          <w:color w:val="auto"/>
          <w:kern w:val="0"/>
          <w:sz w:val="24"/>
          <w:szCs w:val="22"/>
          <w:lang w:val="ru-RU" w:eastAsia="ru-RU" w:bidi="ru-RU"/>
        </w:rPr>
      </w:pPr>
      <w:r>
        <w:rPr>
          <w:rFonts w:eastAsia="Times New Roman" w:cs="Times New Roman" w:ascii="TimesNewRomanPSMT" w:hAnsi="TimesNewRomanPSMT"/>
          <w:color w:val="auto"/>
          <w:kern w:val="0"/>
          <w:sz w:val="24"/>
          <w:szCs w:val="22"/>
          <w:lang w:val="ru-RU" w:eastAsia="ru-RU" w:bidi="ru-RU"/>
        </w:rPr>
        <w:t>основные опасные и вредные производственные факторы, характерные для работы на высоте;</w:t>
      </w:r>
    </w:p>
    <w:p>
      <w:pPr>
        <w:pStyle w:val="Normal"/>
        <w:numPr>
          <w:ilvl w:val="0"/>
          <w:numId w:val="2"/>
        </w:numPr>
        <w:suppressAutoHyphens w:val="true"/>
        <w:spacing w:lineRule="auto" w:line="240"/>
        <w:ind w:left="0" w:right="0" w:firstLine="567"/>
        <w:jc w:val="both"/>
        <w:rPr>
          <w:rFonts w:ascii="TimesNewRomanPSMT" w:hAnsi="TimesNewRomanPSMT" w:eastAsia="Times New Roman" w:cs="Times New Roman"/>
          <w:color w:val="auto"/>
          <w:kern w:val="0"/>
          <w:sz w:val="24"/>
          <w:szCs w:val="22"/>
          <w:lang w:val="ru-RU" w:eastAsia="ru-RU" w:bidi="ru-RU"/>
        </w:rPr>
      </w:pPr>
      <w:r>
        <w:rPr>
          <w:rFonts w:eastAsia="Times New Roman" w:cs="Times New Roman" w:ascii="TimesNewRomanPSMT" w:hAnsi="TimesNewRomanPSMT"/>
          <w:color w:val="auto"/>
          <w:kern w:val="0"/>
          <w:sz w:val="24"/>
          <w:szCs w:val="22"/>
          <w:lang w:val="ru-RU" w:eastAsia="ru-RU" w:bidi="ru-RU"/>
        </w:rPr>
        <w:t>зоны повышенной опасности, машины, механизмы, приборы, средства, обеспечивающие безопасность работы оборудования (предохранительные, тормозные устройства и ограждения, системы блокировки и сигнализации, знаки безопасности);</w:t>
      </w:r>
    </w:p>
    <w:p>
      <w:pPr>
        <w:pStyle w:val="Normal"/>
        <w:numPr>
          <w:ilvl w:val="0"/>
          <w:numId w:val="2"/>
        </w:numPr>
        <w:suppressAutoHyphens w:val="true"/>
        <w:spacing w:lineRule="auto" w:line="240"/>
        <w:ind w:left="0" w:right="0" w:firstLine="567"/>
        <w:jc w:val="both"/>
        <w:rPr>
          <w:rFonts w:ascii="TimesNewRomanPSMT" w:hAnsi="TimesNewRomanPSMT" w:eastAsia="Times New Roman" w:cs="Times New Roman"/>
          <w:color w:val="auto"/>
          <w:kern w:val="0"/>
          <w:sz w:val="24"/>
          <w:szCs w:val="22"/>
          <w:lang w:val="ru-RU" w:eastAsia="ru-RU" w:bidi="ru-RU"/>
        </w:rPr>
      </w:pPr>
      <w:r>
        <w:rPr>
          <w:rFonts w:eastAsia="Times New Roman" w:cs="Times New Roman" w:ascii="TimesNewRomanPSMT" w:hAnsi="TimesNewRomanPSMT"/>
          <w:color w:val="auto"/>
          <w:kern w:val="0"/>
          <w:sz w:val="24"/>
          <w:szCs w:val="22"/>
          <w:lang w:val="ru-RU" w:eastAsia="ru-RU" w:bidi="ru-RU"/>
        </w:rPr>
        <w:t>безопасные методы и приемы выполнения работ на высоте</w:t>
      </w:r>
    </w:p>
    <w:p>
      <w:pPr>
        <w:pStyle w:val="Normal"/>
        <w:numPr>
          <w:ilvl w:val="0"/>
          <w:numId w:val="2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Style w:val="Blk"/>
          <w:rFonts w:eastAsia="Times New Roman" w:cs="Times New Roman" w:ascii="TimesNewRomanPSMT" w:hAnsi="TimesNewRomanPSMT"/>
          <w:color w:val="000000"/>
          <w:kern w:val="0"/>
          <w:sz w:val="24"/>
          <w:szCs w:val="22"/>
          <w:shd w:fill="auto" w:val="clear"/>
          <w:lang w:val="ru-RU" w:eastAsia="ru-RU" w:bidi="ru-RU"/>
        </w:rPr>
        <w:t>методы и средства предупреждения несчастных случаев и профессиональных заболеваний;</w:t>
      </w:r>
      <w:r>
        <w:rPr>
          <w:rFonts w:eastAsia="Times New Roman" w:cs="Times New Roman" w:ascii="TimesNewRomanPSMT" w:hAnsi="TimesNewRomanPSMT"/>
          <w:color w:val="000000"/>
          <w:kern w:val="0"/>
          <w:sz w:val="24"/>
          <w:szCs w:val="22"/>
          <w:shd w:fill="auto" w:val="clear"/>
          <w:lang w:val="ru-RU" w:eastAsia="ru-RU" w:bidi="ru-RU"/>
        </w:rPr>
        <w:t xml:space="preserve"> </w:t>
      </w:r>
    </w:p>
    <w:p>
      <w:pPr>
        <w:pStyle w:val="Normal"/>
        <w:suppressAutoHyphens w:val="true"/>
        <w:spacing w:lineRule="auto" w:line="240"/>
        <w:ind w:left="0" w:right="0" w:firstLine="567"/>
        <w:jc w:val="both"/>
        <w:rPr>
          <w:rFonts w:ascii="TimesNewRomanPSMT" w:hAnsi="TimesNewRomanPSMT" w:eastAsia="Times New Roman" w:cs="Times New Roman"/>
          <w:color w:val="000000"/>
          <w:kern w:val="0"/>
          <w:sz w:val="24"/>
          <w:szCs w:val="22"/>
          <w:shd w:fill="auto" w:val="clear"/>
          <w:lang w:val="ru-RU" w:eastAsia="ru-RU" w:bidi="ru-RU"/>
        </w:rPr>
      </w:pPr>
      <w:r>
        <w:rPr>
          <w:rFonts w:eastAsia="Times New Roman" w:cs="Times New Roman" w:ascii="TimesNewRomanPSMT" w:hAnsi="TimesNewRomanPSMT"/>
          <w:color w:val="000000"/>
          <w:kern w:val="0"/>
          <w:sz w:val="24"/>
          <w:szCs w:val="22"/>
          <w:shd w:fill="auto" w:val="clear"/>
          <w:lang w:val="ru-RU" w:eastAsia="ru-RU" w:bidi="ru-RU"/>
        </w:rPr>
      </w:r>
    </w:p>
    <w:p>
      <w:pPr>
        <w:pStyle w:val="Normal"/>
        <w:suppressAutoHyphens w:val="true"/>
        <w:spacing w:lineRule="auto" w:line="240"/>
        <w:ind w:left="0" w:right="0" w:firstLine="567"/>
        <w:jc w:val="both"/>
        <w:rPr>
          <w:rFonts w:ascii="TimesNewRomanPSMT" w:hAnsi="TimesNewRomanPSMT" w:eastAsia="Times New Roman" w:cs="Times New Roman"/>
          <w:color w:val="000000"/>
          <w:kern w:val="0"/>
          <w:sz w:val="24"/>
          <w:szCs w:val="22"/>
          <w:shd w:fill="auto" w:val="clear"/>
          <w:lang w:val="ru-RU" w:eastAsia="ru-RU" w:bidi="ru-RU"/>
        </w:rPr>
      </w:pPr>
      <w:r>
        <w:rPr>
          <w:rFonts w:eastAsia="Times New Roman" w:cs="Times New Roman" w:ascii="TimesNewRomanPSMT" w:hAnsi="TimesNewRomanPSMT"/>
          <w:color w:val="000000"/>
          <w:kern w:val="0"/>
          <w:sz w:val="24"/>
          <w:szCs w:val="22"/>
          <w:shd w:fill="auto" w:val="clear"/>
          <w:lang w:val="ru-RU" w:eastAsia="ru-RU" w:bidi="ru-RU"/>
        </w:rPr>
      </w:r>
    </w:p>
    <w:p>
      <w:pPr>
        <w:pStyle w:val="Normal"/>
        <w:numPr>
          <w:ilvl w:val="0"/>
          <w:numId w:val="2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Style w:val="Blk"/>
          <w:rFonts w:eastAsia="Times New Roman" w:cs="Times New Roman" w:ascii="TimesNewRomanPSMT" w:hAnsi="TimesNewRomanPSMT"/>
          <w:b w:val="false"/>
          <w:bCs w:val="false"/>
          <w:i w:val="false"/>
          <w:color w:val="000000"/>
          <w:kern w:val="0"/>
          <w:sz w:val="24"/>
          <w:szCs w:val="22"/>
          <w:shd w:fill="auto" w:val="clear"/>
          <w:lang w:val="ru-RU" w:eastAsia="ru-RU" w:bidi="ru-RU"/>
        </w:rPr>
        <w:t>основы техники эвакуации и спасения.</w:t>
      </w:r>
    </w:p>
    <w:p>
      <w:pPr>
        <w:pStyle w:val="Normal"/>
        <w:numPr>
          <w:ilvl w:val="0"/>
          <w:numId w:val="1"/>
        </w:numPr>
        <w:suppressAutoHyphens w:val="true"/>
        <w:ind w:left="0" w:right="0" w:firstLine="567"/>
        <w:jc w:val="both"/>
        <w:rPr/>
      </w:pPr>
      <w:r>
        <w:rPr>
          <w:rStyle w:val="Blk"/>
          <w:rFonts w:eastAsia="Times New Roman" w:cs="Times New Roman" w:ascii="TimesNewRomanPSMT" w:hAnsi="TimesNewRomanPSMT"/>
          <w:color w:val="000000"/>
          <w:kern w:val="0"/>
          <w:sz w:val="24"/>
          <w:szCs w:val="22"/>
          <w:shd w:fill="auto" w:val="clear"/>
          <w:lang w:val="ru-RU" w:eastAsia="ru-RU" w:bidi="ru-RU"/>
        </w:rPr>
        <w:t>нормы, правила, стандарты и регламенты по охране труда и безопасности работ на высоте;</w:t>
      </w:r>
    </w:p>
    <w:p>
      <w:pPr>
        <w:pStyle w:val="Normal"/>
        <w:numPr>
          <w:ilvl w:val="0"/>
          <w:numId w:val="1"/>
        </w:numPr>
        <w:suppressAutoHyphens w:val="true"/>
        <w:ind w:left="0" w:right="0" w:firstLine="567"/>
        <w:jc w:val="both"/>
        <w:rPr/>
      </w:pPr>
      <w:r>
        <w:rPr>
          <w:rStyle w:val="Blk"/>
          <w:rFonts w:eastAsia="Times New Roman" w:cs="Times New Roman" w:ascii="TimesNewRomanPSMT" w:hAnsi="TimesNewRomanPSMT"/>
          <w:color w:val="000000"/>
          <w:kern w:val="0"/>
          <w:sz w:val="24"/>
          <w:szCs w:val="22"/>
          <w:shd w:fill="auto" w:val="clear"/>
          <w:lang w:val="ru-RU" w:eastAsia="ru-RU" w:bidi="ru-RU"/>
        </w:rPr>
        <w:t>порядок расследования и оформления несчастных случаев и профессиональных заболеваний;</w:t>
      </w:r>
    </w:p>
    <w:p>
      <w:pPr>
        <w:pStyle w:val="Normal"/>
        <w:numPr>
          <w:ilvl w:val="0"/>
          <w:numId w:val="1"/>
        </w:numPr>
        <w:shd w:val="clear" w:fill="FFFFFF"/>
        <w:spacing w:before="0" w:after="0"/>
        <w:ind w:left="0" w:right="0" w:firstLine="567"/>
        <w:jc w:val="both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правила и требования пользования, применения, эксплуатации, выдачи, ухода, хранения, осмотра, испытаний, браковки и сертификации средств защиты</w:t>
      </w:r>
    </w:p>
    <w:p>
      <w:pPr>
        <w:pStyle w:val="Normal"/>
        <w:numPr>
          <w:ilvl w:val="0"/>
          <w:numId w:val="1"/>
        </w:numPr>
        <w:shd w:val="clear" w:fill="FFFFFF"/>
        <w:spacing w:before="0" w:after="0"/>
        <w:ind w:left="0" w:right="0" w:firstLine="567"/>
        <w:jc w:val="both"/>
        <w:rPr/>
      </w:pPr>
      <w:r>
        <w:rPr>
          <w:rStyle w:val="Blk"/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ru-RU"/>
        </w:rPr>
        <w:t>организацию и содержание рабочих мест; средства коллективной защиты, ограждения, знаки безопасности;</w:t>
      </w:r>
    </w:p>
    <w:p>
      <w:pPr>
        <w:pStyle w:val="Normal"/>
        <w:numPr>
          <w:ilvl w:val="0"/>
          <w:numId w:val="0"/>
        </w:numPr>
        <w:shd w:val="clear" w:fill="FFFFFF"/>
        <w:spacing w:before="0" w:after="0"/>
        <w:ind w:left="0" w:right="0" w:firstLine="567"/>
        <w:jc w:val="both"/>
        <w:rPr>
          <w:rFonts w:ascii="Times New Roman" w:hAnsi="Times New Roman" w:eastAsia="Times New Roman" w:cs="Times New Roman"/>
          <w:color w:val="auto"/>
          <w:kern w:val="0"/>
          <w:sz w:val="20"/>
          <w:szCs w:val="20"/>
          <w:highlight w:val="none"/>
          <w:shd w:fill="auto" w:val="clear"/>
          <w:lang w:val="ru-RU" w:eastAsia="ru-RU" w:bidi="ru-RU"/>
        </w:rPr>
      </w:pPr>
      <w:r>
        <w:rPr>
          <w:rFonts w:eastAsia="Times New Roman" w:cs="Times New Roman"/>
          <w:color w:val="000000"/>
          <w:kern w:val="0"/>
          <w:sz w:val="20"/>
          <w:szCs w:val="20"/>
          <w:shd w:fill="auto" w:val="clear"/>
          <w:lang w:val="ru-RU" w:eastAsia="ru-RU" w:bidi="ru-RU"/>
        </w:rPr>
      </w:r>
    </w:p>
    <w:p>
      <w:pPr>
        <w:pStyle w:val="Norm"/>
        <w:bidi w:val="0"/>
        <w:spacing w:lineRule="auto" w:line="240"/>
        <w:ind w:left="0" w:right="0" w:firstLine="709"/>
        <w:jc w:val="both"/>
        <w:rPr>
          <w:b/>
          <w:b/>
          <w:bCs/>
        </w:rPr>
      </w:pPr>
      <w:r>
        <w:rPr>
          <w:rFonts w:eastAsia="Times New Roman" w:cs="Times New Roman"/>
          <w:b/>
          <w:bCs/>
          <w:color w:val="000000"/>
          <w:kern w:val="0"/>
          <w:sz w:val="24"/>
          <w:szCs w:val="24"/>
          <w:shd w:fill="auto" w:val="clear"/>
          <w:lang w:val="ru-RU" w:eastAsia="ru-RU" w:bidi="ru-RU"/>
        </w:rPr>
        <w:t>1.2.2</w:t>
      </w: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auto" w:val="clear"/>
          <w:lang w:val="ru-RU" w:eastAsia="ru-RU" w:bidi="ru-RU"/>
        </w:rPr>
        <w:t xml:space="preserve"> Лица, успешно освоившие программу, должны уметь:</w:t>
      </w:r>
    </w:p>
    <w:p>
      <w:pPr>
        <w:pStyle w:val="Norm"/>
        <w:bidi w:val="0"/>
        <w:spacing w:lineRule="auto" w:line="240"/>
        <w:ind w:left="0" w:right="0" w:firstLine="709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numPr>
          <w:ilvl w:val="0"/>
          <w:numId w:val="3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Style w:val="Blk"/>
          <w:rFonts w:eastAsia="Times New Roman" w:cs="Times New Roman" w:ascii="TimesNewRomanPSMT" w:hAnsi="TimesNewRomanPSMT"/>
          <w:color w:val="000000"/>
          <w:kern w:val="0"/>
          <w:sz w:val="24"/>
          <w:szCs w:val="24"/>
          <w:shd w:fill="auto" w:val="clear"/>
          <w:lang w:val="ru-RU" w:eastAsia="ru-RU" w:bidi="ru-RU"/>
        </w:rPr>
        <w:t>п</w:t>
      </w:r>
      <w:r>
        <w:rPr>
          <w:rFonts w:ascii="TimesNewRomanPSMT" w:hAnsi="TimesNewRomanPSMT"/>
          <w:sz w:val="24"/>
        </w:rPr>
        <w:t>рименять безопасные методы и приемы выполнения работ на высоте;</w:t>
      </w:r>
    </w:p>
    <w:p>
      <w:pPr>
        <w:pStyle w:val="Normal"/>
        <w:numPr>
          <w:ilvl w:val="0"/>
          <w:numId w:val="3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Fonts w:ascii="TimesNewRomanPSMT" w:hAnsi="TimesNewRomanPSMT"/>
          <w:sz w:val="24"/>
        </w:rPr>
        <w:t>применять оборудование, приборы, механизмы (проверка исправности оборудования, пусковых приборов, инструмента и приспособлений, блокировок, заземления и других средств защиты);</w:t>
      </w:r>
    </w:p>
    <w:p>
      <w:pPr>
        <w:pStyle w:val="Normal"/>
        <w:numPr>
          <w:ilvl w:val="0"/>
          <w:numId w:val="3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Style w:val="Blk"/>
          <w:rFonts w:cs="Times New Roman"/>
          <w:sz w:val="24"/>
          <w:szCs w:val="24"/>
          <w:shd w:fill="auto" w:val="clear"/>
        </w:rPr>
        <w:t>оказывать первую помощь пострадавшим;</w:t>
      </w:r>
    </w:p>
    <w:p>
      <w:pPr>
        <w:pStyle w:val="Normal"/>
        <w:numPr>
          <w:ilvl w:val="0"/>
          <w:numId w:val="3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Style w:val="Blk"/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ru-RU"/>
        </w:rPr>
        <w:t>применять соответствующие СИЗ, проводить их осмотр до и после использования</w:t>
      </w:r>
    </w:p>
    <w:p>
      <w:pPr>
        <w:pStyle w:val="Normal"/>
        <w:numPr>
          <w:ilvl w:val="0"/>
          <w:numId w:val="3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Style w:val="Blk"/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ru-RU"/>
        </w:rPr>
        <w:t>применять основы техники эвакуации и спасения;</w:t>
      </w:r>
    </w:p>
    <w:p>
      <w:pPr>
        <w:pStyle w:val="Normal"/>
        <w:numPr>
          <w:ilvl w:val="0"/>
          <w:numId w:val="3"/>
        </w:numPr>
        <w:suppressAutoHyphens w:val="true"/>
        <w:spacing w:lineRule="auto" w:line="240"/>
        <w:ind w:left="0" w:right="0" w:firstLine="567"/>
        <w:jc w:val="both"/>
        <w:rPr/>
      </w:pPr>
      <w:r>
        <w:rPr>
          <w:rStyle w:val="Blk"/>
          <w:sz w:val="24"/>
          <w:szCs w:val="24"/>
          <w:shd w:fill="auto" w:val="clear"/>
        </w:rPr>
        <w:t>обладать практическими навыками оказания первой помощи пострадавшему.</w:t>
      </w:r>
    </w:p>
    <w:p>
      <w:pPr>
        <w:pStyle w:val="Normal"/>
        <w:numPr>
          <w:ilvl w:val="0"/>
          <w:numId w:val="4"/>
        </w:numPr>
        <w:suppressAutoHyphens w:val="true"/>
        <w:ind w:left="0" w:right="0" w:firstLine="567"/>
        <w:jc w:val="both"/>
        <w:rPr/>
      </w:pPr>
      <w:r>
        <w:rPr>
          <w:rStyle w:val="Blk"/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ru-RU"/>
        </w:rPr>
        <w:t>осуществлять непосредственное руководство работами;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5200" w:leader="none"/>
        </w:tabs>
        <w:suppressAutoHyphens w:val="true"/>
        <w:ind w:left="0" w:right="0" w:firstLine="567"/>
        <w:jc w:val="both"/>
        <w:rPr/>
      </w:pPr>
      <w:r>
        <w:rPr>
          <w:rStyle w:val="Blk"/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ru-RU"/>
        </w:rPr>
        <w:t>осуществлять надзор за членами бригады;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5200" w:leader="none"/>
        </w:tabs>
        <w:suppressAutoHyphens w:val="true"/>
        <w:ind w:left="0" w:right="0" w:firstLine="567"/>
        <w:jc w:val="both"/>
        <w:rPr/>
      </w:pPr>
      <w:r>
        <w:rPr>
          <w:rStyle w:val="Blk"/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ru-RU"/>
        </w:rPr>
        <w:t>проводить спасательные мероприятия;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5200" w:leader="none"/>
        </w:tabs>
        <w:suppressAutoHyphens w:val="true"/>
        <w:ind w:left="0" w:right="0" w:firstLine="567"/>
        <w:jc w:val="both"/>
        <w:rPr/>
      </w:pPr>
      <w:r>
        <w:rPr>
          <w:rStyle w:val="Blk"/>
          <w:rFonts w:eastAsia="Times New Roman" w:cs="Times New Roman"/>
          <w:color w:val="000000"/>
          <w:kern w:val="0"/>
          <w:sz w:val="24"/>
          <w:szCs w:val="24"/>
          <w:shd w:fill="auto" w:val="clear"/>
          <w:lang w:val="ru-RU" w:eastAsia="ru-RU" w:bidi="ru-RU"/>
        </w:rPr>
        <w:t>организовывать безопасную транспортировку пострадавшего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200" w:leader="none"/>
        </w:tabs>
        <w:suppressAutoHyphens w:val="true"/>
        <w:ind w:left="0" w:right="0" w:hanging="0"/>
        <w:jc w:val="both"/>
        <w:rPr>
          <w:rFonts w:ascii="Times New Roman" w:hAnsi="Times New Roman" w:eastAsia="Times New Roman" w:cs="Times New Roman"/>
          <w:color w:val="000000"/>
          <w:kern w:val="0"/>
          <w:sz w:val="20"/>
          <w:szCs w:val="20"/>
          <w:shd w:fill="auto" w:val="clear"/>
          <w:lang w:val="ru-RU" w:eastAsia="ru-RU" w:bidi="ru-RU"/>
        </w:rPr>
      </w:pPr>
      <w:r>
        <w:rPr>
          <w:rFonts w:eastAsia="Times New Roman" w:cs="Times New Roman"/>
          <w:color w:val="000000"/>
          <w:kern w:val="0"/>
          <w:sz w:val="20"/>
          <w:szCs w:val="20"/>
          <w:shd w:fill="auto" w:val="clear"/>
          <w:lang w:val="ru-RU" w:eastAsia="ru-RU" w:bidi="ru-RU"/>
        </w:rPr>
      </w:r>
    </w:p>
    <w:p>
      <w:pPr>
        <w:pStyle w:val="Style39"/>
        <w:spacing w:lineRule="auto" w:line="240"/>
        <w:ind w:left="0" w:right="0" w:firstLine="567"/>
        <w:jc w:val="left"/>
        <w:rPr/>
      </w:pPr>
      <w:r>
        <w:rPr>
          <w:rStyle w:val="FontStyle20"/>
          <w:rFonts w:eastAsia="Times New Roman" w:cs="Times New Roman"/>
          <w:b/>
          <w:bCs/>
          <w:color w:val="000000"/>
          <w:kern w:val="0"/>
          <w:sz w:val="24"/>
          <w:szCs w:val="24"/>
          <w:shd w:fill="auto" w:val="clear"/>
          <w:lang w:val="ru-RU" w:eastAsia="ru-RU" w:bidi="ru-RU"/>
        </w:rPr>
        <w:t>1.2. Категория обучающихся</w:t>
      </w:r>
    </w:p>
    <w:p>
      <w:pPr>
        <w:pStyle w:val="Style39"/>
        <w:spacing w:lineRule="auto" w:line="240"/>
        <w:ind w:left="0" w:right="0" w:firstLine="567"/>
        <w:jc w:val="left"/>
        <w:rPr>
          <w:rFonts w:ascii="Times New Roman" w:hAnsi="Times New Roman"/>
          <w:b/>
          <w:b/>
          <w:bCs/>
          <w:sz w:val="20"/>
          <w:szCs w:val="20"/>
          <w:highlight w:val="none"/>
          <w:shd w:fill="auto" w:val="clear"/>
          <w:lang w:val="ru-RU"/>
        </w:rPr>
      </w:pPr>
      <w:r>
        <w:rPr>
          <w:b/>
          <w:bCs/>
          <w:sz w:val="20"/>
          <w:szCs w:val="20"/>
          <w:shd w:fill="auto" w:val="clear"/>
          <w:lang w:val="ru-RU"/>
        </w:rPr>
      </w:r>
    </w:p>
    <w:p>
      <w:pPr>
        <w:pStyle w:val="Normal"/>
        <w:ind w:left="0" w:right="0" w:firstLine="567"/>
        <w:jc w:val="both"/>
        <w:rPr/>
      </w:pPr>
      <w:r>
        <w:rPr>
          <w:b w:val="false"/>
          <w:bCs w:val="false"/>
          <w:i w:val="false"/>
          <w:sz w:val="24"/>
          <w:szCs w:val="24"/>
          <w:shd w:fill="auto" w:val="clear"/>
        </w:rPr>
        <w:t>Мастера, бригадиры, руководители стажировки, а также работники, назначаемые по наряду-допуску на производство работ на высоте ответственными исполнителями (производителями) работ на высоте</w:t>
      </w:r>
      <w:r>
        <w:rPr>
          <w:b w:val="false"/>
          <w:bCs w:val="false"/>
          <w:sz w:val="24"/>
          <w:szCs w:val="24"/>
          <w:shd w:fill="auto" w:val="clear"/>
        </w:rPr>
        <w:t xml:space="preserve">, достигшие возраста восемнадцати лет и не имеющие медицинских противопоказаний,  с </w:t>
      </w:r>
      <w:r>
        <w:rPr>
          <w:rStyle w:val="Blk"/>
          <w:b w:val="false"/>
          <w:bCs w:val="false"/>
          <w:sz w:val="24"/>
          <w:szCs w:val="24"/>
          <w:shd w:fill="auto" w:val="clear"/>
        </w:rPr>
        <w:t>опытом  работы на высоте более 1 года.</w:t>
      </w:r>
    </w:p>
    <w:p>
      <w:pPr>
        <w:pStyle w:val="Normal"/>
        <w:ind w:left="0" w:right="0" w:firstLine="567"/>
        <w:jc w:val="center"/>
        <w:rPr>
          <w:rFonts w:ascii="Times New Roman" w:hAnsi="Times New Roman"/>
          <w:b/>
          <w:b/>
          <w:sz w:val="24"/>
          <w:szCs w:val="24"/>
          <w:highlight w:val="none"/>
          <w:shd w:fill="auto" w:val="clear"/>
        </w:rPr>
      </w:pPr>
      <w:r>
        <w:rPr>
          <w:b/>
          <w:sz w:val="24"/>
          <w:szCs w:val="24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rPr>
          <w:rFonts w:ascii="Times New Roman" w:hAnsi="Times New Roman"/>
          <w:sz w:val="24"/>
          <w:szCs w:val="24"/>
        </w:rPr>
      </w:pPr>
      <w:r>
        <w:rPr>
          <w:b/>
          <w:bCs/>
          <w:sz w:val="24"/>
          <w:szCs w:val="24"/>
          <w:shd w:fill="auto" w:val="clear"/>
        </w:rPr>
        <w:t>1.3. Объём. Срок обучения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rPr>
          <w:rFonts w:ascii="Times New Roman" w:hAnsi="Times New Roman"/>
          <w:sz w:val="12"/>
          <w:szCs w:val="12"/>
          <w:highlight w:val="none"/>
          <w:shd w:fill="auto" w:val="clear"/>
        </w:rPr>
      </w:pPr>
      <w:r>
        <w:rPr>
          <w:sz w:val="12"/>
          <w:szCs w:val="12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left"/>
        <w:rPr>
          <w:rFonts w:ascii="Times New Roman" w:hAnsi="Times New Roman"/>
          <w:sz w:val="24"/>
          <w:szCs w:val="24"/>
        </w:rPr>
      </w:pPr>
      <w:r>
        <w:rPr>
          <w:b w:val="false"/>
          <w:bCs w:val="false"/>
          <w:sz w:val="24"/>
          <w:szCs w:val="24"/>
          <w:shd w:fill="auto" w:val="clear"/>
          <w:lang w:val="ru-RU"/>
        </w:rPr>
        <w:t>30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</w:t>
      </w:r>
      <w:r>
        <w:rPr>
          <w:b w:val="false"/>
          <w:bCs w:val="false"/>
          <w:sz w:val="24"/>
          <w:szCs w:val="24"/>
          <w:shd w:fill="auto" w:val="clear"/>
          <w:lang w:val="ru-RU"/>
        </w:rPr>
        <w:t>ак. часов</w:t>
      </w:r>
    </w:p>
    <w:p>
      <w:pPr>
        <w:pStyle w:val="Normal"/>
        <w:ind w:left="0" w:right="0" w:firstLine="567"/>
        <w:jc w:val="center"/>
        <w:rPr>
          <w:rFonts w:ascii="Times New Roman" w:hAnsi="Times New Roman"/>
          <w:b/>
          <w:b/>
          <w:sz w:val="24"/>
          <w:szCs w:val="24"/>
          <w:highlight w:val="none"/>
          <w:shd w:fill="auto" w:val="clear"/>
        </w:rPr>
      </w:pPr>
      <w:r>
        <w:rPr>
          <w:b/>
          <w:sz w:val="24"/>
          <w:szCs w:val="24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left"/>
        <w:rPr>
          <w:rFonts w:ascii="Times New Roman" w:hAnsi="Times New Roman"/>
          <w:sz w:val="24"/>
          <w:szCs w:val="24"/>
        </w:rPr>
      </w:pPr>
      <w:r>
        <w:rPr>
          <w:b/>
          <w:bCs/>
          <w:sz w:val="24"/>
          <w:szCs w:val="24"/>
          <w:shd w:fill="auto" w:val="clear"/>
        </w:rPr>
        <w:t>1.4. Форма обучения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left"/>
        <w:rPr>
          <w:rFonts w:ascii="Times New Roman" w:hAnsi="Times New Roman"/>
          <w:b w:val="false"/>
          <w:b w:val="false"/>
          <w:bCs w:val="false"/>
          <w:sz w:val="12"/>
          <w:szCs w:val="12"/>
          <w:highlight w:val="none"/>
          <w:shd w:fill="auto" w:val="clear"/>
        </w:rPr>
      </w:pPr>
      <w:r>
        <w:rPr>
          <w:b w:val="false"/>
          <w:bCs w:val="false"/>
          <w:sz w:val="12"/>
          <w:szCs w:val="12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left"/>
        <w:rPr>
          <w:rFonts w:ascii="Times New Roman" w:hAnsi="Times New Roman"/>
          <w:sz w:val="24"/>
          <w:szCs w:val="24"/>
        </w:rPr>
      </w:pPr>
      <w:r>
        <w:rPr>
          <w:b w:val="false"/>
          <w:bCs w:val="false"/>
          <w:sz w:val="24"/>
          <w:szCs w:val="24"/>
          <w:shd w:fill="auto" w:val="clear"/>
        </w:rPr>
        <w:t>Очная, очно-заочная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left"/>
        <w:rPr>
          <w:rFonts w:ascii="Times New Roman" w:hAnsi="Times New Roman"/>
          <w:b/>
          <w:b/>
          <w:sz w:val="12"/>
          <w:szCs w:val="12"/>
          <w:highlight w:val="none"/>
          <w:shd w:fill="auto" w:val="clear"/>
        </w:rPr>
      </w:pPr>
      <w:r>
        <w:rPr>
          <w:b/>
          <w:sz w:val="12"/>
          <w:szCs w:val="12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both"/>
        <w:rPr>
          <w:rFonts w:ascii="Times New Roman" w:hAnsi="Times New Roman"/>
          <w:sz w:val="24"/>
          <w:szCs w:val="24"/>
        </w:rPr>
      </w:pPr>
      <w:r>
        <w:rPr>
          <w:b/>
          <w:bCs/>
          <w:sz w:val="24"/>
          <w:szCs w:val="24"/>
          <w:shd w:fill="auto" w:val="clear"/>
        </w:rPr>
        <w:t>1.5 Форма проведения проверки знания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both"/>
        <w:rPr>
          <w:rFonts w:ascii="Times New Roman" w:hAnsi="Times New Roman"/>
          <w:b/>
          <w:b/>
          <w:bCs/>
          <w:sz w:val="12"/>
          <w:szCs w:val="12"/>
          <w:highlight w:val="none"/>
          <w:shd w:fill="auto" w:val="clear"/>
        </w:rPr>
      </w:pPr>
      <w:r>
        <w:rPr>
          <w:b/>
          <w:bCs/>
          <w:sz w:val="12"/>
          <w:szCs w:val="12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both"/>
        <w:rPr/>
      </w:pPr>
      <w:r>
        <w:rPr>
          <w:b w:val="false"/>
          <w:bCs w:val="false"/>
          <w:sz w:val="24"/>
          <w:szCs w:val="24"/>
          <w:shd w:fill="auto" w:val="clear"/>
        </w:rPr>
        <w:t xml:space="preserve">Обучение работников требованиям охраны труда заканчивается проверкой знания требований охраны труда. Результаты проверки знания требований охраны труда работников после завершения </w:t>
      </w:r>
      <w:r>
        <w:rPr>
          <w:rStyle w:val="FontStyle20"/>
          <w:b w:val="false"/>
          <w:bCs w:val="false"/>
          <w:sz w:val="24"/>
          <w:szCs w:val="24"/>
          <w:shd w:fill="auto" w:val="clear"/>
          <w:lang w:eastAsia="ru-RU"/>
        </w:rPr>
        <w:t xml:space="preserve">обучения  работников 2 группы по безопасности работ по высоте </w:t>
      </w:r>
      <w:r>
        <w:rPr>
          <w:b w:val="false"/>
          <w:bCs w:val="false"/>
          <w:sz w:val="24"/>
          <w:szCs w:val="24"/>
          <w:shd w:fill="auto" w:val="clear"/>
        </w:rPr>
        <w:t xml:space="preserve">оформляются протоколом проверки знания требований охраны труда, согласно требованиям «О порядке обучения по охране труда и проверки знания требований охраны труда», утвержденного Постановлением Правительства РФ от 24.12.2021 №2464, с внесением в единую общероссийскую информационно-справочную систему по охране труда (ЕИСОТ) и выдачей удостоверения о допуске к  </w:t>
      </w:r>
      <w:r>
        <w:rPr>
          <w:b w:val="false"/>
          <w:bCs w:val="false"/>
          <w:i w:val="false"/>
          <w:sz w:val="24"/>
          <w:szCs w:val="24"/>
          <w:shd w:fill="auto" w:val="clear"/>
        </w:rPr>
        <w:t>соответствующим работам на высоте.</w:t>
      </w:r>
    </w:p>
    <w:p>
      <w:pPr>
        <w:pStyle w:val="Normal"/>
        <w:ind w:left="0" w:right="0" w:firstLine="567"/>
        <w:jc w:val="both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sz w:val="24"/>
          <w:szCs w:val="24"/>
          <w:highlight w:val="none"/>
          <w:shd w:fill="auto" w:val="clear"/>
          <w:lang w:val="ru-RU" w:eastAsia="zh-CN" w:bidi="ar-SA"/>
        </w:rPr>
      </w:pPr>
      <w:r>
        <w:rPr>
          <w:rFonts w:eastAsia="Times New Roman" w:cs="Times New Roman"/>
          <w:b w:val="false"/>
          <w:bCs w:val="false"/>
          <w:color w:val="000000"/>
          <w:sz w:val="24"/>
          <w:szCs w:val="24"/>
          <w:shd w:fill="auto" w:val="clear"/>
          <w:lang w:val="ru-RU" w:eastAsia="zh-CN" w:bidi="ar-SA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both"/>
        <w:rPr>
          <w:rFonts w:ascii="Times New Roman" w:hAnsi="Times New Roman"/>
          <w:sz w:val="24"/>
          <w:szCs w:val="24"/>
        </w:rPr>
      </w:pPr>
      <w:r>
        <w:rPr>
          <w:b/>
          <w:bCs/>
          <w:sz w:val="24"/>
          <w:szCs w:val="24"/>
          <w:shd w:fill="auto" w:val="clear"/>
        </w:rPr>
        <w:t>1.6 Режим занятий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both"/>
        <w:rPr>
          <w:rFonts w:ascii="Times New Roman" w:hAnsi="Times New Roman"/>
          <w:b/>
          <w:b/>
          <w:bCs/>
          <w:sz w:val="20"/>
          <w:szCs w:val="20"/>
          <w:highlight w:val="none"/>
          <w:shd w:fill="auto" w:val="clear"/>
        </w:rPr>
      </w:pPr>
      <w:r>
        <w:rPr>
          <w:b/>
          <w:bCs/>
          <w:sz w:val="20"/>
          <w:szCs w:val="20"/>
          <w:shd w:fill="auto" w:val="clear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/>
          <w:b w:val="false"/>
          <w:bCs w:val="false"/>
          <w:color w:val="000000"/>
          <w:sz w:val="24"/>
          <w:szCs w:val="24"/>
          <w:shd w:fill="auto" w:val="clear"/>
          <w:lang w:val="ru-RU" w:eastAsia="zh-CN" w:bidi="ar-SA"/>
        </w:rPr>
        <w:t>С отрывом от работы в соответствии с расписанием занятий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both"/>
        <w:rPr>
          <w:rFonts w:ascii="Times New Roman" w:hAnsi="Times New Roman" w:eastAsia="Times New Roman" w:cs="Times New Roman"/>
          <w:b w:val="false"/>
          <w:b w:val="false"/>
          <w:bCs w:val="false"/>
          <w:color w:val="auto"/>
          <w:sz w:val="24"/>
          <w:szCs w:val="24"/>
          <w:highlight w:val="none"/>
          <w:shd w:fill="auto" w:val="clear"/>
          <w:lang w:val="ru-RU" w:eastAsia="zh-CN" w:bidi="ar-SA"/>
        </w:rPr>
      </w:pPr>
      <w:r>
        <w:rPr>
          <w:rFonts w:eastAsia="Times New Roman" w:cs="Times New Roman"/>
          <w:b w:val="false"/>
          <w:bCs w:val="false"/>
          <w:color w:val="000000"/>
          <w:sz w:val="24"/>
          <w:szCs w:val="24"/>
          <w:shd w:fill="auto" w:val="clear"/>
          <w:lang w:val="ru-RU" w:eastAsia="zh-CN" w:bidi="ar-SA"/>
        </w:rPr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/>
          <w:b/>
          <w:bCs/>
          <w:color w:val="000000"/>
          <w:sz w:val="24"/>
          <w:szCs w:val="24"/>
          <w:shd w:fill="auto" w:val="clear"/>
          <w:lang w:val="ru-RU" w:eastAsia="zh-CN" w:bidi="ar-SA"/>
        </w:rPr>
        <w:t>1.7 Организация, реализующая программу</w:t>
      </w:r>
    </w:p>
    <w:p>
      <w:pPr>
        <w:pStyle w:val="Normal"/>
        <w:widowControl/>
        <w:suppressAutoHyphens w:val="false"/>
        <w:bidi w:val="0"/>
        <w:spacing w:lineRule="auto" w:line="240"/>
        <w:ind w:left="0" w:right="0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/>
          <w:b w:val="false"/>
          <w:bCs w:val="false"/>
          <w:color w:val="000000"/>
          <w:sz w:val="24"/>
          <w:szCs w:val="24"/>
          <w:shd w:fill="auto" w:val="clear"/>
          <w:lang w:val="ru-RU" w:eastAsia="zh-CN" w:bidi="ar-SA"/>
        </w:rPr>
        <w:t>АНО ДПО «ПУЦ»</w:t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b/>
          <w:bCs/>
          <w:sz w:val="24"/>
          <w:szCs w:val="24"/>
          <w:shd w:fill="auto" w:val="clear"/>
        </w:rPr>
        <w:t>2. СОДЕРЖАНИЕ ПРОГРАММЫ</w:t>
      </w:r>
    </w:p>
    <w:p>
      <w:pPr>
        <w:pStyle w:val="Normal"/>
        <w:jc w:val="center"/>
        <w:rPr>
          <w:rFonts w:ascii="Times New Roman" w:hAnsi="Times New Roman"/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</w:rPr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b/>
          <w:bCs/>
          <w:sz w:val="24"/>
          <w:szCs w:val="24"/>
          <w:shd w:fill="auto" w:val="clear"/>
        </w:rPr>
        <w:t>2.1 Учебный план</w:t>
      </w:r>
    </w:p>
    <w:tbl>
      <w:tblPr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"/>
        <w:gridCol w:w="2932"/>
        <w:gridCol w:w="1228"/>
        <w:gridCol w:w="1698"/>
        <w:gridCol w:w="1698"/>
        <w:gridCol w:w="1698"/>
      </w:tblGrid>
      <w:tr>
        <w:trPr>
          <w:trHeight w:val="276" w:hRule="atLeast"/>
        </w:trPr>
        <w:tc>
          <w:tcPr>
            <w:tcW w:w="10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b/>
                <w:kern w:val="2"/>
                <w:sz w:val="24"/>
                <w:szCs w:val="24"/>
                <w:shd w:fill="auto" w:val="clear"/>
                <w:lang w:bidi="hi-IN"/>
              </w:rPr>
              <w:t>Номер</w:t>
            </w:r>
          </w:p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b/>
                <w:kern w:val="2"/>
                <w:sz w:val="24"/>
                <w:szCs w:val="24"/>
                <w:shd w:fill="auto" w:val="clear"/>
                <w:lang w:bidi="hi-IN"/>
              </w:rPr>
              <w:t>п/п</w:t>
            </w:r>
          </w:p>
        </w:tc>
        <w:tc>
          <w:tcPr>
            <w:tcW w:w="29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Calibri"/>
                <w:b/>
                <w:sz w:val="24"/>
                <w:szCs w:val="24"/>
                <w:shd w:fill="auto" w:val="clear"/>
                <w:lang w:eastAsia="en-US"/>
              </w:rPr>
              <w:t>Темы</w:t>
            </w:r>
          </w:p>
        </w:tc>
        <w:tc>
          <w:tcPr>
            <w:tcW w:w="632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b/>
                <w:kern w:val="2"/>
                <w:sz w:val="24"/>
                <w:szCs w:val="24"/>
                <w:shd w:fill="auto" w:val="clear"/>
                <w:lang w:bidi="hi-IN"/>
              </w:rPr>
              <w:t>Количество часов</w:t>
            </w:r>
          </w:p>
        </w:tc>
      </w:tr>
      <w:tr>
        <w:trPr/>
        <w:tc>
          <w:tcPr>
            <w:tcW w:w="100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/>
              <w:ind w:left="0" w:right="0" w:hanging="0"/>
              <w:rPr>
                <w:rFonts w:ascii="Times New Roman" w:hAnsi="Times New Roman" w:eastAsia="Calibri" w:cs="Calibri"/>
                <w:b/>
                <w:b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Calibri" w:cs="Calibri"/>
                <w:b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293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/>
              <w:ind w:left="0" w:right="0" w:hanging="0"/>
              <w:rPr>
                <w:rFonts w:ascii="Times New Roman" w:hAnsi="Times New Roman" w:eastAsia="Calibri" w:cs="Calibri"/>
                <w:b/>
                <w:b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Calibri" w:cs="Calibri"/>
                <w:b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12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Общая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трудоемкость</w:t>
            </w:r>
          </w:p>
        </w:tc>
        <w:tc>
          <w:tcPr>
            <w:tcW w:w="50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В том числе</w:t>
            </w:r>
          </w:p>
        </w:tc>
      </w:tr>
      <w:tr>
        <w:trPr/>
        <w:tc>
          <w:tcPr>
            <w:tcW w:w="100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/>
              <w:ind w:left="0" w:right="0" w:hanging="0"/>
              <w:rPr>
                <w:rFonts w:ascii="Times New Roman" w:hAnsi="Times New Roman" w:eastAsia="Calibri" w:cs="Calibri"/>
                <w:b/>
                <w:b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Calibri" w:cs="Calibri"/>
                <w:b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293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/>
              <w:ind w:left="0" w:right="0" w:hanging="0"/>
              <w:rPr>
                <w:rFonts w:ascii="Times New Roman" w:hAnsi="Times New Roman" w:eastAsia="Calibri" w:cs="Calibri"/>
                <w:b/>
                <w:b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Calibri" w:cs="Calibri"/>
                <w:b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122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/>
              <w:ind w:left="0" w:right="0" w:hanging="0"/>
              <w:rPr>
                <w:rFonts w:ascii="Times New Roman" w:hAnsi="Times New Roman" w:eastAsia="Lucida Sans Unicode" w:cs="Calibri"/>
                <w:b/>
                <w:b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Calibri"/>
                <w:b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  <w:t>Теорети-</w:t>
            </w:r>
          </w:p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  <w:t>ческие</w:t>
            </w:r>
          </w:p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  <w:t>занятия (лекции)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  <w:t>Практи-ческие  занятия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  <w:t>Промежуточный контроль</w:t>
            </w:r>
          </w:p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rPr>
                <w:rFonts w:ascii="Times New Roman" w:hAnsi="Times New Roman" w:eastAsia="Lucida Sans Unicode"/>
                <w:kern w:val="2"/>
                <w:sz w:val="24"/>
                <w:szCs w:val="24"/>
                <w:highlight w:val="none"/>
                <w:shd w:fill="auto" w:val="clear"/>
                <w:lang w:bidi="hi-IN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</w:r>
          </w:p>
        </w:tc>
      </w:tr>
      <w:tr>
        <w:trPr/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  <w:t>1</w:t>
            </w:r>
          </w:p>
        </w:tc>
        <w:tc>
          <w:tcPr>
            <w:tcW w:w="2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  <w:t>2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  <w:t>3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  <w:t>4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  <w:t>5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6</w:t>
            </w:r>
          </w:p>
        </w:tc>
      </w:tr>
      <w:tr>
        <w:trPr/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shd w:fill="auto" w:val="clear"/>
                <w:lang w:eastAsia="ru-RU"/>
              </w:rPr>
              <w:t>1.</w:t>
            </w:r>
          </w:p>
        </w:tc>
        <w:tc>
          <w:tcPr>
            <w:tcW w:w="2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</w:rPr>
              <w:t>Теоретические занятия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  <w:lang w:val="en-US"/>
              </w:rPr>
              <w:t>1</w:t>
            </w:r>
            <w:r>
              <w:rPr>
                <w:sz w:val="24"/>
                <w:szCs w:val="24"/>
                <w:shd w:fill="auto" w:val="clear"/>
                <w:lang w:val="ru-RU"/>
              </w:rPr>
              <w:t>8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  <w:lang w:val="en-US"/>
              </w:rPr>
              <w:t>1</w:t>
            </w:r>
            <w:r>
              <w:rPr>
                <w:sz w:val="24"/>
                <w:szCs w:val="24"/>
                <w:shd w:fill="auto" w:val="clear"/>
                <w:lang w:val="ru-RU"/>
              </w:rPr>
              <w:t>7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kern w:val="2"/>
                <w:sz w:val="24"/>
                <w:szCs w:val="24"/>
                <w:highlight w:val="none"/>
                <w:shd w:fill="auto" w:val="clear"/>
                <w:lang w:bidi="hi-IN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/>
                <w:kern w:val="2"/>
                <w:sz w:val="24"/>
                <w:szCs w:val="24"/>
                <w:shd w:fill="auto" w:val="clear"/>
                <w:lang w:bidi="hi-IN"/>
              </w:rPr>
              <w:t>1</w:t>
            </w:r>
          </w:p>
        </w:tc>
      </w:tr>
      <w:tr>
        <w:trPr>
          <w:trHeight w:val="503" w:hRule="atLeast"/>
        </w:trPr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shd w:fill="auto" w:val="clear"/>
                <w:lang w:eastAsia="ru-RU"/>
              </w:rPr>
              <w:t>2.</w:t>
            </w:r>
          </w:p>
        </w:tc>
        <w:tc>
          <w:tcPr>
            <w:tcW w:w="2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Практические занятия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  <w:lang w:val="ru-RU"/>
              </w:rPr>
              <w:t>8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kern w:val="2"/>
                <w:sz w:val="24"/>
                <w:szCs w:val="24"/>
                <w:highlight w:val="none"/>
                <w:shd w:fill="auto" w:val="clear"/>
                <w:lang w:bidi="hi-IN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  <w:lang w:val="ru-RU"/>
              </w:rPr>
              <w:t>7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  <w:lang w:val="en-US"/>
              </w:rPr>
              <w:t>1</w:t>
            </w:r>
          </w:p>
        </w:tc>
      </w:tr>
      <w:tr>
        <w:trPr/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shd w:fill="auto" w:val="clear"/>
                <w:lang w:eastAsia="ru-RU"/>
              </w:rPr>
              <w:t>3.</w:t>
            </w:r>
          </w:p>
        </w:tc>
        <w:tc>
          <w:tcPr>
            <w:tcW w:w="2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val="ru-RU" w:bidi="hi-IN"/>
              </w:rPr>
              <w:t>Проверка знаний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4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bCs/>
                <w:color w:val="000000"/>
                <w:kern w:val="2"/>
                <w:sz w:val="24"/>
                <w:szCs w:val="24"/>
                <w:highlight w:val="none"/>
                <w:shd w:fill="auto" w:val="clear"/>
                <w:lang w:bidi="hi-IN"/>
              </w:rPr>
            </w:pPr>
            <w:r>
              <w:rPr>
                <w:rFonts w:eastAsia="Lucida Sans Unicode" w:cs="Mangal;Courier Std"/>
                <w:b/>
                <w:bCs/>
                <w:color w:val="000000"/>
                <w:kern w:val="2"/>
                <w:sz w:val="24"/>
                <w:szCs w:val="24"/>
                <w:shd w:fill="auto" w:val="clear"/>
                <w:lang w:bidi="hi-IN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bCs/>
                <w:color w:val="000000"/>
                <w:kern w:val="2"/>
                <w:sz w:val="24"/>
                <w:szCs w:val="24"/>
                <w:highlight w:val="none"/>
                <w:shd w:fill="auto" w:val="clear"/>
                <w:lang w:bidi="hi-IN"/>
              </w:rPr>
            </w:pPr>
            <w:r>
              <w:rPr>
                <w:rFonts w:eastAsia="Lucida Sans Unicode" w:cs="Mangal;Courier Std"/>
                <w:b/>
                <w:bCs/>
                <w:color w:val="000000"/>
                <w:kern w:val="2"/>
                <w:sz w:val="24"/>
                <w:szCs w:val="24"/>
                <w:shd w:fill="auto" w:val="clear"/>
                <w:lang w:bidi="hi-IN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bCs/>
                <w:color w:val="000000"/>
                <w:kern w:val="2"/>
                <w:sz w:val="24"/>
                <w:szCs w:val="24"/>
                <w:highlight w:val="none"/>
                <w:shd w:fill="auto" w:val="clear"/>
                <w:lang w:bidi="hi-IN"/>
              </w:rPr>
            </w:pPr>
            <w:r>
              <w:rPr>
                <w:rFonts w:eastAsia="Lucida Sans Unicode" w:cs="Mangal;Courier Std"/>
                <w:b/>
                <w:bCs/>
                <w:color w:val="000000"/>
                <w:kern w:val="2"/>
                <w:sz w:val="24"/>
                <w:szCs w:val="24"/>
                <w:shd w:fill="auto" w:val="clear"/>
                <w:lang w:bidi="hi-IN"/>
              </w:rPr>
            </w:r>
          </w:p>
        </w:tc>
      </w:tr>
      <w:tr>
        <w:trPr/>
        <w:tc>
          <w:tcPr>
            <w:tcW w:w="1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rPr>
                <w:rFonts w:ascii="Times New Roman" w:hAnsi="Times New Roman" w:eastAsia="Lucida Sans Unicode" w:cs="Calibri"/>
                <w:b/>
                <w:b/>
                <w:bCs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Calibri"/>
                <w:b/>
                <w:bCs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2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shd w:fill="auto" w:val="clear"/>
              </w:rPr>
              <w:t>Итого: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  <w:lang w:val="ru-RU"/>
              </w:rPr>
              <w:t>30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kern w:val="2"/>
                <w:sz w:val="24"/>
                <w:szCs w:val="24"/>
                <w:highlight w:val="none"/>
                <w:shd w:fill="auto" w:val="clear"/>
                <w:lang w:bidi="hi-IN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kern w:val="2"/>
                <w:sz w:val="24"/>
                <w:szCs w:val="24"/>
                <w:highlight w:val="none"/>
                <w:shd w:fill="auto" w:val="clear"/>
                <w:lang w:bidi="hi-IN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kern w:val="2"/>
                <w:sz w:val="24"/>
                <w:szCs w:val="24"/>
                <w:highlight w:val="none"/>
                <w:shd w:fill="auto" w:val="clear"/>
                <w:lang w:bidi="hi-IN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eastAsia="Calibri"/>
          <w:b/>
          <w:bCs/>
          <w:sz w:val="24"/>
          <w:szCs w:val="24"/>
          <w:shd w:fill="auto" w:val="clear"/>
          <w:lang w:eastAsia="en-US"/>
        </w:rPr>
        <w:t>2.2 Календарный учебный график.*</w:t>
      </w:r>
    </w:p>
    <w:tbl>
      <w:tblPr>
        <w:tblW w:w="10255" w:type="dxa"/>
        <w:jc w:val="left"/>
        <w:tblInd w:w="31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701"/>
        <w:gridCol w:w="2227"/>
        <w:gridCol w:w="878"/>
        <w:gridCol w:w="806"/>
        <w:gridCol w:w="806"/>
        <w:gridCol w:w="806"/>
        <w:gridCol w:w="808"/>
        <w:gridCol w:w="825"/>
        <w:gridCol w:w="809"/>
        <w:gridCol w:w="809"/>
        <w:gridCol w:w="778"/>
      </w:tblGrid>
      <w:tr>
        <w:trPr>
          <w:trHeight w:val="319" w:hRule="atLeast"/>
        </w:trPr>
        <w:tc>
          <w:tcPr>
            <w:tcW w:w="701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shd w:fill="auto" w:val="clear"/>
                <w:lang w:eastAsia="ru-RU"/>
              </w:rPr>
              <w:t>Номер п/п</w:t>
            </w:r>
          </w:p>
        </w:tc>
        <w:tc>
          <w:tcPr>
            <w:tcW w:w="22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shd w:fill="auto" w:val="clear"/>
                <w:lang w:eastAsia="ru-RU"/>
              </w:rPr>
              <w:t>Темы</w:t>
            </w:r>
          </w:p>
        </w:tc>
        <w:tc>
          <w:tcPr>
            <w:tcW w:w="878" w:type="dxa"/>
            <w:vMerge w:val="restart"/>
            <w:tcBorders>
              <w:top w:val="single" w:sz="6" w:space="0" w:color="000000"/>
              <w:left w:val="single" w:sz="4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shd w:fill="auto" w:val="clear"/>
                <w:lang w:eastAsia="ru-RU"/>
              </w:rPr>
              <w:t>Всего, час.</w:t>
            </w:r>
          </w:p>
        </w:tc>
        <w:tc>
          <w:tcPr>
            <w:tcW w:w="6447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  <w:shd w:fill="auto" w:val="clear"/>
                <w:lang w:eastAsia="ru-RU"/>
              </w:rPr>
              <w:t>Учебные дни</w:t>
            </w:r>
          </w:p>
        </w:tc>
      </w:tr>
      <w:tr>
        <w:trPr>
          <w:trHeight w:val="366" w:hRule="atLeast"/>
        </w:trPr>
        <w:tc>
          <w:tcPr>
            <w:tcW w:w="701" w:type="dxa"/>
            <w:vMerge w:val="continue"/>
            <w:tcBorders>
              <w:top w:val="single" w:sz="6" w:space="0" w:color="000000"/>
              <w:left w:val="single" w:sz="6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rPr>
                <w:rFonts w:ascii="Times New Roman" w:hAnsi="Times New Roman" w:eastAsia="Lucida Sans Unicode" w:cs="Arial Narrow"/>
                <w:b/>
                <w:b/>
                <w:bCs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Arial Narrow"/>
                <w:b/>
                <w:bCs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2227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rPr>
                <w:rFonts w:ascii="Times New Roman" w:hAnsi="Times New Roman" w:eastAsia="Lucida Sans Unicode" w:cs="Arial Narrow"/>
                <w:b/>
                <w:b/>
                <w:bCs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Arial Narrow"/>
                <w:b/>
                <w:bCs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78" w:type="dxa"/>
            <w:vMerge w:val="continue"/>
            <w:tcBorders>
              <w:top w:val="single" w:sz="6" w:space="0" w:color="000000"/>
              <w:left w:val="single" w:sz="4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rPr>
                <w:rFonts w:ascii="Times New Roman" w:hAnsi="Times New Roman" w:eastAsia="Lucida Sans Unicode" w:cs="Arial Narrow"/>
                <w:b/>
                <w:b/>
                <w:bCs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Arial Narrow"/>
                <w:b/>
                <w:bCs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1</w:t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2</w:t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3</w:t>
            </w:r>
          </w:p>
        </w:tc>
        <w:tc>
          <w:tcPr>
            <w:tcW w:w="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5</w:t>
            </w:r>
          </w:p>
        </w:tc>
        <w:tc>
          <w:tcPr>
            <w:tcW w:w="8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6</w:t>
            </w:r>
          </w:p>
        </w:tc>
        <w:tc>
          <w:tcPr>
            <w:tcW w:w="8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</w:rPr>
              <w:t>7</w:t>
            </w:r>
          </w:p>
        </w:tc>
        <w:tc>
          <w:tcPr>
            <w:tcW w:w="7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</w:rPr>
              <w:t>8</w:t>
            </w:r>
          </w:p>
        </w:tc>
      </w:tr>
      <w:tr>
        <w:trPr>
          <w:trHeight w:val="400" w:hRule="atLeast"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shd w:fill="auto" w:val="clear"/>
                <w:lang w:eastAsia="ru-RU"/>
              </w:rPr>
              <w:t>1.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</w:rPr>
              <w:t>Теоретические занятия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  <w:lang w:val="en-US"/>
              </w:rPr>
              <w:t>1</w:t>
            </w:r>
            <w:r>
              <w:rPr>
                <w:sz w:val="24"/>
                <w:szCs w:val="24"/>
                <w:shd w:fill="auto" w:val="clear"/>
                <w:lang w:val="ru-RU"/>
              </w:rPr>
              <w:t>8</w:t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2</w:t>
            </w:r>
          </w:p>
        </w:tc>
        <w:tc>
          <w:tcPr>
            <w:tcW w:w="8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color w:val="000000"/>
                <w:sz w:val="24"/>
                <w:szCs w:val="24"/>
                <w:highlight w:val="none"/>
                <w:shd w:fill="auto" w:val="clear"/>
                <w:lang w:eastAsia="ru-RU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</w:r>
          </w:p>
        </w:tc>
        <w:tc>
          <w:tcPr>
            <w:tcW w:w="8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color w:val="000000"/>
                <w:sz w:val="24"/>
                <w:szCs w:val="24"/>
                <w:highlight w:val="none"/>
                <w:shd w:fill="auto" w:val="clear"/>
                <w:lang w:eastAsia="ru-RU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</w:r>
          </w:p>
        </w:tc>
        <w:tc>
          <w:tcPr>
            <w:tcW w:w="7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color w:val="000000"/>
                <w:sz w:val="24"/>
                <w:szCs w:val="24"/>
                <w:highlight w:val="none"/>
                <w:shd w:fill="auto" w:val="clear"/>
                <w:lang w:eastAsia="ru-RU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</w:r>
          </w:p>
        </w:tc>
      </w:tr>
      <w:tr>
        <w:trPr>
          <w:trHeight w:val="400" w:hRule="atLeast"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shd w:fill="auto" w:val="clear"/>
                <w:lang w:eastAsia="ru-RU"/>
              </w:rPr>
              <w:t>2.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Практические занятия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8</w:t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b w:val="false"/>
                <w:bCs w:val="false"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  <w:t>2</w:t>
            </w:r>
          </w:p>
        </w:tc>
        <w:tc>
          <w:tcPr>
            <w:tcW w:w="8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</w:rPr>
              <w:t>2</w:t>
            </w:r>
          </w:p>
        </w:tc>
        <w:tc>
          <w:tcPr>
            <w:tcW w:w="7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  <w:highlight w:val="none"/>
                <w:shd w:fill="auto" w:val="clear"/>
              </w:rPr>
            </w:pPr>
            <w:r>
              <w:rPr>
                <w:sz w:val="24"/>
                <w:szCs w:val="24"/>
                <w:shd w:fill="auto" w:val="clear"/>
              </w:rPr>
            </w:r>
          </w:p>
        </w:tc>
      </w:tr>
      <w:tr>
        <w:trPr>
          <w:trHeight w:val="400" w:hRule="atLeast"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76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  <w:shd w:fill="auto" w:val="clear"/>
                <w:lang w:val="en-US" w:eastAsia="ru-RU"/>
              </w:rPr>
              <w:t>3</w:t>
            </w:r>
            <w:r>
              <w:rPr>
                <w:bCs/>
                <w:color w:val="000000"/>
                <w:sz w:val="24"/>
                <w:szCs w:val="24"/>
                <w:shd w:fill="auto" w:val="clear"/>
                <w:lang w:eastAsia="ru-RU"/>
              </w:rPr>
              <w:t>.</w:t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ind w:left="0" w:right="0" w:hanging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Проверка знаний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4</w:t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8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 w:eastAsia="Lucida Sans Unicode" w:cs="Mangal;Courier Std"/>
                <w:b/>
                <w:b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7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b w:val="false"/>
                <w:bCs w:val="false"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  <w:t>4</w:t>
            </w:r>
          </w:p>
        </w:tc>
      </w:tr>
      <w:tr>
        <w:trPr>
          <w:trHeight w:val="400" w:hRule="atLeast"/>
        </w:trPr>
        <w:tc>
          <w:tcPr>
            <w:tcW w:w="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napToGrid w:val="false"/>
              <w:ind w:left="0" w:right="0" w:hanging="0"/>
              <w:rPr>
                <w:rFonts w:ascii="Times New Roman" w:hAnsi="Times New Roman" w:eastAsia="Lucida Sans Unicode" w:cs="Mangal;Courier Std"/>
                <w:b/>
                <w:b/>
                <w:bCs/>
                <w:color w:val="000000"/>
                <w:kern w:val="2"/>
                <w:sz w:val="24"/>
                <w:szCs w:val="24"/>
                <w:highlight w:val="none"/>
                <w:shd w:fill="auto" w:val="clear"/>
                <w:lang w:eastAsia="ru-RU" w:bidi="hi-IN"/>
              </w:rPr>
            </w:pPr>
            <w:r>
              <w:rPr>
                <w:rFonts w:eastAsia="Lucida Sans Unicode" w:cs="Mangal;Courier Std"/>
                <w:b/>
                <w:bCs/>
                <w:color w:val="000000"/>
                <w:kern w:val="2"/>
                <w:sz w:val="24"/>
                <w:szCs w:val="24"/>
                <w:shd w:fill="auto" w:val="clear"/>
                <w:lang w:eastAsia="ru-RU" w:bidi="hi-IN"/>
              </w:rPr>
            </w:r>
          </w:p>
        </w:tc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ind w:left="0" w:right="0" w:hanging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ИТОГО</w:t>
            </w:r>
          </w:p>
        </w:tc>
        <w:tc>
          <w:tcPr>
            <w:tcW w:w="8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36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eastAsia="Lucida Sans Unicode" w:cs="Mangal;Courier Std"/>
                <w:kern w:val="2"/>
                <w:sz w:val="24"/>
                <w:szCs w:val="24"/>
                <w:shd w:fill="auto" w:val="clear"/>
                <w:lang w:bidi="hi-IN"/>
              </w:rPr>
              <w:t>30</w:t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shd w:fill="auto" w:val="clear"/>
                <w:lang w:eastAsia="ru-RU"/>
              </w:rPr>
              <w:t>4</w:t>
            </w:r>
          </w:p>
        </w:tc>
        <w:tc>
          <w:tcPr>
            <w:tcW w:w="8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</w:rPr>
              <w:t>2</w:t>
            </w:r>
          </w:p>
        </w:tc>
        <w:tc>
          <w:tcPr>
            <w:tcW w:w="7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</w:rPr>
              <w:t>4</w:t>
            </w:r>
          </w:p>
        </w:tc>
      </w:tr>
    </w:tbl>
    <w:p>
      <w:pPr>
        <w:pStyle w:val="Style30"/>
        <w:spacing w:lineRule="auto" w:line="240" w:before="0" w:after="0"/>
        <w:ind w:left="0" w:right="0" w:hanging="0"/>
        <w:rPr>
          <w:rFonts w:ascii="Times New Roman" w:hAnsi="Times New Roman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spacing w:lineRule="auto" w:line="240" w:before="0" w:after="0"/>
        <w:ind w:left="0" w:right="0" w:hanging="0"/>
        <w:jc w:val="center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</w:r>
    </w:p>
    <w:p>
      <w:pPr>
        <w:pStyle w:val="Default"/>
        <w:spacing w:lineRule="auto" w:line="240" w:before="0" w:after="0"/>
        <w:ind w:left="0" w:right="0" w:hanging="0"/>
        <w:jc w:val="center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</w:r>
    </w:p>
    <w:p>
      <w:pPr>
        <w:pStyle w:val="Default"/>
        <w:spacing w:lineRule="auto" w:line="240" w:before="0" w:after="0"/>
        <w:ind w:left="0" w:right="0" w:hanging="0"/>
        <w:jc w:val="center"/>
        <w:rPr>
          <w:rFonts w:ascii="Times New Roman" w:hAnsi="Times New Roman"/>
          <w:sz w:val="24"/>
          <w:szCs w:val="24"/>
        </w:rPr>
      </w:pPr>
      <w:r>
        <w:rPr/>
      </w:r>
    </w:p>
    <w:tbl>
      <w:tblPr>
        <w:tblW w:w="1025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5"/>
      </w:tblGrid>
      <w:tr>
        <w:trPr/>
        <w:tc>
          <w:tcPr>
            <w:tcW w:w="10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sz w:val="24"/>
                <w:szCs w:val="24"/>
                <w:shd w:fill="auto" w:val="clear"/>
                <w:lang w:eastAsia="ru-RU"/>
              </w:rPr>
              <w:t>Тема</w:t>
            </w:r>
          </w:p>
        </w:tc>
      </w:tr>
      <w:tr>
        <w:trPr/>
        <w:tc>
          <w:tcPr>
            <w:tcW w:w="10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1"/>
              <w:widowControl w:val="false"/>
              <w:spacing w:lineRule="auto" w:line="24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</w:rPr>
              <w:t>Тема 1. Введение.</w:t>
            </w:r>
          </w:p>
        </w:tc>
      </w:tr>
      <w:tr>
        <w:trPr/>
        <w:tc>
          <w:tcPr>
            <w:tcW w:w="10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1"/>
              <w:widowControl w:val="false"/>
              <w:spacing w:lineRule="auto" w:line="24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</w:rPr>
              <w:t>Тема 2.  Общие требования охраны труда.</w:t>
            </w:r>
          </w:p>
        </w:tc>
      </w:tr>
      <w:tr>
        <w:trPr/>
        <w:tc>
          <w:tcPr>
            <w:tcW w:w="10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1"/>
              <w:widowControl w:val="false"/>
              <w:spacing w:lineRule="auto" w:line="240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</w:rPr>
              <w:t>Тема 3. Средства защиты при выполнении работ на высоте.</w:t>
            </w:r>
          </w:p>
        </w:tc>
      </w:tr>
      <w:tr>
        <w:trPr/>
        <w:tc>
          <w:tcPr>
            <w:tcW w:w="10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</w:rPr>
              <w:t>Тема 4.  Средства подмащивания.</w:t>
            </w:r>
          </w:p>
        </w:tc>
      </w:tr>
      <w:tr>
        <w:trPr/>
        <w:tc>
          <w:tcPr>
            <w:tcW w:w="10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</w:rPr>
              <w:t>Тема 5.Системы обеспечения безопасности работ на высоте.</w:t>
            </w:r>
          </w:p>
        </w:tc>
      </w:tr>
      <w:tr>
        <w:trPr/>
        <w:tc>
          <w:tcPr>
            <w:tcW w:w="10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</w:rPr>
              <w:t>Тема 6. Инструкции по охране труда для рабочих, выполняющих работы на высоте.</w:t>
            </w:r>
          </w:p>
        </w:tc>
      </w:tr>
      <w:tr>
        <w:trPr/>
        <w:tc>
          <w:tcPr>
            <w:tcW w:w="10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</w:rPr>
              <w:t>Тема 7. Организация безопасного проведения работ на высоте.</w:t>
            </w:r>
          </w:p>
        </w:tc>
      </w:tr>
      <w:tr>
        <w:trPr/>
        <w:tc>
          <w:tcPr>
            <w:tcW w:w="10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shd w:fill="auto" w:val="clear"/>
                <w:lang w:val="en-US"/>
              </w:rPr>
              <w:t>Тема 8</w:t>
            </w:r>
            <w:r>
              <w:rPr>
                <w:b w:val="false"/>
                <w:bCs w:val="false"/>
                <w:sz w:val="24"/>
                <w:szCs w:val="24"/>
                <w:shd w:fill="auto" w:val="clear"/>
              </w:rPr>
              <w:t>. Заключение.</w:t>
            </w:r>
          </w:p>
        </w:tc>
      </w:tr>
    </w:tbl>
    <w:p>
      <w:pPr>
        <w:pStyle w:val="Default"/>
        <w:spacing w:before="0" w:after="0"/>
        <w:ind w:left="0" w:right="0" w:hanging="0"/>
        <w:jc w:val="center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</w:r>
    </w:p>
    <w:p>
      <w:pPr>
        <w:pStyle w:val="Default"/>
        <w:spacing w:before="0" w:after="0"/>
        <w:ind w:left="0" w:right="0" w:hanging="0"/>
        <w:jc w:val="center"/>
        <w:rPr>
          <w:rFonts w:ascii="Times New Roman" w:hAnsi="Times New Roman"/>
          <w:sz w:val="24"/>
          <w:szCs w:val="24"/>
        </w:rPr>
      </w:pPr>
      <w:r>
        <w:rPr/>
      </w:r>
    </w:p>
    <w:sectPr>
      <w:type w:val="nextPage"/>
      <w:pgSz w:w="11906" w:h="16838"/>
      <w:pgMar w:left="851" w:right="794" w:gutter="0" w:header="0" w:top="794" w:footer="0" w:bottom="85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mbria">
    <w:charset w:val="cc"/>
    <w:family w:val="roman"/>
    <w:pitch w:val="variable"/>
  </w:font>
  <w:font w:name="Arial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extBookC">
    <w:charset w:val="cc"/>
    <w:family w:val="roman"/>
    <w:pitch w:val="variable"/>
  </w:font>
  <w:font w:name="TimesNewRomanPSMT"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1"/>
    <w:qFormat/>
    <w:pPr>
      <w:widowControl/>
      <w:suppressAutoHyphens w:val="true"/>
      <w:bidi w:val="0"/>
      <w:spacing w:before="0" w:after="0"/>
      <w:ind w:left="0" w:right="0" w:firstLine="567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ru-RU" w:bidi="ru-RU"/>
    </w:rPr>
  </w:style>
  <w:style w:type="paragraph" w:styleId="1">
    <w:name w:val="Heading 1"/>
    <w:basedOn w:val="Normal"/>
    <w:uiPriority w:val="1"/>
    <w:qFormat/>
    <w:pPr>
      <w:ind w:left="366" w:right="361" w:hanging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mbria" w:hAnsi="Cambria" w:eastAsia="Cambria" w:cs="Cambria"/>
      <w:color w:val="365F91" w:themeColor="accent1" w:themeShade="bf"/>
      <w:sz w:val="26"/>
      <w:szCs w:val="26"/>
    </w:rPr>
  </w:style>
  <w:style w:type="paragraph" w:styleId="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31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1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1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1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1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1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91" w:customStyle="1">
    <w:name w:val="Заголовок 9 Знак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tyle5" w:customStyle="1">
    <w:name w:val="Название Знак"/>
    <w:basedOn w:val="DefaultParagraphFont"/>
    <w:uiPriority w:val="10"/>
    <w:qFormat/>
    <w:rPr>
      <w:sz w:val="48"/>
      <w:szCs w:val="48"/>
    </w:rPr>
  </w:style>
  <w:style w:type="character" w:styleId="Style6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uiPriority w:val="29"/>
    <w:qFormat/>
    <w:rPr>
      <w:i/>
    </w:rPr>
  </w:style>
  <w:style w:type="character" w:styleId="Style7" w:customStyle="1">
    <w:name w:val="Выделенная цитата Знак"/>
    <w:uiPriority w:val="30"/>
    <w:qFormat/>
    <w:rPr>
      <w:i/>
    </w:rPr>
  </w:style>
  <w:style w:type="character" w:styleId="Style8" w:customStyle="1">
    <w:name w:val="Верхний колонтитул Знак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9" w:customStyle="1">
    <w:name w:val="Нижний колонтитул Знак"/>
    <w:uiPriority w:val="99"/>
    <w:qFormat/>
    <w:rPr/>
  </w:style>
  <w:style w:type="character" w:styleId="Style10">
    <w:name w:val="Интернет-ссылка"/>
    <w:uiPriority w:val="99"/>
    <w:unhideWhenUsed/>
    <w:rPr>
      <w:color w:val="0000FF" w:themeColor="hyperlink"/>
      <w:u w:val="single"/>
    </w:rPr>
  </w:style>
  <w:style w:type="character" w:styleId="Style11" w:customStyle="1">
    <w:name w:val="Текст сноски Знак"/>
    <w:uiPriority w:val="99"/>
    <w:qFormat/>
    <w:rPr>
      <w:sz w:val="18"/>
    </w:rPr>
  </w:style>
  <w:style w:type="character" w:styleId="Style12">
    <w:name w:val="Привязка сноски"/>
    <w:rPr>
      <w:vertAlign w:val="superscript"/>
    </w:rPr>
  </w:style>
  <w:style w:type="character" w:styleId="FootnoteCharacters">
    <w:name w:val="Footnote Characters"/>
    <w:basedOn w:val="DefaultParagraphFont"/>
    <w:uiPriority w:val="99"/>
    <w:unhideWhenUsed/>
    <w:qFormat/>
    <w:rPr>
      <w:vertAlign w:val="superscript"/>
    </w:rPr>
  </w:style>
  <w:style w:type="character" w:styleId="Style13" w:customStyle="1">
    <w:name w:val="Текст концевой сноски Знак"/>
    <w:uiPriority w:val="99"/>
    <w:qFormat/>
    <w:rPr>
      <w:sz w:val="20"/>
    </w:rPr>
  </w:style>
  <w:style w:type="character" w:styleId="Style14">
    <w:name w:val="Привязка концевой сноски"/>
    <w:rPr>
      <w:vertAlign w:val="superscript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22" w:customStyle="1">
    <w:name w:val="Заголовок 2 Знак"/>
    <w:basedOn w:val="DefaultParagraphFont"/>
    <w:uiPriority w:val="9"/>
    <w:semiHidden/>
    <w:qFormat/>
    <w:rPr>
      <w:rFonts w:ascii="Cambria" w:hAnsi="Cambria" w:eastAsia="Cambria" w:cs="Cambria"/>
      <w:color w:val="365F91" w:themeColor="accent1" w:themeShade="bf"/>
      <w:sz w:val="26"/>
      <w:szCs w:val="26"/>
      <w:lang w:val="ru-RU" w:eastAsia="ru-RU" w:bidi="ru-RU"/>
    </w:rPr>
  </w:style>
  <w:style w:type="character" w:styleId="Style15" w:customStyle="1">
    <w:name w:val="Основной текст Знак"/>
    <w:basedOn w:val="DefaultParagraphFont"/>
    <w:uiPriority w:val="1"/>
    <w:qFormat/>
    <w:rPr>
      <w:rFonts w:ascii="Times New Roman" w:hAnsi="Times New Roman" w:eastAsia="Times New Roman" w:cs="Times New Roman"/>
      <w:sz w:val="24"/>
      <w:szCs w:val="24"/>
      <w:lang w:val="ru-RU" w:eastAsia="ru-RU" w:bidi="ru-RU"/>
    </w:rPr>
  </w:style>
  <w:style w:type="character" w:styleId="FontStyle22">
    <w:name w:val="Font Style22"/>
    <w:qFormat/>
    <w:rPr>
      <w:rFonts w:ascii="Times New Roman" w:hAnsi="Times New Roman" w:eastAsia="Times New Roman" w:cs="Times New Roman"/>
      <w:b/>
      <w:bCs/>
      <w:color w:val="000000"/>
      <w:sz w:val="22"/>
      <w:szCs w:val="22"/>
    </w:rPr>
  </w:style>
  <w:style w:type="character" w:styleId="FontStyle20">
    <w:name w:val="Font Style20"/>
    <w:qFormat/>
    <w:rPr>
      <w:rFonts w:ascii="Times New Roman" w:hAnsi="Times New Roman" w:eastAsia="Times New Roman" w:cs="Times New Roman"/>
      <w:color w:val="000000"/>
      <w:sz w:val="22"/>
      <w:szCs w:val="22"/>
    </w:rPr>
  </w:style>
  <w:style w:type="character" w:styleId="Style16">
    <w:name w:val="Маркеры списка"/>
    <w:qFormat/>
    <w:rPr>
      <w:rFonts w:ascii="OpenSymbol" w:hAnsi="OpenSymbol" w:eastAsia="OpenSymbol" w:cs="OpenSymbol"/>
    </w:rPr>
  </w:style>
  <w:style w:type="character" w:styleId="WW8Num8z1">
    <w:name w:val="WW8Num8z1"/>
    <w:qFormat/>
    <w:rPr>
      <w:color w:val="000000"/>
    </w:rPr>
  </w:style>
  <w:style w:type="character" w:styleId="FontStyle11">
    <w:name w:val="Font Style11"/>
    <w:qFormat/>
    <w:rPr>
      <w:rFonts w:ascii="Times New Roman" w:hAnsi="Times New Roman" w:eastAsia="Times New Roman" w:cs="Times New Roman"/>
      <w:b/>
      <w:bCs/>
      <w:color w:val="000000"/>
      <w:sz w:val="22"/>
      <w:szCs w:val="22"/>
    </w:rPr>
  </w:style>
  <w:style w:type="character" w:styleId="FontStyle12">
    <w:name w:val="Font Style12"/>
    <w:qFormat/>
    <w:rPr>
      <w:rFonts w:ascii="Times New Roman" w:hAnsi="Times New Roman" w:eastAsia="Times New Roman" w:cs="Times New Roman"/>
      <w:color w:val="000000"/>
      <w:sz w:val="22"/>
      <w:szCs w:val="22"/>
    </w:rPr>
  </w:style>
  <w:style w:type="character" w:styleId="FontStyle51">
    <w:name w:val="Font Style51"/>
    <w:qFormat/>
    <w:rPr>
      <w:rFonts w:ascii="Times New Roman" w:hAnsi="Times New Roman" w:eastAsia="Times New Roman" w:cs="Times New Roman"/>
      <w:b/>
      <w:bCs/>
      <w:sz w:val="22"/>
      <w:szCs w:val="22"/>
    </w:rPr>
  </w:style>
  <w:style w:type="character" w:styleId="FontStyle62">
    <w:name w:val="Font Style62"/>
    <w:qFormat/>
    <w:rPr>
      <w:rFonts w:ascii="Times New Roman" w:hAnsi="Times New Roman" w:eastAsia="Times New Roman" w:cs="Times New Roman"/>
      <w:b/>
      <w:bCs/>
      <w:sz w:val="22"/>
      <w:szCs w:val="22"/>
    </w:rPr>
  </w:style>
  <w:style w:type="character" w:styleId="FontStyle18">
    <w:name w:val="Font Style18"/>
    <w:qFormat/>
    <w:rPr>
      <w:rFonts w:ascii="Times New Roman" w:hAnsi="Times New Roman" w:eastAsia="Times New Roman" w:cs="Times New Roman"/>
      <w:b/>
      <w:bCs/>
      <w:sz w:val="26"/>
      <w:szCs w:val="26"/>
    </w:rPr>
  </w:style>
  <w:style w:type="character" w:styleId="FontStyle21">
    <w:name w:val="Font Style21"/>
    <w:qFormat/>
    <w:rPr>
      <w:rFonts w:ascii="Times New Roman" w:hAnsi="Times New Roman" w:eastAsia="Times New Roman" w:cs="Times New Roman"/>
      <w:b/>
      <w:bCs/>
      <w:sz w:val="26"/>
      <w:szCs w:val="26"/>
    </w:rPr>
  </w:style>
  <w:style w:type="character" w:styleId="FontStyle58">
    <w:name w:val="Font Style58"/>
    <w:qFormat/>
    <w:rPr>
      <w:rFonts w:ascii="Times New Roman" w:hAnsi="Times New Roman" w:eastAsia="Times New Roman" w:cs="Times New Roman"/>
      <w:b/>
      <w:bCs/>
      <w:sz w:val="24"/>
      <w:szCs w:val="24"/>
    </w:rPr>
  </w:style>
  <w:style w:type="character" w:styleId="FontStyle55">
    <w:name w:val="Font Style55"/>
    <w:qFormat/>
    <w:rPr>
      <w:rFonts w:ascii="Times New Roman" w:hAnsi="Times New Roman" w:eastAsia="Times New Roman" w:cs="Times New Roman"/>
      <w:sz w:val="24"/>
      <w:szCs w:val="24"/>
    </w:rPr>
  </w:style>
  <w:style w:type="character" w:styleId="FontStyle40">
    <w:name w:val="Font Style40"/>
    <w:qFormat/>
    <w:rPr>
      <w:rFonts w:ascii="Times New Roman" w:hAnsi="Times New Roman" w:eastAsia="Times New Roman" w:cs="Times New Roman"/>
      <w:sz w:val="24"/>
      <w:szCs w:val="24"/>
    </w:rPr>
  </w:style>
  <w:style w:type="character" w:styleId="12">
    <w:name w:val="Основной шрифт абзаца1"/>
    <w:qFormat/>
    <w:rPr/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8z0">
    <w:name w:val="WW8Num8z0"/>
    <w:qFormat/>
    <w:rPr>
      <w:rFonts w:ascii="Courier New" w:hAnsi="Courier New" w:cs="Courier New"/>
    </w:rPr>
  </w:style>
  <w:style w:type="character" w:styleId="WW8Num7z4">
    <w:name w:val="WW8Num7z4"/>
    <w:qFormat/>
    <w:rPr>
      <w:rFonts w:ascii="Courier New" w:hAnsi="Courier New" w:cs="Courier New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23">
    <w:name w:val="Основной шрифт абзаца2"/>
    <w:qFormat/>
    <w:rPr/>
  </w:style>
  <w:style w:type="character" w:styleId="Style17">
    <w:name w:val="Основной шрифт абзаца"/>
    <w:qFormat/>
    <w:rPr/>
  </w:style>
  <w:style w:type="character" w:styleId="WW8Num4z8">
    <w:name w:val="WW8Num4z8"/>
    <w:qFormat/>
    <w:rPr/>
  </w:style>
  <w:style w:type="character" w:styleId="WW8Num4z7">
    <w:name w:val="WW8Num4z7"/>
    <w:qFormat/>
    <w:rPr/>
  </w:style>
  <w:style w:type="character" w:styleId="WW8Num4z6">
    <w:name w:val="WW8Num4z6"/>
    <w:qFormat/>
    <w:rPr/>
  </w:style>
  <w:style w:type="character" w:styleId="WW8Num4z5">
    <w:name w:val="WW8Num4z5"/>
    <w:qFormat/>
    <w:rPr/>
  </w:style>
  <w:style w:type="character" w:styleId="WW8Num4z4">
    <w:name w:val="WW8Num4z4"/>
    <w:qFormat/>
    <w:rPr/>
  </w:style>
  <w:style w:type="character" w:styleId="WW8Num4z3">
    <w:name w:val="WW8Num4z3"/>
    <w:qFormat/>
    <w:rPr/>
  </w:style>
  <w:style w:type="character" w:styleId="WW8Num4z2">
    <w:name w:val="WW8Num4z2"/>
    <w:qFormat/>
    <w:rPr/>
  </w:style>
  <w:style w:type="character" w:styleId="WW8Num4z1">
    <w:name w:val="WW8Num4z1"/>
    <w:qFormat/>
    <w:rPr/>
  </w:style>
  <w:style w:type="character" w:styleId="WW8Num4z0">
    <w:name w:val="WW8Num4z0"/>
    <w:qFormat/>
    <w:rPr/>
  </w:style>
  <w:style w:type="character" w:styleId="WW8Num3z8">
    <w:name w:val="WW8Num3z8"/>
    <w:qFormat/>
    <w:rPr/>
  </w:style>
  <w:style w:type="character" w:styleId="WW8Num3z7">
    <w:name w:val="WW8Num3z7"/>
    <w:qFormat/>
    <w:rPr/>
  </w:style>
  <w:style w:type="character" w:styleId="WW8Num3z6">
    <w:name w:val="WW8Num3z6"/>
    <w:qFormat/>
    <w:rPr/>
  </w:style>
  <w:style w:type="character" w:styleId="WW8Num3z5">
    <w:name w:val="WW8Num3z5"/>
    <w:qFormat/>
    <w:rPr/>
  </w:style>
  <w:style w:type="character" w:styleId="WW8Num3z4">
    <w:name w:val="WW8Num3z4"/>
    <w:qFormat/>
    <w:rPr/>
  </w:style>
  <w:style w:type="character" w:styleId="WW8Num3z3">
    <w:name w:val="WW8Num3z3"/>
    <w:qFormat/>
    <w:rPr/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2z8">
    <w:name w:val="WW8Num2z8"/>
    <w:qFormat/>
    <w:rPr/>
  </w:style>
  <w:style w:type="character" w:styleId="WW8Num2z7">
    <w:name w:val="WW8Num2z7"/>
    <w:qFormat/>
    <w:rPr/>
  </w:style>
  <w:style w:type="character" w:styleId="WW8Num2z6">
    <w:name w:val="WW8Num2z6"/>
    <w:qFormat/>
    <w:rPr/>
  </w:style>
  <w:style w:type="character" w:styleId="WW8Num2z5">
    <w:name w:val="WW8Num2z5"/>
    <w:qFormat/>
    <w:rPr/>
  </w:style>
  <w:style w:type="character" w:styleId="WW8Num2z4">
    <w:name w:val="WW8Num2z4"/>
    <w:qFormat/>
    <w:rPr/>
  </w:style>
  <w:style w:type="character" w:styleId="WW8Num2z3">
    <w:name w:val="WW8Num2z3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1z8">
    <w:name w:val="WW8Num1z8"/>
    <w:qFormat/>
    <w:rPr/>
  </w:style>
  <w:style w:type="character" w:styleId="WW8Num1z7">
    <w:name w:val="WW8Num1z7"/>
    <w:qFormat/>
    <w:rPr/>
  </w:style>
  <w:style w:type="character" w:styleId="WW8Num1z6">
    <w:name w:val="WW8Num1z6"/>
    <w:qFormat/>
    <w:rPr/>
  </w:style>
  <w:style w:type="character" w:styleId="WW8Num1z5">
    <w:name w:val="WW8Num1z5"/>
    <w:qFormat/>
    <w:rPr/>
  </w:style>
  <w:style w:type="character" w:styleId="WW8Num1z4">
    <w:name w:val="WW8Num1z4"/>
    <w:qFormat/>
    <w:rPr/>
  </w:style>
  <w:style w:type="character" w:styleId="WW8Num1z3">
    <w:name w:val="WW8Num1z3"/>
    <w:qFormat/>
    <w:rPr/>
  </w:style>
  <w:style w:type="character" w:styleId="WW8Num1z1">
    <w:name w:val="WW8Num1z1"/>
    <w:qFormat/>
    <w:rPr>
      <w:rFonts w:ascii="Courier New" w:hAnsi="Courier New" w:cs="Courier New"/>
    </w:rPr>
  </w:style>
  <w:style w:type="character" w:styleId="Bold">
    <w:name w:val="Bold"/>
    <w:qFormat/>
    <w:rPr>
      <w:b/>
    </w:rPr>
  </w:style>
  <w:style w:type="character" w:styleId="C0">
    <w:name w:val="c0"/>
    <w:qFormat/>
    <w:rPr/>
  </w:style>
  <w:style w:type="character" w:styleId="Style18">
    <w:name w:val="Символ нумерации"/>
    <w:qFormat/>
    <w:rPr/>
  </w:style>
  <w:style w:type="character" w:styleId="Blk">
    <w:name w:val="blk"/>
    <w:basedOn w:val="Style17"/>
    <w:qFormat/>
    <w:rPr/>
  </w:style>
  <w:style w:type="character" w:styleId="Strong">
    <w:name w:val="Strong"/>
    <w:qFormat/>
    <w:rPr>
      <w:rFonts w:cs="Times New Roman"/>
      <w:b/>
      <w:bCs/>
    </w:rPr>
  </w:style>
  <w:style w:type="character" w:styleId="Style19">
    <w:name w:val="Маркеры"/>
    <w:qFormat/>
    <w:rPr>
      <w:rFonts w:ascii="OpenSymbol" w:hAnsi="OpenSymbol" w:eastAsia="OpenSymbol" w:cs="OpenSymbol"/>
    </w:rPr>
  </w:style>
  <w:style w:type="paragraph" w:styleId="Style20">
    <w:name w:val="Заголовок"/>
    <w:basedOn w:val="Normal"/>
    <w:next w:val="Style21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Style21">
    <w:name w:val="Body Text"/>
    <w:basedOn w:val="Normal"/>
    <w:uiPriority w:val="1"/>
    <w:qFormat/>
    <w:pPr/>
    <w:rPr>
      <w:sz w:val="24"/>
      <w:szCs w:val="24"/>
    </w:rPr>
  </w:style>
  <w:style w:type="paragraph" w:styleId="Style22">
    <w:name w:val="List"/>
    <w:basedOn w:val="Style21"/>
    <w:pPr/>
    <w:rPr>
      <w:rFonts w:cs="Mangal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Mangal"/>
    </w:rPr>
  </w:style>
  <w:style w:type="paragraph" w:styleId="Style25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tyle26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link w:val="22"/>
    <w:uiPriority w:val="29"/>
    <w:qFormat/>
    <w:pPr>
      <w:ind w:left="720" w:right="720" w:hanging="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 w:hanging="0"/>
    </w:pPr>
    <w:rPr>
      <w:i/>
    </w:rPr>
  </w:style>
  <w:style w:type="paragraph" w:styleId="Style27">
    <w:name w:val="Колонтитул"/>
    <w:basedOn w:val="Normal"/>
    <w:qFormat/>
    <w:pPr/>
    <w:rPr/>
  </w:style>
  <w:style w:type="paragraph" w:styleId="Style28">
    <w:name w:val="Head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</w:pPr>
    <w:rPr/>
  </w:style>
  <w:style w:type="paragraph" w:styleId="Style29">
    <w:name w:val="Foot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</w:pPr>
    <w:rPr/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val="4F81BD" w:themeColor="accent1"/>
      <w:sz w:val="18"/>
      <w:szCs w:val="18"/>
    </w:rPr>
  </w:style>
  <w:style w:type="paragraph" w:styleId="Style30">
    <w:name w:val="Footnote Text"/>
    <w:basedOn w:val="Normal"/>
    <w:uiPriority w:val="99"/>
    <w:semiHidden/>
    <w:unhideWhenUsed/>
    <w:pPr>
      <w:spacing w:before="0" w:after="40"/>
    </w:pPr>
    <w:rPr>
      <w:sz w:val="18"/>
    </w:rPr>
  </w:style>
  <w:style w:type="paragraph" w:styleId="Style31">
    <w:name w:val="Endnote Text"/>
    <w:basedOn w:val="Normal"/>
    <w:uiPriority w:val="99"/>
    <w:semiHidden/>
    <w:unhideWhenUsed/>
    <w:pPr/>
    <w:rPr>
      <w:sz w:val="20"/>
    </w:rPr>
  </w:style>
  <w:style w:type="paragraph" w:styleId="13">
    <w:name w:val="TOC 1"/>
    <w:basedOn w:val="Normal"/>
    <w:uiPriority w:val="39"/>
    <w:unhideWhenUsed/>
    <w:pPr>
      <w:spacing w:before="0" w:after="57"/>
    </w:pPr>
    <w:rPr/>
  </w:style>
  <w:style w:type="paragraph" w:styleId="24">
    <w:name w:val="TOC 2"/>
    <w:basedOn w:val="Normal"/>
    <w:uiPriority w:val="39"/>
    <w:unhideWhenUsed/>
    <w:pPr>
      <w:spacing w:before="0" w:after="57"/>
      <w:ind w:left="283" w:right="0" w:hanging="0"/>
    </w:pPr>
    <w:rPr/>
  </w:style>
  <w:style w:type="paragraph" w:styleId="32">
    <w:name w:val="TOC 3"/>
    <w:basedOn w:val="Normal"/>
    <w:uiPriority w:val="39"/>
    <w:unhideWhenUsed/>
    <w:pPr>
      <w:spacing w:before="0" w:after="57"/>
      <w:ind w:left="567" w:right="0" w:hanging="0"/>
    </w:pPr>
    <w:rPr/>
  </w:style>
  <w:style w:type="paragraph" w:styleId="42">
    <w:name w:val="TOC 4"/>
    <w:basedOn w:val="Normal"/>
    <w:uiPriority w:val="39"/>
    <w:unhideWhenUsed/>
    <w:pPr>
      <w:spacing w:before="0" w:after="57"/>
      <w:ind w:left="850" w:right="0" w:hanging="0"/>
    </w:pPr>
    <w:rPr/>
  </w:style>
  <w:style w:type="paragraph" w:styleId="52">
    <w:name w:val="TOC 5"/>
    <w:basedOn w:val="Normal"/>
    <w:uiPriority w:val="39"/>
    <w:unhideWhenUsed/>
    <w:pPr>
      <w:spacing w:before="0" w:after="57"/>
      <w:ind w:left="1134" w:right="0" w:hanging="0"/>
    </w:pPr>
    <w:rPr/>
  </w:style>
  <w:style w:type="paragraph" w:styleId="62">
    <w:name w:val="TOC 6"/>
    <w:basedOn w:val="Normal"/>
    <w:uiPriority w:val="39"/>
    <w:unhideWhenUsed/>
    <w:pPr>
      <w:spacing w:before="0" w:after="57"/>
      <w:ind w:left="1417" w:right="0" w:hanging="0"/>
    </w:pPr>
    <w:rPr/>
  </w:style>
  <w:style w:type="paragraph" w:styleId="72">
    <w:name w:val="TOC 7"/>
    <w:basedOn w:val="Normal"/>
    <w:uiPriority w:val="39"/>
    <w:unhideWhenUsed/>
    <w:pPr>
      <w:spacing w:before="0" w:after="57"/>
      <w:ind w:left="1701" w:right="0" w:hanging="0"/>
    </w:pPr>
    <w:rPr/>
  </w:style>
  <w:style w:type="paragraph" w:styleId="82">
    <w:name w:val="TOC 8"/>
    <w:basedOn w:val="Normal"/>
    <w:uiPriority w:val="39"/>
    <w:unhideWhenUsed/>
    <w:pPr>
      <w:spacing w:before="0" w:after="57"/>
      <w:ind w:left="1984" w:right="0" w:hanging="0"/>
    </w:pPr>
    <w:rPr/>
  </w:style>
  <w:style w:type="paragraph" w:styleId="92">
    <w:name w:val="TOC 9"/>
    <w:basedOn w:val="Normal"/>
    <w:uiPriority w:val="39"/>
    <w:unhideWhenUsed/>
    <w:pPr>
      <w:spacing w:before="0" w:after="57"/>
      <w:ind w:left="2268" w:right="0" w:hanging="0"/>
    </w:pPr>
    <w:rPr/>
  </w:style>
  <w:style w:type="paragraph" w:styleId="Style32">
    <w:name w:val="Index Heading"/>
    <w:basedOn w:val="Style20"/>
    <w:pPr/>
    <w:rPr/>
  </w:style>
  <w:style w:type="paragraph" w:styleId="Style33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en-US" w:bidi="ar-SA"/>
    </w:rPr>
  </w:style>
  <w:style w:type="paragraph" w:styleId="Tableoffigures">
    <w:name w:val="table of figures"/>
    <w:basedOn w:val="Normal"/>
    <w:uiPriority w:val="99"/>
    <w:unhideWhenUsed/>
    <w:qFormat/>
    <w:pPr/>
    <w:rPr/>
  </w:style>
  <w:style w:type="paragraph" w:styleId="ListParagraph">
    <w:name w:val="List Paragraph"/>
    <w:basedOn w:val="Normal"/>
    <w:uiPriority w:val="1"/>
    <w:qFormat/>
    <w:pPr>
      <w:ind w:left="118" w:right="108" w:hanging="0"/>
      <w:jc w:val="both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0"/>
      <w:szCs w:val="20"/>
      <w:lang w:val="ru-RU" w:eastAsia="ru-RU" w:bidi="ar-SA"/>
    </w:rPr>
  </w:style>
  <w:style w:type="paragraph" w:styleId="Style34">
    <w:name w:val="Содержимое таблицы"/>
    <w:basedOn w:val="Normal"/>
    <w:qFormat/>
    <w:pPr>
      <w:widowControl w:val="false"/>
      <w:suppressLineNumbers/>
    </w:pPr>
    <w:rPr/>
  </w:style>
  <w:style w:type="paragraph" w:styleId="Style35">
    <w:name w:val="Заголовок таблицы"/>
    <w:basedOn w:val="Style34"/>
    <w:qFormat/>
    <w:pPr>
      <w:suppressLineNumbers/>
      <w:jc w:val="center"/>
    </w:pPr>
    <w:rPr>
      <w:b/>
      <w:bCs/>
    </w:rPr>
  </w:style>
  <w:style w:type="paragraph" w:styleId="Standard">
    <w:name w:val="Standard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Andale Sans UI" w:cs="Tahoma"/>
      <w:color w:val="auto"/>
      <w:kern w:val="2"/>
      <w:sz w:val="24"/>
      <w:szCs w:val="24"/>
      <w:lang w:val="de-DE" w:eastAsia="zh-CN" w:bidi="fa-IR"/>
    </w:rPr>
  </w:style>
  <w:style w:type="paragraph" w:styleId="Style111">
    <w:name w:val="Style11"/>
    <w:basedOn w:val="Normal"/>
    <w:next w:val="Normal"/>
    <w:qFormat/>
    <w:pPr/>
    <w:rPr/>
  </w:style>
  <w:style w:type="paragraph" w:styleId="311">
    <w:name w:val="Основной текст с отступом 31"/>
    <w:basedOn w:val="Normal"/>
    <w:qFormat/>
    <w:pPr>
      <w:spacing w:before="0" w:after="120"/>
      <w:ind w:left="283" w:right="0" w:hanging="0"/>
    </w:pPr>
    <w:rPr>
      <w:sz w:val="16"/>
      <w:szCs w:val="16"/>
    </w:rPr>
  </w:style>
  <w:style w:type="paragraph" w:styleId="Style36">
    <w:name w:val="Абзац списка"/>
    <w:basedOn w:val="Normal"/>
    <w:qFormat/>
    <w:pPr>
      <w:spacing w:lineRule="auto" w:line="240" w:before="0" w:after="0"/>
      <w:ind w:left="720" w:right="0" w:hanging="0"/>
    </w:pPr>
    <w:rPr>
      <w:rFonts w:ascii="Times New Roman" w:hAnsi="Times New Roman" w:cs="Times New Roman"/>
    </w:rPr>
  </w:style>
  <w:style w:type="paragraph" w:styleId="14">
    <w:name w:val="Текст1"/>
    <w:basedOn w:val="Normal"/>
    <w:qFormat/>
    <w:pPr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Style37">
    <w:name w:val="Style3"/>
    <w:basedOn w:val="Normal"/>
    <w:next w:val="Normal"/>
    <w:qFormat/>
    <w:pPr/>
    <w:rPr/>
  </w:style>
  <w:style w:type="paragraph" w:styleId="Style61">
    <w:name w:val="Style6"/>
    <w:basedOn w:val="Normal"/>
    <w:next w:val="Normal"/>
    <w:qFormat/>
    <w:pPr/>
    <w:rPr/>
  </w:style>
  <w:style w:type="paragraph" w:styleId="Style41">
    <w:name w:val="Style4"/>
    <w:basedOn w:val="Normal"/>
    <w:next w:val="Normal"/>
    <w:qFormat/>
    <w:pPr/>
    <w:rPr/>
  </w:style>
  <w:style w:type="paragraph" w:styleId="Style51">
    <w:name w:val="Style5"/>
    <w:basedOn w:val="Normal"/>
    <w:next w:val="Normal"/>
    <w:qFormat/>
    <w:pPr/>
    <w:rPr/>
  </w:style>
  <w:style w:type="paragraph" w:styleId="Style210">
    <w:name w:val="Style2"/>
    <w:basedOn w:val="Normal"/>
    <w:next w:val="Normal"/>
    <w:qFormat/>
    <w:pPr/>
    <w:rPr/>
  </w:style>
  <w:style w:type="paragraph" w:styleId="HTMLPreformatted">
    <w:name w:val="HTML Preformatted"/>
    <w:basedOn w:val="Norma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textAlignment w:val="baseline"/>
    </w:pPr>
    <w:rPr>
      <w:rFonts w:ascii="Courier New" w:hAnsi="Courier New" w:cs="Courier New"/>
      <w:color w:val="000000"/>
      <w:sz w:val="20"/>
      <w:szCs w:val="20"/>
    </w:rPr>
  </w:style>
  <w:style w:type="paragraph" w:styleId="Style201">
    <w:name w:val="Style20"/>
    <w:basedOn w:val="Normal"/>
    <w:next w:val="Normal"/>
    <w:qFormat/>
    <w:pPr>
      <w:widowControl w:val="false"/>
      <w:suppressAutoHyphens w:val="true"/>
    </w:pPr>
    <w:rPr/>
  </w:style>
  <w:style w:type="paragraph" w:styleId="Style38">
    <w:name w:val="Верхний и нижний колонтитулы"/>
    <w:basedOn w:val="Normal"/>
    <w:qFormat/>
    <w:pPr>
      <w:tabs>
        <w:tab w:val="clear" w:pos="720"/>
        <w:tab w:val="center" w:pos="4819" w:leader="none"/>
        <w:tab w:val="right" w:pos="9638" w:leader="none"/>
      </w:tabs>
    </w:pPr>
    <w:rPr/>
  </w:style>
  <w:style w:type="paragraph" w:styleId="211">
    <w:name w:val="Основной текст с отступом 21"/>
    <w:basedOn w:val="Normal"/>
    <w:qFormat/>
    <w:pPr>
      <w:tabs>
        <w:tab w:val="clear" w:pos="720"/>
        <w:tab w:val="left" w:pos="1134" w:leader="none"/>
      </w:tabs>
      <w:ind w:left="0" w:right="0" w:firstLine="1140"/>
      <w:jc w:val="both"/>
    </w:pPr>
    <w:rPr>
      <w:sz w:val="22"/>
      <w:szCs w:val="20"/>
    </w:rPr>
  </w:style>
  <w:style w:type="paragraph" w:styleId="15">
    <w:name w:val="Указатель1"/>
    <w:basedOn w:val="Normal"/>
    <w:qFormat/>
    <w:pPr/>
    <w:rPr>
      <w:rFonts w:cs="Mangal"/>
    </w:rPr>
  </w:style>
  <w:style w:type="paragraph" w:styleId="16">
    <w:name w:val="Название1"/>
    <w:basedOn w:val="Normal"/>
    <w:qFormat/>
    <w:pPr>
      <w:spacing w:before="120" w:after="120"/>
    </w:pPr>
    <w:rPr>
      <w:rFonts w:cs="Mangal"/>
      <w:i/>
      <w:iCs/>
    </w:rPr>
  </w:style>
  <w:style w:type="paragraph" w:styleId="25">
    <w:name w:val="Указатель2"/>
    <w:basedOn w:val="Normal"/>
    <w:qFormat/>
    <w:pPr/>
    <w:rPr>
      <w:rFonts w:cs="Mangal"/>
    </w:rPr>
  </w:style>
  <w:style w:type="paragraph" w:styleId="26">
    <w:name w:val="Название2"/>
    <w:basedOn w:val="Normal"/>
    <w:qFormat/>
    <w:pPr>
      <w:spacing w:before="120" w:after="120"/>
    </w:pPr>
    <w:rPr>
      <w:rFonts w:cs="Mangal"/>
      <w:i/>
      <w:iCs/>
    </w:rPr>
  </w:style>
  <w:style w:type="paragraph" w:styleId="Style39">
    <w:name w:val="Body Text Indent"/>
    <w:basedOn w:val="Normal"/>
    <w:pPr>
      <w:spacing w:lineRule="auto" w:line="240" w:before="0" w:after="0"/>
      <w:ind w:left="0" w:right="0" w:firstLine="397"/>
      <w:jc w:val="both"/>
    </w:pPr>
    <w:rPr>
      <w:rFonts w:ascii="Times New Roman" w:hAnsi="Times New Roman" w:cs="Times New Roman"/>
      <w:sz w:val="24"/>
      <w:szCs w:val="24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2"/>
      <w:sz w:val="24"/>
      <w:szCs w:val="24"/>
      <w:lang w:val="ru-RU" w:eastAsia="zh-CN" w:bidi="ar-SA"/>
    </w:rPr>
  </w:style>
  <w:style w:type="paragraph" w:styleId="FORMATTEXT">
    <w:name w:val=".FORMATTEXT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Arial" w:hAnsi="Arial" w:eastAsia="Courier New" w:cs="Lucida Sans"/>
      <w:color w:val="auto"/>
      <w:kern w:val="0"/>
      <w:sz w:val="20"/>
      <w:szCs w:val="24"/>
      <w:lang w:val="ru-RU" w:eastAsia="zh-CN" w:bidi="hi-IN"/>
    </w:rPr>
  </w:style>
  <w:style w:type="paragraph" w:styleId="Style40">
    <w:name w:val="[Без стиля]"/>
    <w:qFormat/>
    <w:pPr>
      <w:widowControl/>
      <w:suppressAutoHyphens w:val="true"/>
      <w:overflowPunct w:val="true"/>
      <w:bidi w:val="0"/>
      <w:spacing w:lineRule="auto" w:line="288" w:before="0" w:after="0"/>
      <w:jc w:val="left"/>
      <w:textAlignment w:val="center"/>
    </w:pPr>
    <w:rPr>
      <w:rFonts w:ascii="Times New Roman" w:hAnsi="Times New Roman" w:eastAsia="Symbol" w:cs="Times New Roman"/>
      <w:color w:val="000000"/>
      <w:kern w:val="0"/>
      <w:sz w:val="24"/>
      <w:szCs w:val="24"/>
      <w:lang w:val="en-US" w:eastAsia="en-US" w:bidi="ar-SA"/>
    </w:rPr>
  </w:style>
  <w:style w:type="paragraph" w:styleId="17PRILtxt">
    <w:name w:val="17PRIL-txt"/>
    <w:basedOn w:val="Style40"/>
    <w:qFormat/>
    <w:pPr>
      <w:tabs>
        <w:tab w:val="clear" w:pos="720"/>
        <w:tab w:val="center" w:pos="4791" w:leader="none"/>
      </w:tabs>
      <w:spacing w:lineRule="atLeast" w:line="380" w:before="0" w:after="0"/>
      <w:ind w:left="567" w:right="567" w:firstLine="283"/>
      <w:jc w:val="both"/>
      <w:textAlignment w:val="center"/>
    </w:pPr>
    <w:rPr>
      <w:rFonts w:ascii="TextBookC" w:hAnsi="TextBookC" w:cs="TextBookC"/>
      <w:color w:val="000000"/>
      <w:sz w:val="20"/>
      <w:szCs w:val="20"/>
    </w:rPr>
  </w:style>
  <w:style w:type="paragraph" w:styleId="Norm">
    <w:name w:val="Norm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paragraph" w:styleId="27">
    <w:name w:val="Основной текст (2)"/>
    <w:basedOn w:val="Normal"/>
    <w:qFormat/>
    <w:pPr>
      <w:widowControl w:val="false"/>
      <w:shd w:val="clear" w:fill="FFFFFF"/>
      <w:spacing w:lineRule="exact" w:line="259" w:before="2100" w:after="0"/>
      <w:jc w:val="center"/>
    </w:pPr>
    <w:rPr>
      <w:sz w:val="21"/>
      <w:szCs w:val="21"/>
      <w:shd w:fill="FFFFFF" w:val="clear"/>
      <w:lang w:val="ru-RU" w:eastAsia="ru-RU"/>
    </w:rPr>
  </w:style>
  <w:style w:type="paragraph" w:styleId="Style42">
    <w:name w:val="Обычный (веб)"/>
    <w:basedOn w:val="Normal"/>
    <w:qFormat/>
    <w:pPr>
      <w:spacing w:before="280" w:after="28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Таблица простая 11"/>
    <w:basedOn w:val="a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tblPr/>
      <w:tcPr>
        <w:shd w:val="clear" w:color="FFFFFF" w:fill="F2F2F2" w:themeFill="text1" w:themeFillTint="d"/>
      </w:tcPr>
    </w:tblStylePr>
    <w:tblStylePr w:type="band1Horz">
      <w:tblPr/>
      <w:tcPr>
        <w:shd w:val="clear" w:color="FFFFFF" w:fill="F2F2F2" w:themeFill="text1" w:themeFillTint="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color w:val="404040"/>
        <w:sz w:val="22"/>
      </w:rPr>
      <w:tblPr/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97B4D8" w:themeColor="accent1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B7CBE4" w:themeColor="accent1" w:sz="4" w:space="0"/>
          <w:left w:val="single" w:color="B7CBE4" w:themeColor="accent1" w:sz="4" w:space="0"/>
          <w:bottom w:val="single" w:color="B7CBE4" w:themeColor="accent1" w:sz="4" w:space="0"/>
          <w:right w:val="single" w:color="B7CBE4" w:themeColor="accent1" w:sz="4" w:space="0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DA9896" w:themeColor="accent2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E5B7B6" w:themeColor="accent2" w:sz="4" w:space="0"/>
          <w:left w:val="single" w:color="E5B7B6" w:themeColor="accent2" w:sz="4" w:space="0"/>
          <w:bottom w:val="single" w:color="E5B7B6" w:themeColor="accent2" w:sz="4" w:space="0"/>
          <w:right w:val="single" w:color="E5B7B6" w:themeColor="accent2" w:sz="4" w:space="0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C4D79D" w:themeColor="accent3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D6E3BB" w:themeColor="accent3" w:sz="4" w:space="0"/>
          <w:left w:val="single" w:color="D6E3BB" w:themeColor="accent3" w:sz="4" w:space="0"/>
          <w:bottom w:val="single" w:color="D6E3BB" w:themeColor="accent3" w:sz="4" w:space="0"/>
          <w:right w:val="single" w:color="D6E3BB" w:themeColor="accent3" w:sz="4" w:space="0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B4A4C8" w:themeColor="accent4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CBC0D9" w:themeColor="accent4" w:sz="4" w:space="0"/>
          <w:left w:val="single" w:color="CBC0D9" w:themeColor="accent4" w:sz="4" w:space="0"/>
          <w:bottom w:val="single" w:color="CBC0D9" w:themeColor="accent4" w:sz="4" w:space="0"/>
          <w:right w:val="single" w:color="CBC0D9" w:themeColor="accent4" w:sz="4" w:space="0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95CEDD" w:themeColor="accent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B6DDE8" w:themeColor="accent5" w:sz="4" w:space="0"/>
          <w:left w:val="single" w:color="B6DDE8" w:themeColor="accent5" w:sz="4" w:space="0"/>
          <w:bottom w:val="single" w:color="B6DDE8" w:themeColor="accent5" w:sz="4" w:space="0"/>
          <w:right w:val="single" w:color="B6DDE8" w:themeColor="accent5" w:sz="4" w:space="0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color="FAC192" w:themeColor="accent6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FBD4B4" w:themeColor="accent6" w:sz="4" w:space="0"/>
          <w:left w:val="single" w:color="FBD4B4" w:themeColor="accent6" w:sz="4" w:space="0"/>
          <w:bottom w:val="single" w:color="FBD4B4" w:themeColor="accent6" w:sz="4" w:space="0"/>
          <w:right w:val="single" w:color="FBD4B4" w:themeColor="accent6" w:sz="4" w:space="0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D8AC2" w:themeColor="accent1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D99695" w:themeColor="accent2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9ABB59" w:themeColor="accent3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B2A1C6" w:themeColor="accent4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FFFFFF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5D8AC2" w:themeColor="accent1" w:sz="4" w:space="0"/>
          <w:left w:val="single" w:color="5D8AC2" w:themeColor="accent1" w:sz="4" w:space="0"/>
          <w:bottom w:val="single" w:color="5D8AC2" w:themeColor="accent1" w:sz="4" w:space="0"/>
          <w:right w:val="single" w:color="5D8AC2" w:themeColor="accent1" w:sz="4" w:space="0"/>
        </w:tcBorders>
        <w:shd w:val="clear" w:color="FFFFFF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color w:val="404040"/>
        <w:sz w:val="22"/>
      </w:rPr>
      <w:tblPr/>
      <w:tcPr>
        <w:shd w:val="clear" w:color="FFFFFF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D99695" w:themeColor="accent2" w:sz="4" w:space="0"/>
          <w:left w:val="single" w:color="D99695" w:themeColor="accent2" w:sz="4" w:space="0"/>
          <w:bottom w:val="single" w:color="D99695" w:themeColor="accent2" w:sz="4" w:space="0"/>
          <w:right w:val="single" w:color="D99695" w:themeColor="accent2" w:sz="4" w:space="0"/>
        </w:tcBorders>
        <w:shd w:val="clear" w:color="FFFFFF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9ABB59" w:themeColor="accent3" w:sz="4" w:space="0"/>
          <w:left w:val="single" w:color="9ABB59" w:themeColor="accent3" w:sz="4" w:space="0"/>
          <w:bottom w:val="single" w:color="9ABB59" w:themeColor="accent3" w:sz="4" w:space="0"/>
          <w:right w:val="single" w:color="9ABB59" w:themeColor="accent3" w:sz="4" w:space="0"/>
        </w:tcBorders>
        <w:shd w:val="clear" w:color="FFFFFF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B2A1C6" w:themeColor="accent4" w:sz="4" w:space="0"/>
          <w:left w:val="single" w:color="B2A1C6" w:themeColor="accent4" w:sz="4" w:space="0"/>
          <w:bottom w:val="single" w:color="B2A1C6" w:themeColor="accent4" w:sz="4" w:space="0"/>
          <w:right w:val="single" w:color="B2A1C6" w:themeColor="accent4" w:sz="4" w:space="0"/>
        </w:tcBorders>
        <w:shd w:val="clear" w:color="FFFFFF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FFFFFF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FFFFF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000000" w:themeFill="text1"/>
      </w:tcPr>
    </w:tblStylePr>
    <w:tblStylePr w:type="firstCol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4F81BD" w:themeFill="accent1"/>
      </w:tcPr>
    </w:tblStylePr>
    <w:tblStylePr w:type="firstCol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Col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C0504D" w:themeFill="accent2"/>
      </w:tcPr>
    </w:tblStylePr>
    <w:tblStylePr w:type="firstCol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Col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9BBB59" w:themeFill="accent3"/>
      </w:tcPr>
    </w:tblStylePr>
    <w:tblStylePr w:type="firstCol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Col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8064A2" w:themeFill="accent4"/>
      </w:tcPr>
    </w:tblStylePr>
    <w:tblStylePr w:type="firstCol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Col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4BACC6" w:themeFill="accent5"/>
      </w:tcPr>
    </w:tblStylePr>
    <w:tblStylePr w:type="firstCol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Col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FFFF" w:fill="F79646" w:themeFill="accent6"/>
      </w:tcPr>
    </w:tblStylePr>
    <w:tblStylePr w:type="firstCol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Col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color="A6BFDD" w:themeColor="accent1" w:sz="12" w:space="0"/>
        </w:tcBorders>
      </w:tcPr>
    </w:tblStylePr>
    <w:tblStylePr w:type="lastRow">
      <w:rPr>
        <w:b/>
        <w:color w:val="A6BFDD" w:themeColor="accent1" w:themeTint="80" w:themeShade="95"/>
      </w:rPr>
      <w:tblPr/>
    </w:tblStylePr>
    <w:tblStylePr w:type="firstCol">
      <w:rPr>
        <w:b/>
        <w:color w:val="A6BFDD" w:themeColor="accent1" w:themeTint="80" w:themeShade="95"/>
      </w:rPr>
      <w:tblPr/>
    </w:tblStylePr>
    <w:tblStylePr w:type="lastCol">
      <w:rPr>
        <w:b/>
        <w:color w:val="A6BFDD" w:themeColor="accent1" w:themeTint="80" w:themeShade="95"/>
      </w:rPr>
      <w:tblPr/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sz="12" w:space="0"/>
        </w:tcBorders>
      </w:tcPr>
    </w:tblStylePr>
    <w:tblStylePr w:type="lastRow">
      <w:rPr>
        <w:b/>
        <w:color w:val="D99695" w:themeColor="accent2" w:themeTint="97" w:themeShade="95"/>
      </w:rPr>
      <w:tblPr/>
    </w:tblStylePr>
    <w:tblStylePr w:type="firstCol">
      <w:rPr>
        <w:b/>
        <w:color w:val="D99695" w:themeColor="accent2" w:themeTint="97" w:themeShade="95"/>
      </w:rPr>
      <w:tblPr/>
    </w:tblStylePr>
    <w:tblStylePr w:type="lastCol">
      <w:rPr>
        <w:b/>
        <w:color w:val="D99695" w:themeColor="accent2" w:themeTint="97" w:themeShade="95"/>
      </w:rPr>
      <w:tblPr/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color="9ABB59" w:themeColor="accent3" w:sz="12" w:space="0"/>
        </w:tcBorders>
      </w:tcPr>
    </w:tblStylePr>
    <w:tblStylePr w:type="lastRow">
      <w:rPr>
        <w:b/>
        <w:color w:val="9ABB59" w:themeColor="accent3" w:themeTint="fe" w:themeShade="95"/>
      </w:rPr>
      <w:tblPr/>
    </w:tblStylePr>
    <w:tblStylePr w:type="firstCol">
      <w:rPr>
        <w:b/>
        <w:color w:val="9ABB59" w:themeColor="accent3" w:themeTint="fe" w:themeShade="95"/>
      </w:rPr>
      <w:tblPr/>
    </w:tblStylePr>
    <w:tblStylePr w:type="lastCol">
      <w:rPr>
        <w:b/>
        <w:color w:val="9ABB59" w:themeColor="accent3" w:themeTint="fe" w:themeShade="95"/>
      </w:rPr>
      <w:tblPr/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sz="12" w:space="0"/>
        </w:tcBorders>
      </w:tcPr>
    </w:tblStylePr>
    <w:tblStylePr w:type="lastRow">
      <w:rPr>
        <w:b/>
        <w:color w:val="B2A1C6" w:themeColor="accent4" w:themeTint="9a" w:themeShade="95"/>
      </w:rPr>
      <w:tblPr/>
    </w:tblStylePr>
    <w:tblStylePr w:type="firstCol">
      <w:rPr>
        <w:b/>
        <w:color w:val="B2A1C6" w:themeColor="accent4" w:themeTint="9a" w:themeShade="95"/>
      </w:rPr>
      <w:tblPr/>
    </w:tblStylePr>
    <w:tblStylePr w:type="lastCol">
      <w:rPr>
        <w:b/>
        <w:color w:val="B2A1C6" w:themeColor="accent4" w:themeTint="9a" w:themeShade="95"/>
      </w:rPr>
      <w:tblPr/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sz="4" w:space="0"/>
        </w:tcBorders>
        <w:shd w:val="clear" w:color="FFFFFF" w:fill="FFFFFF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6BFDD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color="A6BFDD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6BFDD" w:themeColor="accent1" w:sz="4" w:space="0"/>
        </w:tcBorders>
        <w:shd w:val="clear" w:color="FFFFFF" w:fill="FFFFFF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single" w:color="A6BFDD" w:themeColor="accent1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color="D99695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sz="4" w:space="0"/>
        </w:tcBorders>
        <w:shd w:val="clear" w:color="FFFFFF" w:fill="FFFFFF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ABB59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color="9ABB59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ABB59" w:themeColor="accent3" w:sz="4" w:space="0"/>
        </w:tcBorders>
        <w:shd w:val="clear" w:color="FFFFFF" w:fill="FFFFFF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single" w:color="9ABB59" w:themeColor="accent3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color="B2A1C6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sz="4" w:space="0"/>
        </w:tcBorders>
        <w:shd w:val="clear" w:color="FFFFFF" w:fill="FFFFFF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9D0DE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color="99D0DE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9D0DE" w:themeColor="accent5" w:sz="4" w:space="0"/>
        </w:tcBorders>
        <w:shd w:val="clear" w:color="FFFFFF" w:fill="FFFFFF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single" w:color="99D0DE" w:themeColor="accent5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396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color="FAC396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396" w:themeColor="accent6" w:sz="4" w:space="0"/>
        </w:tcBorders>
        <w:shd w:val="clear" w:color="FFFFFF" w:fill="FFFFFF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single" w:color="FAC396" w:themeColor="accent6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val="B15407" w:themeColor="accent6" w:themeShade="95"/>
        <w:sz w:val="22"/>
      </w:rPr>
      <w:tblPr/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9BB7D9" w:themeColor="accent1" w:sz="4" w:space="0"/>
          <w:left w:val="none" w:color="000000" w:sz="4" w:space="0"/>
          <w:bottom w:val="single" w:color="9BB7D9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9BB7D9" w:themeColor="accent1" w:sz="4" w:space="0"/>
          <w:left w:val="none" w:color="000000" w:sz="4" w:space="0"/>
          <w:bottom w:val="single" w:color="9BB7D9" w:themeColor="accent1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DB9B9A" w:themeColor="accent2" w:sz="4" w:space="0"/>
          <w:left w:val="none" w:color="000000" w:sz="4" w:space="0"/>
          <w:bottom w:val="single" w:color="DB9B9A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DB9B9A" w:themeColor="accent2" w:sz="4" w:space="0"/>
          <w:left w:val="none" w:color="000000" w:sz="4" w:space="0"/>
          <w:bottom w:val="single" w:color="DB9B9A" w:themeColor="accent2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C6D8A1" w:themeColor="accent3" w:sz="4" w:space="0"/>
          <w:left w:val="none" w:color="000000" w:sz="4" w:space="0"/>
          <w:bottom w:val="single" w:color="C6D8A1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C6D8A1" w:themeColor="accent3" w:sz="4" w:space="0"/>
          <w:left w:val="none" w:color="000000" w:sz="4" w:space="0"/>
          <w:bottom w:val="single" w:color="C6D8A1" w:themeColor="accent3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B7A7CA" w:themeColor="accent4" w:sz="4" w:space="0"/>
          <w:left w:val="none" w:color="000000" w:sz="4" w:space="0"/>
          <w:bottom w:val="single" w:color="B7A7CA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B7A7CA" w:themeColor="accent4" w:sz="4" w:space="0"/>
          <w:left w:val="none" w:color="000000" w:sz="4" w:space="0"/>
          <w:bottom w:val="single" w:color="B7A7CA" w:themeColor="accent4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99D0DE" w:themeColor="accent5" w:sz="4" w:space="0"/>
          <w:left w:val="none" w:color="000000" w:sz="4" w:space="0"/>
          <w:bottom w:val="single" w:color="99D0DE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99D0DE" w:themeColor="accent5" w:sz="4" w:space="0"/>
          <w:left w:val="none" w:color="000000" w:sz="4" w:space="0"/>
          <w:bottom w:val="single" w:color="99D0DE" w:themeColor="accent5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  <w:sz w:val="22"/>
      </w:rPr>
      <w:tblPr/>
      <w:tcPr>
        <w:tcBorders>
          <w:top w:val="single" w:color="FAC396" w:themeColor="accent6" w:sz="4" w:space="0"/>
          <w:left w:val="none" w:color="000000" w:sz="4" w:space="0"/>
          <w:bottom w:val="single" w:color="FAC396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FAC396" w:themeColor="accent6" w:sz="4" w:space="0"/>
          <w:left w:val="none" w:color="000000" w:sz="4" w:space="0"/>
          <w:bottom w:val="single" w:color="FAC396" w:themeColor="accent6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FFFFF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D99695" w:themeColor="accent2" w:sz="4" w:space="0"/>
          <w:right w:val="single" w:color="D99695" w:themeColor="accent2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D99695" w:themeColor="accent2" w:sz="4" w:space="0"/>
          <w:bottom w:val="single" w:color="D99695" w:themeColor="accent2" w:sz="4" w:space="0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C3D69B" w:themeColor="accent3" w:sz="4" w:space="0"/>
          <w:right w:val="single" w:color="C3D69B" w:themeColor="accent3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C3D69B" w:themeColor="accent3" w:sz="4" w:space="0"/>
          <w:bottom w:val="single" w:color="C3D69B" w:themeColor="accent3" w:sz="4" w:space="0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B2A1C6" w:themeColor="accent4" w:sz="4" w:space="0"/>
          <w:right w:val="single" w:color="B2A1C6" w:themeColor="accent4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B2A1C6" w:themeColor="accent4" w:sz="4" w:space="0"/>
          <w:bottom w:val="single" w:color="B2A1C6" w:themeColor="accent4" w:sz="4" w:space="0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92CCDC" w:themeColor="accent5" w:sz="4" w:space="0"/>
          <w:right w:val="single" w:color="92CCDC" w:themeColor="accent5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92CCDC" w:themeColor="accent5" w:sz="4" w:space="0"/>
          <w:bottom w:val="single" w:color="92CCDC" w:themeColor="accent5" w:sz="4" w:space="0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FAC090" w:themeColor="accent6" w:sz="4" w:space="0"/>
          <w:right w:val="single" w:color="FAC090" w:themeColor="accent6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AC090" w:themeColor="accent6" w:sz="4" w:space="0"/>
          <w:bottom w:val="single" w:color="FAC090" w:themeColor="accent6" w:sz="4" w:space="0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FFFFFF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FFFFF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FFFFFF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FFFF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FFFFFF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  <w:sz w:val="22"/>
      </w:rPr>
      <w:tblPr/>
      <w:tcPr>
        <w:shd w:val="clear" w:color="FFFFFF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FFFFF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FFFFFF" w:fill="4F81BD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D99695" w:themeColor="accent2" w:sz="32" w:space="0"/>
          <w:bottom w:val="single" w:color="FFFFFF" w:themeColor="light1" w:sz="12" w:space="0"/>
        </w:tcBorders>
        <w:shd w:val="clear" w:color="FFFFFF" w:fill="D99695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D99695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695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C3D69B" w:themeColor="accent3" w:sz="32" w:space="0"/>
          <w:bottom w:val="single" w:color="FFFFFF" w:themeColor="light1" w:sz="12" w:space="0"/>
        </w:tcBorders>
        <w:shd w:val="clear" w:color="FFFFFF" w:fill="C3D69B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3D69B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B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B2A1C6" w:themeColor="accent4" w:sz="32" w:space="0"/>
          <w:bottom w:val="single" w:color="FFFFFF" w:themeColor="light1" w:sz="12" w:space="0"/>
        </w:tcBorders>
        <w:shd w:val="clear" w:color="FFFFFF" w:fill="B2A1C6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B2A1C6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92CCDC" w:themeColor="accent5" w:sz="32" w:space="0"/>
          <w:bottom w:val="single" w:color="FFFFFF" w:themeColor="light1" w:sz="12" w:space="0"/>
        </w:tcBorders>
        <w:shd w:val="clear" w:color="FFFFFF" w:fill="92CCDC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92CCDC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 w:themeColor="light1"/>
        <w:sz w:val="22"/>
      </w:rPr>
      <w:tblPr/>
      <w:tcPr>
        <w:tcBorders>
          <w:top w:val="single" w:color="FAC090" w:themeColor="accent6" w:sz="32" w:space="0"/>
          <w:bottom w:val="single" w:color="FFFFFF" w:themeColor="light1" w:sz="12" w:space="0"/>
        </w:tcBorders>
        <w:shd w:val="clear" w:color="FFFFFF" w:fill="FAC090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AC090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1" w:themeColor="accent1" w:themeShade="95"/>
      </w:rPr>
      <w:tblPr/>
    </w:tblStylePr>
    <w:tblStylePr w:type="lastCol">
      <w:rPr>
        <w:b/>
        <w:color w:val="2A4A71" w:themeColor="accent1" w:themeShade="95"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val="2A4A71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sz="4" w:space="0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color="D99695" w:themeColor="accent2" w:sz="4" w:space="0"/>
        </w:tcBorders>
      </w:tcPr>
    </w:tblStylePr>
    <w:tblStylePr w:type="firstCol">
      <w:rPr>
        <w:b/>
        <w:color w:val="D99695" w:themeColor="accent2" w:themeTint="97" w:themeShade="95"/>
      </w:rPr>
      <w:tblPr/>
    </w:tblStylePr>
    <w:tblStylePr w:type="lastCol">
      <w:rPr>
        <w:b/>
        <w:color w:val="D99695" w:themeColor="accent2" w:themeTint="97" w:themeShade="95"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color="C3D69B" w:themeColor="accent3" w:sz="4" w:space="0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color="C3D69B" w:themeColor="accent3" w:sz="4" w:space="0"/>
        </w:tcBorders>
      </w:tcPr>
    </w:tblStylePr>
    <w:tblStylePr w:type="firstCol">
      <w:rPr>
        <w:b/>
        <w:color w:val="C3D69B" w:themeColor="accent3" w:themeTint="98" w:themeShade="95"/>
      </w:rPr>
      <w:tblPr/>
    </w:tblStylePr>
    <w:tblStylePr w:type="lastCol">
      <w:rPr>
        <w:b/>
        <w:color w:val="C3D69B" w:themeColor="accent3" w:themeTint="98" w:themeShade="95"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sz="4" w:space="0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color="B2A1C6" w:themeColor="accent4" w:sz="4" w:space="0"/>
        </w:tcBorders>
      </w:tcPr>
    </w:tblStylePr>
    <w:tblStylePr w:type="firstCol">
      <w:rPr>
        <w:b/>
        <w:color w:val="B2A1C6" w:themeColor="accent4" w:themeTint="9a" w:themeShade="95"/>
      </w:rPr>
      <w:tblPr/>
    </w:tblStylePr>
    <w:tblStylePr w:type="lastCol">
      <w:rPr>
        <w:b/>
        <w:color w:val="B2A1C6" w:themeColor="accent4" w:themeTint="9a" w:themeShade="95"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color="92CCDC" w:themeColor="accent5" w:sz="4" w:space="0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color="92CCDC" w:themeColor="accent5" w:sz="4" w:space="0"/>
        </w:tcBorders>
      </w:tcPr>
    </w:tblStylePr>
    <w:tblStylePr w:type="firstCol">
      <w:rPr>
        <w:b/>
        <w:color w:val="92CCDC" w:themeColor="accent5" w:themeTint="9a" w:themeShade="95"/>
      </w:rPr>
      <w:tblPr/>
    </w:tblStylePr>
    <w:tblStylePr w:type="lastCol">
      <w:rPr>
        <w:b/>
        <w:color w:val="92CCDC" w:themeColor="accent5" w:themeTint="9a" w:themeShade="95"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color="FAC090" w:themeColor="accent6" w:sz="4" w:space="0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color="FAC090" w:themeColor="accent6" w:sz="4" w:space="0"/>
        </w:tcBorders>
      </w:tcPr>
    </w:tblStylePr>
    <w:tblStylePr w:type="firstCol">
      <w:rPr>
        <w:b/>
        <w:color w:val="FAC090" w:themeColor="accent6" w:themeTint="98" w:themeShade="95"/>
      </w:rPr>
      <w:tblPr/>
    </w:tblStylePr>
    <w:tblStylePr w:type="lastCol">
      <w:rPr>
        <w:b/>
        <w:color w:val="FAC090" w:themeColor="accent6" w:themeTint="98" w:themeShade="95"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  <w:tblPr/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sz="4" w:space="0"/>
        </w:tcBorders>
        <w:shd w:val="clear" w:color="FFFFFF" w:fill="FFFFFF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color="4F81BD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F81BD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color="4F81BD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F81BD" w:themeColor="accent1" w:sz="4" w:space="0"/>
        </w:tcBorders>
        <w:shd w:val="clear" w:color="FFFFFF" w:fill="FFFFFF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single" w:color="4F81BD" w:themeColor="accent1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val="2A4A71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color="D99695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sz="4" w:space="0"/>
        </w:tcBorders>
        <w:shd w:val="clear" w:color="FFFFFF" w:fill="FFFFFF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C3D69B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color="C3D69B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C3D69B" w:themeColor="accent3" w:sz="4" w:space="0"/>
        </w:tcBorders>
        <w:shd w:val="clear" w:color="FFFFFF" w:fill="FFFFFF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single" w:color="C3D69B" w:themeColor="accent3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color="B2A1C6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sz="4" w:space="0"/>
        </w:tcBorders>
        <w:shd w:val="clear" w:color="FFFFFF" w:fill="FFFFFF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2CCDC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color="92CCDC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2CCDC" w:themeColor="accent5" w:sz="4" w:space="0"/>
        </w:tcBorders>
        <w:shd w:val="clear" w:color="FFFFFF" w:fill="FFFFFF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single" w:color="92CCDC" w:themeColor="accent5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090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color="FAC090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090" w:themeColor="accent6" w:sz="4" w:space="0"/>
        </w:tcBorders>
        <w:shd w:val="clear" w:color="FFFFFF" w:fill="FFFFFF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single" w:color="FAC090" w:themeColor="accent6" w:sz="4" w:space="0"/>
          <w:bottom w:val="none" w:color="auto" w:sz="0" w:space="0"/>
          <w:right w:val="none" w:color="auto" w:sz="0" w:space="0"/>
        </w:tcBorders>
        <w:shd w:val="clear" w:color="FFFFFF" w:fill="FFFFFF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4BACC6" w:themeFill="accent5"/>
      </w:tcPr>
    </w:tblStylePr>
    <w:tblStylePr w:type="lastRow">
      <w:rPr>
        <w:color w:val="F2F2F2"/>
        <w:sz w:val="22"/>
      </w:rPr>
      <w:tblPr/>
      <w:tcPr>
        <w:shd w:val="clear" w:color="FFFFFF" w:fill="4BACC6" w:themeFill="accent5"/>
      </w:tcPr>
    </w:tblStylePr>
    <w:tblStylePr w:type="firstCol">
      <w:rPr>
        <w:color w:val="F2F2F2"/>
        <w:sz w:val="22"/>
      </w:rPr>
      <w:tblPr/>
      <w:tcPr>
        <w:shd w:val="clear" w:color="FFFFFF" w:fill="4BACC6" w:themeFill="accent5"/>
      </w:tcPr>
    </w:tblStylePr>
    <w:tblStylePr w:type="lastCol">
      <w:rPr>
        <w:color w:val="F2F2F2"/>
        <w:sz w:val="22"/>
      </w:rPr>
      <w:tblPr/>
      <w:tcPr>
        <w:shd w:val="clear" w:color="FFFFFF" w:fill="4BACC6" w:themeFill="accent5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F79646" w:themeFill="accent6"/>
      </w:tcPr>
    </w:tblStylePr>
    <w:tblStylePr w:type="lastRow">
      <w:rPr>
        <w:color w:val="F2F2F2"/>
        <w:sz w:val="22"/>
      </w:rPr>
      <w:tblPr/>
      <w:tcPr>
        <w:shd w:val="clear" w:color="FFFFFF" w:fill="F79646" w:themeFill="accent6"/>
      </w:tcPr>
    </w:tblStylePr>
    <w:tblStylePr w:type="firstCol">
      <w:rPr>
        <w:color w:val="F2F2F2"/>
        <w:sz w:val="22"/>
      </w:rPr>
      <w:tblPr/>
      <w:tcPr>
        <w:shd w:val="clear" w:color="FFFFFF" w:fill="F79646" w:themeFill="accent6"/>
      </w:tcPr>
    </w:tblStylePr>
    <w:tblStylePr w:type="lastCol">
      <w:rPr>
        <w:color w:val="F2F2F2"/>
        <w:sz w:val="22"/>
      </w:rPr>
      <w:tblPr/>
      <w:tcPr>
        <w:shd w:val="clear" w:color="FFFFFF" w:fill="F79646" w:themeFill="accent6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sz="4" w:space="0"/>
        <w:left w:val="single" w:color="2A4A71" w:themeColor="accent1" w:sz="4" w:space="0"/>
        <w:bottom w:val="single" w:color="2A4A71" w:themeColor="accent1" w:sz="4" w:space="0"/>
        <w:right w:val="single" w:color="2A4A71" w:themeColor="accent1" w:sz="4" w:space="0"/>
        <w:insideH w:val="single" w:color="2A4A71" w:themeColor="accent1" w:sz="4" w:space="0"/>
        <w:insideV w:val="single" w:color="2A4A71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sz="4" w:space="0"/>
        <w:left w:val="single" w:color="732A29" w:themeColor="accent2" w:sz="4" w:space="0"/>
        <w:bottom w:val="single" w:color="732A29" w:themeColor="accent2" w:sz="4" w:space="0"/>
        <w:right w:val="single" w:color="732A29" w:themeColor="accent2" w:sz="4" w:space="0"/>
        <w:insideH w:val="single" w:color="732A29" w:themeColor="accent2" w:sz="4" w:space="0"/>
        <w:insideV w:val="single" w:color="732A29" w:themeColor="accent2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sz="4" w:space="0"/>
        <w:left w:val="single" w:color="5B722E" w:themeColor="accent3" w:sz="4" w:space="0"/>
        <w:bottom w:val="single" w:color="5B722E" w:themeColor="accent3" w:sz="4" w:space="0"/>
        <w:right w:val="single" w:color="5B722E" w:themeColor="accent3" w:sz="4" w:space="0"/>
        <w:insideH w:val="single" w:color="5B722E" w:themeColor="accent3" w:sz="4" w:space="0"/>
        <w:insideV w:val="single" w:color="5B722E" w:themeColor="accent3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sz="4" w:space="0"/>
        <w:left w:val="single" w:color="4A395F" w:themeColor="accent4" w:sz="4" w:space="0"/>
        <w:bottom w:val="single" w:color="4A395F" w:themeColor="accent4" w:sz="4" w:space="0"/>
        <w:right w:val="single" w:color="4A395F" w:themeColor="accent4" w:sz="4" w:space="0"/>
        <w:insideH w:val="single" w:color="4A395F" w:themeColor="accent4" w:sz="4" w:space="0"/>
        <w:insideV w:val="single" w:color="4A395F" w:themeColor="accent4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sz="4" w:space="0"/>
        <w:left w:val="single" w:color="266779" w:themeColor="accent5" w:sz="4" w:space="0"/>
        <w:bottom w:val="single" w:color="266779" w:themeColor="accent5" w:sz="4" w:space="0"/>
        <w:right w:val="single" w:color="266779" w:themeColor="accent5" w:sz="4" w:space="0"/>
        <w:insideH w:val="single" w:color="266779" w:themeColor="accent5" w:sz="4" w:space="0"/>
        <w:insideV w:val="single" w:color="266779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4BACC6" w:themeFill="accent5"/>
      </w:tcPr>
    </w:tblStylePr>
    <w:tblStylePr w:type="lastRow">
      <w:rPr>
        <w:color w:val="F2F2F2"/>
        <w:sz w:val="22"/>
      </w:rPr>
      <w:tblPr/>
      <w:tcPr>
        <w:shd w:val="clear" w:color="FFFFFF" w:fill="4BACC6" w:themeFill="accent5"/>
      </w:tcPr>
    </w:tblStylePr>
    <w:tblStylePr w:type="firstCol">
      <w:rPr>
        <w:color w:val="F2F2F2"/>
        <w:sz w:val="22"/>
      </w:rPr>
      <w:tblPr/>
      <w:tcPr>
        <w:shd w:val="clear" w:color="FFFFFF" w:fill="4BACC6" w:themeFill="accent5"/>
      </w:tcPr>
    </w:tblStylePr>
    <w:tblStylePr w:type="lastCol">
      <w:rPr>
        <w:color w:val="F2F2F2"/>
        <w:sz w:val="22"/>
      </w:rPr>
      <w:tblPr/>
      <w:tcPr>
        <w:shd w:val="clear" w:color="FFFFFF" w:fill="4BACC6" w:themeFill="accent5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lang w:val="ru-RU" w:eastAsia="ru-RU"/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sz="4" w:space="0"/>
        <w:left w:val="single" w:color="B15407" w:themeColor="accent6" w:sz="4" w:space="0"/>
        <w:bottom w:val="single" w:color="B15407" w:themeColor="accent6" w:sz="4" w:space="0"/>
        <w:right w:val="single" w:color="B15407" w:themeColor="accent6" w:sz="4" w:space="0"/>
        <w:insideH w:val="single" w:color="B15407" w:themeColor="accent6" w:sz="4" w:space="0"/>
        <w:insideV w:val="single" w:color="B1540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2F2F2"/>
        <w:sz w:val="22"/>
      </w:rPr>
      <w:tblPr/>
      <w:tcPr>
        <w:shd w:val="clear" w:color="FFFFFF" w:fill="F79646" w:themeFill="accent6"/>
      </w:tcPr>
    </w:tblStylePr>
    <w:tblStylePr w:type="lastRow">
      <w:rPr>
        <w:color w:val="F2F2F2"/>
        <w:sz w:val="22"/>
      </w:rPr>
      <w:tblPr/>
      <w:tcPr>
        <w:shd w:val="clear" w:color="FFFFFF" w:fill="F79646" w:themeFill="accent6"/>
      </w:tcPr>
    </w:tblStylePr>
    <w:tblStylePr w:type="firstCol">
      <w:rPr>
        <w:color w:val="F2F2F2"/>
        <w:sz w:val="22"/>
      </w:rPr>
      <w:tblPr/>
      <w:tcPr>
        <w:shd w:val="clear" w:color="FFFFFF" w:fill="F79646" w:themeFill="accent6"/>
      </w:tcPr>
    </w:tblStylePr>
    <w:tblStylePr w:type="lastCol">
      <w:rPr>
        <w:color w:val="F2F2F2"/>
        <w:sz w:val="22"/>
      </w:rPr>
      <w:tblPr/>
      <w:tcPr>
        <w:shd w:val="clear" w:color="FFFFFF" w:fill="F79646" w:themeFill="accent6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B7CBE4" w:themeColor="accent1" w:sz="4" w:space="0"/>
          <w:left w:val="single" w:color="B7CBE4" w:themeColor="accent1" w:sz="4" w:space="0"/>
          <w:bottom w:val="single" w:color="B7CBE4" w:themeColor="accent1" w:sz="4" w:space="0"/>
          <w:right w:val="single" w:color="B7CBE4" w:themeColor="accent1" w:sz="4" w:space="0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D99695" w:themeColor="accent2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D99695" w:themeColor="accent2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D99695" w:themeColor="accent2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E5B7B6" w:themeColor="accent2" w:sz="4" w:space="0"/>
          <w:left w:val="single" w:color="E5B7B6" w:themeColor="accent2" w:sz="4" w:space="0"/>
          <w:bottom w:val="single" w:color="E5B7B6" w:themeColor="accent2" w:sz="4" w:space="0"/>
          <w:right w:val="single" w:color="E5B7B6" w:themeColor="accent2" w:sz="4" w:space="0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C3D69B" w:themeColor="accent3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C3D69B" w:themeColor="accent3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C3D69B" w:themeColor="accent3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D6E3BB" w:themeColor="accent3" w:sz="4" w:space="0"/>
          <w:left w:val="single" w:color="D6E3BB" w:themeColor="accent3" w:sz="4" w:space="0"/>
          <w:bottom w:val="single" w:color="D6E3BB" w:themeColor="accent3" w:sz="4" w:space="0"/>
          <w:right w:val="single" w:color="D6E3BB" w:themeColor="accent3" w:sz="4" w:space="0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B2A1C6" w:themeColor="accent4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B2A1C6" w:themeColor="accent4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B2A1C6" w:themeColor="accent4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CBC0D9" w:themeColor="accent4" w:sz="4" w:space="0"/>
          <w:left w:val="single" w:color="CBC0D9" w:themeColor="accent4" w:sz="4" w:space="0"/>
          <w:bottom w:val="single" w:color="CBC0D9" w:themeColor="accent4" w:sz="4" w:space="0"/>
          <w:right w:val="single" w:color="CBC0D9" w:themeColor="accent4" w:sz="4" w:space="0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92CCDC" w:themeColor="accent5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92CCDC" w:themeColor="accent5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92CCDC" w:themeColor="accent5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B6DDE8" w:themeColor="accent5" w:sz="4" w:space="0"/>
          <w:left w:val="single" w:color="B6DDE8" w:themeColor="accent5" w:sz="4" w:space="0"/>
          <w:bottom w:val="single" w:color="B6DDE8" w:themeColor="accent5" w:sz="4" w:space="0"/>
          <w:right w:val="single" w:color="B6DDE8" w:themeColor="accent5" w:sz="4" w:space="0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404040"/>
        <w:sz w:val="22"/>
      </w:rPr>
      <w:tblPr/>
      <w:tcPr>
        <w:tcBorders>
          <w:bottom w:val="single" w:color="FAC090" w:themeColor="accent6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FAC090" w:themeColor="accent6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FAC090" w:themeColor="accent6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BD4B4" w:themeColor="accent6" w:sz="4" w:space="0"/>
          <w:left w:val="single" w:color="FBD4B4" w:themeColor="accent6" w:sz="4" w:space="0"/>
          <w:bottom w:val="single" w:color="FBD4B4" w:themeColor="accent6" w:sz="4" w:space="0"/>
          <w:right w:val="single" w:color="FBD4B4" w:themeColor="accent6" w:sz="4" w:space="0"/>
        </w:tcBorders>
      </w:tcPr>
    </w:tblStyle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b">
    <w:name w:val="Table Grid"/>
    <w:basedOn w:val="a1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A8E93808-E518-4EEF-9C06-BBE64F5CC14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1416</TotalTime>
  <Application>LibreOffice/7.3.4.2$Windows_X86_64 LibreOffice_project/728fec16bd5f605073805c3c9e7c4212a0120dc5</Application>
  <AppVersion>15.0000</AppVersion>
  <Pages>3</Pages>
  <Words>814</Words>
  <Characters>5392</Characters>
  <CharactersWithSpaces>6061</CharactersWithSpaces>
  <Paragraphs>136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Малюкова Наталья</dc:creator>
  <dc:description/>
  <dc:language>ru-RU</dc:language>
  <cp:lastModifiedBy/>
  <cp:lastPrinted>2026-05-28T10:29:05Z</cp:lastPrinted>
  <dcterms:modified xsi:type="dcterms:W3CDTF">2026-05-28T11:05:40Z</dcterms:modified>
  <cp:revision>169</cp:revision>
  <dc:subject/>
  <dc:title>ПРИМЕРНАЯ ПРОГРАММА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2019-06-14T00:00:00Z</vt:filetime>
  </property>
  <property fmtid="{D5CDD505-2E9C-101B-9397-08002B2CF9AE}" pid="3" name="Creator">
    <vt:lpwstr>Microsoft® Word для Office 365</vt:lpwstr>
  </property>
  <property fmtid="{D5CDD505-2E9C-101B-9397-08002B2CF9AE}" pid="4" name="HyperlinksChanged">
    <vt:bool>0</vt:bool>
  </property>
  <property fmtid="{D5CDD505-2E9C-101B-9397-08002B2CF9AE}" pid="5" name="LastSaved">
    <vt:filetime>2020-05-07T00:00:00Z</vt:filetime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