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86" w:rsidRDefault="00026962">
      <w:pPr>
        <w:pStyle w:val="Title"/>
      </w:pPr>
      <w:r>
        <w:t>getting field data into insecticide resistance model</w:t>
      </w:r>
    </w:p>
    <w:p w:rsidR="00BD0B86" w:rsidRDefault="00026962">
      <w:pPr>
        <w:pStyle w:val="Heading3"/>
      </w:pPr>
      <w:bookmarkStart w:id="0" w:name="section-demonstrating-getting-field-data"/>
      <w:bookmarkEnd w:id="0"/>
      <w:r>
        <w:t>Section demonstrating getting field data into the model, to be added to Malaria Journal paper.</w:t>
      </w:r>
    </w:p>
    <w:p w:rsidR="00BD0B86" w:rsidRDefault="00026962">
      <w:pPr>
        <w:pStyle w:val="FirstParagraph"/>
      </w:pPr>
      <w:r>
        <w:t>The main model inputs relating to properties of the mosquitoes and insecticides can be derived from data on the relative survival of the different genotypes (RR,RS,SS) Table x.</w:t>
      </w:r>
    </w:p>
    <w:p w:rsidR="00BD0B86" w:rsidRDefault="00026962">
      <w:pPr>
        <w:pStyle w:val="BodyText"/>
      </w:pPr>
      <w:r>
        <w:rPr>
          <w:b/>
        </w:rPr>
        <w:t>Table x1. Calculating model inputs from field data.</w:t>
      </w:r>
    </w:p>
    <w:tbl>
      <w:tblPr>
        <w:tblW w:w="5000" w:type="pct"/>
        <w:tblLook w:val="07E0" w:firstRow="1" w:lastRow="1" w:firstColumn="1" w:lastColumn="1" w:noHBand="1" w:noVBand="1"/>
      </w:tblPr>
      <w:tblGrid>
        <w:gridCol w:w="3033"/>
        <w:gridCol w:w="6543"/>
      </w:tblGrid>
      <w:tr w:rsidR="00BD0B86">
        <w:tc>
          <w:tcPr>
            <w:tcW w:w="0" w:type="auto"/>
            <w:tcBorders>
              <w:bottom w:val="single" w:sz="0" w:space="0" w:color="auto"/>
            </w:tcBorders>
            <w:vAlign w:val="bottom"/>
          </w:tcPr>
          <w:p w:rsidR="00BD0B86" w:rsidRDefault="00026962">
            <w:pPr>
              <w:pStyle w:val="Compact"/>
            </w:pPr>
            <w:r>
              <w:t>Parameter</w:t>
            </w:r>
          </w:p>
        </w:tc>
        <w:tc>
          <w:tcPr>
            <w:tcW w:w="0" w:type="auto"/>
            <w:tcBorders>
              <w:bottom w:val="single" w:sz="0" w:space="0" w:color="auto"/>
            </w:tcBorders>
            <w:vAlign w:val="bottom"/>
          </w:tcPr>
          <w:p w:rsidR="00BD0B86" w:rsidRDefault="00026962">
            <w:pPr>
              <w:pStyle w:val="Compact"/>
            </w:pPr>
            <w:r>
              <w:t>Calculation (wher</w:t>
            </w:r>
            <w:r>
              <w:t>e RRfit, RSfit, SSfit are fitnesses of genotypes)</w:t>
            </w:r>
          </w:p>
        </w:tc>
      </w:tr>
      <w:tr w:rsidR="00BD0B86">
        <w:tc>
          <w:tcPr>
            <w:tcW w:w="0" w:type="auto"/>
          </w:tcPr>
          <w:p w:rsidR="00BD0B86" w:rsidRDefault="00026962">
            <w:pPr>
              <w:pStyle w:val="Compact"/>
            </w:pPr>
            <w:r>
              <w:t>1. Effectiveness</w:t>
            </w:r>
          </w:p>
        </w:tc>
        <w:tc>
          <w:tcPr>
            <w:tcW w:w="0" w:type="auto"/>
          </w:tcPr>
          <w:p w:rsidR="00BD0B86" w:rsidRDefault="00026962">
            <w:pPr>
              <w:pStyle w:val="Compact"/>
            </w:pPr>
            <w:r>
              <w:t>1 - SSfit in presence of insecticide</w:t>
            </w:r>
          </w:p>
        </w:tc>
      </w:tr>
      <w:tr w:rsidR="00BD0B86">
        <w:tc>
          <w:tcPr>
            <w:tcW w:w="0" w:type="auto"/>
          </w:tcPr>
          <w:p w:rsidR="00BD0B86" w:rsidRDefault="00026962">
            <w:pPr>
              <w:pStyle w:val="Compact"/>
            </w:pPr>
            <w:r>
              <w:t>2. Exposure</w:t>
            </w:r>
          </w:p>
        </w:tc>
        <w:tc>
          <w:tcPr>
            <w:tcW w:w="0" w:type="auto"/>
          </w:tcPr>
          <w:p w:rsidR="00BD0B86" w:rsidRDefault="00026962">
            <w:pPr>
              <w:pStyle w:val="Compact"/>
            </w:pPr>
            <w:r>
              <w:t>estimated</w:t>
            </w:r>
          </w:p>
        </w:tc>
      </w:tr>
      <w:tr w:rsidR="00BD0B86">
        <w:tc>
          <w:tcPr>
            <w:tcW w:w="0" w:type="auto"/>
          </w:tcPr>
          <w:p w:rsidR="00BD0B86" w:rsidRDefault="00026962">
            <w:pPr>
              <w:pStyle w:val="Compact"/>
            </w:pPr>
            <w:r>
              <w:t>3. Resistance restoration</w:t>
            </w:r>
          </w:p>
        </w:tc>
        <w:tc>
          <w:tcPr>
            <w:tcW w:w="0" w:type="auto"/>
          </w:tcPr>
          <w:p w:rsidR="00BD0B86" w:rsidRDefault="00026962">
            <w:pPr>
              <w:pStyle w:val="Compact"/>
            </w:pPr>
            <w:r>
              <w:t>(RRfit-SSfit) / Effectiveness in presence of insecticide</w:t>
            </w:r>
          </w:p>
        </w:tc>
      </w:tr>
      <w:tr w:rsidR="00BD0B86">
        <w:tc>
          <w:tcPr>
            <w:tcW w:w="0" w:type="auto"/>
          </w:tcPr>
          <w:p w:rsidR="00BD0B86" w:rsidRDefault="00026962">
            <w:pPr>
              <w:pStyle w:val="Compact"/>
            </w:pPr>
            <w:r>
              <w:t>4. Dominance of restoration</w:t>
            </w:r>
          </w:p>
        </w:tc>
        <w:tc>
          <w:tcPr>
            <w:tcW w:w="0" w:type="auto"/>
          </w:tcPr>
          <w:p w:rsidR="00BD0B86" w:rsidRDefault="00026962">
            <w:pPr>
              <w:pStyle w:val="Compact"/>
            </w:pPr>
            <w:r>
              <w:t>(RSfit-SSfit)/(RRfit-SSfit) in presence of insecticide</w:t>
            </w:r>
          </w:p>
        </w:tc>
      </w:tr>
      <w:tr w:rsidR="00BD0B86">
        <w:tc>
          <w:tcPr>
            <w:tcW w:w="0" w:type="auto"/>
          </w:tcPr>
          <w:p w:rsidR="00BD0B86" w:rsidRDefault="00026962">
            <w:pPr>
              <w:pStyle w:val="Compact"/>
            </w:pPr>
            <w:r>
              <w:t>5. Frequency</w:t>
            </w:r>
          </w:p>
        </w:tc>
        <w:tc>
          <w:tcPr>
            <w:tcW w:w="0" w:type="auto"/>
          </w:tcPr>
          <w:p w:rsidR="00BD0B86" w:rsidRDefault="00026962">
            <w:pPr>
              <w:pStyle w:val="Compact"/>
            </w:pPr>
            <w:r>
              <w:t>estimated</w:t>
            </w:r>
          </w:p>
        </w:tc>
      </w:tr>
      <w:tr w:rsidR="00BD0B86">
        <w:tc>
          <w:tcPr>
            <w:tcW w:w="0" w:type="auto"/>
          </w:tcPr>
          <w:p w:rsidR="00BD0B86" w:rsidRDefault="00026962">
            <w:pPr>
              <w:pStyle w:val="Compact"/>
            </w:pPr>
            <w:r>
              <w:t>6. Cost of resistance</w:t>
            </w:r>
          </w:p>
        </w:tc>
        <w:tc>
          <w:tcPr>
            <w:tcW w:w="0" w:type="auto"/>
          </w:tcPr>
          <w:p w:rsidR="00BD0B86" w:rsidRDefault="00026962">
            <w:pPr>
              <w:pStyle w:val="Compact"/>
            </w:pPr>
            <w:r>
              <w:t>1 - RRfit in absence of insecticide</w:t>
            </w:r>
          </w:p>
        </w:tc>
      </w:tr>
      <w:tr w:rsidR="00BD0B86">
        <w:tc>
          <w:tcPr>
            <w:tcW w:w="0" w:type="auto"/>
          </w:tcPr>
          <w:p w:rsidR="00BD0B86" w:rsidRDefault="00026962">
            <w:pPr>
              <w:pStyle w:val="Compact"/>
            </w:pPr>
            <w:r>
              <w:t>7. Dominance of cost</w:t>
            </w:r>
          </w:p>
        </w:tc>
        <w:tc>
          <w:tcPr>
            <w:tcW w:w="0" w:type="auto"/>
          </w:tcPr>
          <w:p w:rsidR="00BD0B86" w:rsidRDefault="00026962">
            <w:pPr>
              <w:pStyle w:val="Compact"/>
            </w:pPr>
            <w:r>
              <w:t>(RSfit-RRfit)/(RRfit-SSfit) in absence of insecticide</w:t>
            </w:r>
          </w:p>
        </w:tc>
      </w:tr>
    </w:tbl>
    <w:p w:rsidR="00BD0B86" w:rsidRDefault="00026962">
      <w:pPr>
        <w:pStyle w:val="BodyText"/>
      </w:pPr>
      <w:r>
        <w:t>Exposure, the proportion of mosquitoes th</w:t>
      </w:r>
      <w:r>
        <w:t>at are exposed to the insecticide, is a property of the location and will depend on the use of nets or IRS and mosquito behaviour. The frequency of resistance alleles can be measured, although when at low levels a large number of mnosquitos would need to b</w:t>
      </w:r>
      <w:r>
        <w:t>e sampled to detect low frequencies.</w:t>
      </w:r>
    </w:p>
    <w:p w:rsidR="00BD0B86" w:rsidRDefault="00026962">
      <w:pPr>
        <w:pStyle w:val="BodyText"/>
      </w:pPr>
      <w:r>
        <w:t>As an example of making these calculations we use data for Anopheles gambiae on pyrethroid (Etofenprox) resistance associated with the Kdr mutation [1] and carbamate (Bendiocarb) resistance associated with the Ace1 muta</w:t>
      </w:r>
      <w:r>
        <w:t>tion [2].</w:t>
      </w:r>
    </w:p>
    <w:p w:rsidR="00BD0B86" w:rsidRDefault="00026962">
      <w:pPr>
        <w:pStyle w:val="BodyText"/>
      </w:pPr>
      <w:r>
        <w:t>In both cases data were provided as numbers alive and dead by genotype. We used these to calculate genotype-specific survival values that we assume are a good indication of fitness and from that the values of our model inputs (Table x2).</w:t>
      </w:r>
    </w:p>
    <w:tbl>
      <w:tblPr>
        <w:tblW w:w="1944" w:type="pct"/>
        <w:tblLook w:val="07E0" w:firstRow="1" w:lastRow="1" w:firstColumn="1" w:lastColumn="1" w:noHBand="1" w:noVBand="1"/>
      </w:tblPr>
      <w:tblGrid>
        <w:gridCol w:w="2018"/>
        <w:gridCol w:w="905"/>
        <w:gridCol w:w="905"/>
        <w:gridCol w:w="905"/>
        <w:gridCol w:w="1341"/>
        <w:gridCol w:w="1178"/>
        <w:gridCol w:w="1184"/>
      </w:tblGrid>
      <w:tr w:rsidR="00BD0B86">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Insectic</w:t>
            </w:r>
            <w:r w:rsidRPr="00C147E2">
              <w:rPr>
                <w:sz w:val="20"/>
                <w:szCs w:val="20"/>
              </w:rPr>
              <w:t>ide/Mutation</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survival RR</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survival RS</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survival SS</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Effectiveness</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Resistance restoration</w:t>
            </w:r>
          </w:p>
        </w:tc>
        <w:tc>
          <w:tcPr>
            <w:tcW w:w="0" w:type="auto"/>
            <w:tcBorders>
              <w:bottom w:val="single" w:sz="0" w:space="0" w:color="auto"/>
            </w:tcBorders>
            <w:vAlign w:val="bottom"/>
          </w:tcPr>
          <w:p w:rsidR="00BD0B86" w:rsidRPr="00C147E2" w:rsidRDefault="00026962">
            <w:pPr>
              <w:pStyle w:val="Compact"/>
              <w:rPr>
                <w:sz w:val="20"/>
                <w:szCs w:val="20"/>
              </w:rPr>
            </w:pPr>
            <w:r w:rsidRPr="00C147E2">
              <w:rPr>
                <w:sz w:val="20"/>
                <w:szCs w:val="20"/>
              </w:rPr>
              <w:t>Dominance of restoration</w:t>
            </w:r>
          </w:p>
        </w:tc>
      </w:tr>
      <w:tr w:rsidR="00BD0B86">
        <w:tc>
          <w:tcPr>
            <w:tcW w:w="0" w:type="auto"/>
          </w:tcPr>
          <w:p w:rsidR="00BD0B86" w:rsidRPr="00C147E2" w:rsidRDefault="00026962">
            <w:pPr>
              <w:pStyle w:val="Compact"/>
              <w:rPr>
                <w:sz w:val="20"/>
                <w:szCs w:val="20"/>
              </w:rPr>
            </w:pPr>
            <w:r w:rsidRPr="00C147E2">
              <w:rPr>
                <w:sz w:val="20"/>
                <w:szCs w:val="20"/>
              </w:rPr>
              <w:t>Pyrethroid/Kdr</w:t>
            </w:r>
          </w:p>
        </w:tc>
        <w:tc>
          <w:tcPr>
            <w:tcW w:w="0" w:type="auto"/>
          </w:tcPr>
          <w:p w:rsidR="00BD0B86" w:rsidRPr="00C147E2" w:rsidRDefault="00026962">
            <w:pPr>
              <w:pStyle w:val="Compact"/>
              <w:rPr>
                <w:sz w:val="20"/>
                <w:szCs w:val="20"/>
              </w:rPr>
            </w:pPr>
            <w:r w:rsidRPr="00C147E2">
              <w:rPr>
                <w:sz w:val="20"/>
                <w:szCs w:val="20"/>
              </w:rPr>
              <w:t>0.84</w:t>
            </w:r>
          </w:p>
        </w:tc>
        <w:tc>
          <w:tcPr>
            <w:tcW w:w="0" w:type="auto"/>
          </w:tcPr>
          <w:p w:rsidR="00BD0B86" w:rsidRPr="00C147E2" w:rsidRDefault="00026962">
            <w:pPr>
              <w:pStyle w:val="Compact"/>
              <w:rPr>
                <w:sz w:val="20"/>
                <w:szCs w:val="20"/>
              </w:rPr>
            </w:pPr>
            <w:r w:rsidRPr="00C147E2">
              <w:rPr>
                <w:sz w:val="20"/>
                <w:szCs w:val="20"/>
              </w:rPr>
              <w:t>0.65</w:t>
            </w:r>
          </w:p>
        </w:tc>
        <w:tc>
          <w:tcPr>
            <w:tcW w:w="0" w:type="auto"/>
          </w:tcPr>
          <w:p w:rsidR="00BD0B86" w:rsidRPr="00C147E2" w:rsidRDefault="00026962">
            <w:pPr>
              <w:pStyle w:val="Compact"/>
              <w:rPr>
                <w:sz w:val="20"/>
                <w:szCs w:val="20"/>
              </w:rPr>
            </w:pPr>
            <w:r w:rsidRPr="00C147E2">
              <w:rPr>
                <w:sz w:val="20"/>
                <w:szCs w:val="20"/>
              </w:rPr>
              <w:t>0.57</w:t>
            </w:r>
          </w:p>
        </w:tc>
        <w:tc>
          <w:tcPr>
            <w:tcW w:w="0" w:type="auto"/>
          </w:tcPr>
          <w:p w:rsidR="00BD0B86" w:rsidRPr="00C147E2" w:rsidRDefault="00026962">
            <w:pPr>
              <w:pStyle w:val="Compact"/>
              <w:rPr>
                <w:sz w:val="20"/>
                <w:szCs w:val="20"/>
              </w:rPr>
            </w:pPr>
            <w:r w:rsidRPr="00C147E2">
              <w:rPr>
                <w:sz w:val="20"/>
                <w:szCs w:val="20"/>
              </w:rPr>
              <w:t>0.43</w:t>
            </w:r>
          </w:p>
        </w:tc>
        <w:tc>
          <w:tcPr>
            <w:tcW w:w="0" w:type="auto"/>
          </w:tcPr>
          <w:p w:rsidR="00BD0B86" w:rsidRPr="00C147E2" w:rsidRDefault="00026962">
            <w:pPr>
              <w:pStyle w:val="Compact"/>
              <w:rPr>
                <w:sz w:val="20"/>
                <w:szCs w:val="20"/>
              </w:rPr>
            </w:pPr>
            <w:r w:rsidRPr="00C147E2">
              <w:rPr>
                <w:sz w:val="20"/>
                <w:szCs w:val="20"/>
              </w:rPr>
              <w:t>0.63</w:t>
            </w:r>
          </w:p>
        </w:tc>
        <w:tc>
          <w:tcPr>
            <w:tcW w:w="0" w:type="auto"/>
          </w:tcPr>
          <w:p w:rsidR="00BD0B86" w:rsidRPr="00C147E2" w:rsidRDefault="00026962">
            <w:pPr>
              <w:pStyle w:val="Compact"/>
              <w:rPr>
                <w:sz w:val="20"/>
                <w:szCs w:val="20"/>
              </w:rPr>
            </w:pPr>
            <w:r w:rsidRPr="00C147E2">
              <w:rPr>
                <w:sz w:val="20"/>
                <w:szCs w:val="20"/>
              </w:rPr>
              <w:t>0.30</w:t>
            </w:r>
          </w:p>
        </w:tc>
      </w:tr>
      <w:tr w:rsidR="00BD0B86">
        <w:tc>
          <w:tcPr>
            <w:tcW w:w="0" w:type="auto"/>
          </w:tcPr>
          <w:p w:rsidR="00BD0B86" w:rsidRPr="00C147E2" w:rsidRDefault="00026962">
            <w:pPr>
              <w:pStyle w:val="Compact"/>
              <w:rPr>
                <w:sz w:val="20"/>
                <w:szCs w:val="20"/>
              </w:rPr>
            </w:pPr>
            <w:r w:rsidRPr="00C147E2">
              <w:rPr>
                <w:sz w:val="20"/>
                <w:szCs w:val="20"/>
              </w:rPr>
              <w:t>Carbamate/Ace1</w:t>
            </w:r>
          </w:p>
        </w:tc>
        <w:tc>
          <w:tcPr>
            <w:tcW w:w="0" w:type="auto"/>
          </w:tcPr>
          <w:p w:rsidR="00BD0B86" w:rsidRPr="00C147E2" w:rsidRDefault="00026962">
            <w:pPr>
              <w:pStyle w:val="Compact"/>
              <w:rPr>
                <w:sz w:val="20"/>
                <w:szCs w:val="20"/>
              </w:rPr>
            </w:pPr>
            <w:r w:rsidRPr="00C147E2">
              <w:rPr>
                <w:sz w:val="20"/>
                <w:szCs w:val="20"/>
              </w:rPr>
              <w:t>0.84</w:t>
            </w:r>
          </w:p>
        </w:tc>
        <w:tc>
          <w:tcPr>
            <w:tcW w:w="0" w:type="auto"/>
          </w:tcPr>
          <w:p w:rsidR="00BD0B86" w:rsidRPr="00C147E2" w:rsidRDefault="00026962">
            <w:pPr>
              <w:pStyle w:val="Compact"/>
              <w:rPr>
                <w:sz w:val="20"/>
                <w:szCs w:val="20"/>
              </w:rPr>
            </w:pPr>
            <w:r w:rsidRPr="00C147E2">
              <w:rPr>
                <w:sz w:val="20"/>
                <w:szCs w:val="20"/>
              </w:rPr>
              <w:t>0.56</w:t>
            </w:r>
          </w:p>
        </w:tc>
        <w:tc>
          <w:tcPr>
            <w:tcW w:w="0" w:type="auto"/>
          </w:tcPr>
          <w:p w:rsidR="00BD0B86" w:rsidRPr="00C147E2" w:rsidRDefault="00026962">
            <w:pPr>
              <w:pStyle w:val="Compact"/>
              <w:rPr>
                <w:sz w:val="20"/>
                <w:szCs w:val="20"/>
              </w:rPr>
            </w:pPr>
            <w:r w:rsidRPr="00C147E2">
              <w:rPr>
                <w:sz w:val="20"/>
                <w:szCs w:val="20"/>
              </w:rPr>
              <w:t>0.02</w:t>
            </w:r>
          </w:p>
        </w:tc>
        <w:tc>
          <w:tcPr>
            <w:tcW w:w="0" w:type="auto"/>
          </w:tcPr>
          <w:p w:rsidR="00BD0B86" w:rsidRPr="00C147E2" w:rsidRDefault="00026962">
            <w:pPr>
              <w:pStyle w:val="Compact"/>
              <w:rPr>
                <w:sz w:val="20"/>
                <w:szCs w:val="20"/>
              </w:rPr>
            </w:pPr>
            <w:r w:rsidRPr="00C147E2">
              <w:rPr>
                <w:sz w:val="20"/>
                <w:szCs w:val="20"/>
              </w:rPr>
              <w:t>0.98</w:t>
            </w:r>
          </w:p>
        </w:tc>
        <w:tc>
          <w:tcPr>
            <w:tcW w:w="0" w:type="auto"/>
          </w:tcPr>
          <w:p w:rsidR="00BD0B86" w:rsidRPr="00C147E2" w:rsidRDefault="00026962">
            <w:pPr>
              <w:pStyle w:val="Compact"/>
              <w:rPr>
                <w:sz w:val="20"/>
                <w:szCs w:val="20"/>
              </w:rPr>
            </w:pPr>
            <w:r w:rsidRPr="00C147E2">
              <w:rPr>
                <w:sz w:val="20"/>
                <w:szCs w:val="20"/>
              </w:rPr>
              <w:t>0.84</w:t>
            </w:r>
          </w:p>
        </w:tc>
        <w:tc>
          <w:tcPr>
            <w:tcW w:w="0" w:type="auto"/>
          </w:tcPr>
          <w:p w:rsidR="00BD0B86" w:rsidRPr="00C147E2" w:rsidRDefault="00026962">
            <w:pPr>
              <w:pStyle w:val="Compact"/>
              <w:rPr>
                <w:sz w:val="20"/>
                <w:szCs w:val="20"/>
              </w:rPr>
            </w:pPr>
            <w:r w:rsidRPr="00C147E2">
              <w:rPr>
                <w:sz w:val="20"/>
                <w:szCs w:val="20"/>
              </w:rPr>
              <w:t>0.66</w:t>
            </w:r>
          </w:p>
        </w:tc>
      </w:tr>
    </w:tbl>
    <w:p w:rsidR="00BD0B86" w:rsidRDefault="00026962">
      <w:pPr>
        <w:pStyle w:val="BodyText"/>
      </w:pPr>
      <w:r>
        <w:t>These input values can then be used in the model. In Figure x insecticide 1 and 2 are set to the pyrethroid (red) and carbamate (blue) respectively. Exposure is set to 0.5 and starting frequencies to 0.01.</w:t>
      </w:r>
      <w:bookmarkStart w:id="1" w:name="_GoBack"/>
      <w:bookmarkEnd w:id="1"/>
    </w:p>
    <w:p w:rsidR="00BD0B86" w:rsidRDefault="00026962">
      <w:pPr>
        <w:pStyle w:val="FigurewithCaption"/>
      </w:pPr>
      <w:r>
        <w:rPr>
          <w:noProof/>
          <w:lang w:val="en-GB" w:eastAsia="en-GB"/>
        </w:rPr>
        <w:lastRenderedPageBreak/>
        <w:drawing>
          <wp:inline distT="0" distB="0" distL="0" distR="0">
            <wp:extent cx="5334000" cy="3048000"/>
            <wp:effectExtent l="0" t="0" r="0" b="0"/>
            <wp:docPr id="1" name="Picture" descr="Figure 10. Running the model using field data."/>
            <wp:cNvGraphicFramePr/>
            <a:graphic xmlns:a="http://schemas.openxmlformats.org/drawingml/2006/main">
              <a:graphicData uri="http://schemas.openxmlformats.org/drawingml/2006/picture">
                <pic:pic xmlns:pic="http://schemas.openxmlformats.org/drawingml/2006/picture">
                  <pic:nvPicPr>
                    <pic:cNvPr id="0" name="Picture" descr="field_data_in_files/figure-docx/Fig10-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BD0B86" w:rsidRDefault="00026962">
      <w:pPr>
        <w:pStyle w:val="ImageCaption"/>
      </w:pPr>
      <w:r>
        <w:t>Figure 10. Running the model using field data.</w:t>
      </w:r>
    </w:p>
    <w:p w:rsidR="00BD0B86" w:rsidRDefault="00026962">
      <w:pPr>
        <w:pStyle w:val="BodyText"/>
      </w:pPr>
      <w:r>
        <w:t>Resistance to the carbamate (blue) rises quickly because it has high effectiveness and dominance. The mixture performs better than the sequence because the carbamate with it's high effectiveness provides high protection to the pyrethroid.</w:t>
      </w:r>
    </w:p>
    <w:p w:rsidR="00BD0B86" w:rsidRDefault="00026962">
      <w:pPr>
        <w:pStyle w:val="Heading1"/>
      </w:pPr>
      <w:bookmarkStart w:id="2" w:name="references"/>
      <w:bookmarkEnd w:id="2"/>
      <w:r>
        <w:t>References</w:t>
      </w:r>
    </w:p>
    <w:p w:rsidR="00BD0B86" w:rsidRDefault="00026962">
      <w:pPr>
        <w:pStyle w:val="Bibliography"/>
      </w:pPr>
      <w:r>
        <w:t>1. Kol</w:t>
      </w:r>
      <w:r>
        <w:t xml:space="preserve">aczinski JH, Fanello C, Hervé JP, Conway DJ, Carnevale P, Curtis CF: </w:t>
      </w:r>
      <w:r>
        <w:rPr>
          <w:b/>
        </w:rPr>
        <w:t>Experimental and molecular genetic analysis of the impact of pyrethroid and non-pyrethroid insecticide impregnated bednets for mosquito control in an area of pyrethroid resistance.</w:t>
      </w:r>
      <w:r>
        <w:t xml:space="preserve"> </w:t>
      </w:r>
      <w:r>
        <w:rPr>
          <w:i/>
        </w:rPr>
        <w:t>Bullet</w:t>
      </w:r>
      <w:r>
        <w:rPr>
          <w:i/>
        </w:rPr>
        <w:t>in of entomological research</w:t>
      </w:r>
      <w:r>
        <w:t xml:space="preserve"> 2000, </w:t>
      </w:r>
      <w:r>
        <w:rPr>
          <w:b/>
        </w:rPr>
        <w:t>90</w:t>
      </w:r>
      <w:r>
        <w:t>:125–32.</w:t>
      </w:r>
    </w:p>
    <w:p w:rsidR="00BD0B86" w:rsidRDefault="00026962">
      <w:pPr>
        <w:pStyle w:val="Bibliography"/>
      </w:pPr>
      <w:r>
        <w:t xml:space="preserve">2. Essandoh J, Yawson AE, Weetman D: </w:t>
      </w:r>
      <w:r>
        <w:rPr>
          <w:b/>
        </w:rPr>
        <w:t>Acetylcholinesterase (Ace-1) target site mutation 119S is strongly diagnostic of carbamate and organophosphate resistance in Anopheles gambiae s.s. and Anopheles coluzzii ac</w:t>
      </w:r>
      <w:r>
        <w:rPr>
          <w:b/>
        </w:rPr>
        <w:t>ross southern Ghana</w:t>
      </w:r>
      <w:r>
        <w:t xml:space="preserve">. </w:t>
      </w:r>
      <w:r>
        <w:rPr>
          <w:i/>
        </w:rPr>
        <w:t>Malaria Journal</w:t>
      </w:r>
      <w:r>
        <w:t xml:space="preserve"> 2013, </w:t>
      </w:r>
      <w:r>
        <w:rPr>
          <w:b/>
        </w:rPr>
        <w:t>12</w:t>
      </w:r>
      <w:r>
        <w:t>:404.</w:t>
      </w:r>
    </w:p>
    <w:sectPr w:rsidR="00BD0B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962" w:rsidRDefault="00026962">
      <w:pPr>
        <w:spacing w:after="0"/>
      </w:pPr>
      <w:r>
        <w:separator/>
      </w:r>
    </w:p>
  </w:endnote>
  <w:endnote w:type="continuationSeparator" w:id="0">
    <w:p w:rsidR="00026962" w:rsidRDefault="000269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962" w:rsidRDefault="00026962">
      <w:r>
        <w:separator/>
      </w:r>
    </w:p>
  </w:footnote>
  <w:footnote w:type="continuationSeparator" w:id="0">
    <w:p w:rsidR="00026962" w:rsidRDefault="00026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3421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DDD4C0"/>
    <w:multiLevelType w:val="multilevel"/>
    <w:tmpl w:val="0A969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6962"/>
    <w:rsid w:val="004E29B3"/>
    <w:rsid w:val="00590D07"/>
    <w:rsid w:val="00784D58"/>
    <w:rsid w:val="008D6863"/>
    <w:rsid w:val="00B86B75"/>
    <w:rsid w:val="00BC48D5"/>
    <w:rsid w:val="00BD0B86"/>
    <w:rsid w:val="00C147E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48C00-230B-43B7-9721-5D3077D2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getting field data into insecticide resistance model</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field data into insecticide resistance model</dc:title>
  <dc:creator>andy</dc:creator>
  <cp:lastModifiedBy>andy</cp:lastModifiedBy>
  <cp:revision>2</cp:revision>
  <dcterms:created xsi:type="dcterms:W3CDTF">2017-12-15T19:04:00Z</dcterms:created>
  <dcterms:modified xsi:type="dcterms:W3CDTF">2017-12-15T19:04:00Z</dcterms:modified>
</cp:coreProperties>
</file>