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tiff" ContentType="image/tiff"/>
  <Override PartName="/word/media/rId48.tiff" ContentType="image/tiff"/>
  <Override PartName="/word/media/rId38.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Override PartName="/word/media/rId46.tiff" ContentType="image/tiff"/>
  <Override PartName="/word/media/rId47.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 “sequential” policy is effectively a “rotate when resistant” policy but we use the former term for consistency with previous work.</w:t>
      </w:r>
      <w:r>
        <w:t xml:space="preserve"> </w:t>
      </w:r>
      <w:r>
        <w:rPr>
          <w:i/>
        </w:rPr>
        <w:t xml:space="preserve">todo cite different terms from Rex consortium review</w:t>
      </w:r>
      <w:r>
        <w:t xml:space="preserve"> </w:t>
      </w:r>
      <w:r>
        <w:t xml:space="preserve">For both rotations and sequences the simulation continues until no more insecticides remain below their resistance thresholds.</w:t>
      </w:r>
    </w:p>
    <w:p>
      <w:pPr>
        <w:pStyle w:val="BodyText"/>
      </w:pPr>
      <w:r>
        <w:t xml:space="preserve">Within the model inputs effect fitness as shown in Figure 1, differences in fitness lead to the changes in allele frequencies over time.</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7" w:name="assessing-relative-performance-of-insecticide-use-strategies"/>
      <w:bookmarkEnd w:id="27"/>
      <w:r>
        <w:t xml:space="preserve">Assessing relative performance of insecticide use strategies</w:t>
      </w:r>
    </w:p>
    <w:p>
      <w:pPr>
        <w:pStyle w:val="FirstParagraph"/>
      </w:pPr>
      <w:r>
        <w:rPr>
          <w:i/>
        </w:rPr>
        <w:t xml:space="preserve">todo change this bit, we could actually use time-to-resistance for all strategies ?</w:t>
      </w:r>
      <w:r>
        <w:t xml:space="preserve"> </w:t>
      </w:r>
      <w:r>
        <w:rPr>
          <w:i/>
        </w:rPr>
        <w:t xml:space="preserve">make it clearer exactly what we do</w:t>
      </w:r>
      <w:r>
        <w:t xml:space="preserve"> </w:t>
      </w: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8" w:name="results"/>
      <w:bookmarkEnd w:id="28"/>
      <w:r>
        <w:t xml:space="preserve">Results</w:t>
      </w:r>
    </w:p>
    <w:p>
      <w:pPr>
        <w:pStyle w:val="Heading4"/>
      </w:pPr>
      <w:bookmarkStart w:id="29" w:name="results1.-form-of-resistance-evolution-with-and-without-costs-and-dispersal."/>
      <w:bookmarkEnd w:id="29"/>
      <w:r>
        <w:t xml:space="preserve">Results1. form of resistance evolution with and without costs and dispersal.</w:t>
      </w:r>
    </w:p>
    <w:p>
      <w:pPr>
        <w:pStyle w:val="FirstParagraph"/>
      </w:pPr>
      <w:r>
        <w:t xml:space="preserve">Example model runs are shown with no costs or dispersal (Fig 2), with just resistance costs (Fig 3) and with just dispersal from untreated refugia (Fig 4).</w:t>
      </w:r>
    </w:p>
    <w:p>
      <w:pPr>
        <w:pStyle w:val="BodyText"/>
      </w:pPr>
      <w:r>
        <w:t xml:space="preserve">When there are no resistance fitness costs or dispersal links to untreated refugia resistance frequencies do not decline when an insecticide is not in use (Fig 2).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BodyText"/>
      </w:pPr>
      <w:r>
        <w:rPr>
          <w:i/>
        </w:rPr>
        <w:t xml:space="preserve">todo continue describing the example runs first, before talking about overall results</w:t>
      </w:r>
    </w:p>
    <w:p>
      <w:pPr>
        <w:pStyle w:val="Heading3"/>
      </w:pPr>
      <w:bookmarkStart w:id="30" w:name="results2-comparing-rotations-and-sequences-across-model-runs."/>
      <w:bookmarkEnd w:id="30"/>
      <w:r>
        <w:t xml:space="preserve">Results2 : comparing rotations and sequences across model runs.</w:t>
      </w:r>
    </w:p>
    <w:p>
      <w:pPr>
        <w:pStyle w:val="FirstParagraph"/>
      </w:pPr>
      <w:r>
        <w:t xml:space="preserve">In all the example runs shown the resistance threshold (allele frequency of 0.5) was reached for all insecticides within the course 500 generations which was the maximum limit imposed in the model. There were many model runs [</w:t>
      </w:r>
      <w:r>
        <w:rPr>
          <w:i/>
        </w:rPr>
        <w:t xml:space="preserve">quantify later when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resistance threshold are still available to be used.</w:t>
      </w:r>
    </w:p>
    <w:p>
      <w:pPr>
        <w:pStyle w:val="BodyText"/>
      </w:pPr>
      <w:r>
        <w:t xml:space="preserve">Thus to aid the comparison of rotations and sequences model runs can be broadly classified into four groups :</w:t>
      </w:r>
      <w:r>
        <w:t xml:space="preserve"> </w:t>
      </w:r>
      <w:r>
        <w:t xml:space="preserve">1. both strategies succeeded : for both rotations and sequences resistance thresholds for all insecticides not reached within 500 generations.</w:t>
      </w:r>
      <w:r>
        <w:t xml:space="preserve"> </w:t>
      </w:r>
      <w:r>
        <w:t xml:space="preserve">2. neither strategy succeeded</w:t>
      </w:r>
      <w:r>
        <w:t xml:space="preserve"> </w:t>
      </w:r>
      <w:r>
        <w:t xml:space="preserve">3. rotation only succeeded</w:t>
      </w:r>
      <w:r>
        <w:t xml:space="preserve"> </w:t>
      </w:r>
      <w:r>
        <w:t xml:space="preserve">4. sequence only succeeded</w:t>
      </w:r>
    </w:p>
    <w:p>
      <w:pPr>
        <w:pStyle w:val="BodyText"/>
      </w:pPr>
      <w:r>
        <w:t xml:space="preserve">The number of model runs in each of these groups for the different scenarios are shown in Fig 5. In the base scenario with no costs or dispersal (Fig 5A) the majority of runs do not succeed, a small proportion succeed for both strategies and none succeed for either strategy alone. When costs of reistance are added (Fig 5B) more runs succeed for both strategies, up to about half of those that succeed for neither, and a small proportion (&lt; 4%) succeed for rotations alone. Adding both costs and dispersal results in more runs succeeding for both than neither (Fig 5C).</w:t>
      </w:r>
    </w:p>
    <w:p>
      <w:pPr>
        <w:pStyle w:val="BodyText"/>
      </w:pPr>
      <w:r>
        <w:t xml:space="preserve">To look at the potential benefit of rotations the number of generations below resistance thresholds was compared across strategies. This will be influenced by the previous analysis because only those runs that do not succeed for both strategies can generate a difference between them.</w:t>
      </w:r>
    </w:p>
    <w:p>
      <w:pPr>
        <w:pStyle w:val="BodyText"/>
      </w:pPr>
      <w:r>
        <w:t xml:space="preserve">When there were no costs or dispersal there was no difference between rotations and sequences in the number of generations below the resistance threshold (Fig 6A) (for comparison with other strategies the results are grouped into those between plus and minus 1%). With fitness costs included 80% of model runs, similar to those in the previous section, gave no difference between rotations and sequences in the number of generations below the resistance threshold. In contrast, 7% of model runs generated an advantage of greater than 20% for rotations over sequences (Fig 6B). Dispersal from untreated refugia gives smaller benefits of rotations over sequences and in fewer runs (Fig 6C). With both costs and dispersal the benefits of rotations are similar to when runs have costs alone (Fig 6D).</w:t>
      </w:r>
    </w:p>
    <w:p>
      <w:pPr>
        <w:pStyle w:val="Heading4"/>
      </w:pPr>
      <w:bookmarkStart w:id="31" w:name="runs-where-rotations-have-substantial-advantage-over-sequences"/>
      <w:bookmarkEnd w:id="31"/>
      <w:r>
        <w:t xml:space="preserve">Runs where rotations have substantial advantage over sequences</w:t>
      </w:r>
    </w:p>
    <w:p>
      <w:pPr>
        <w:pStyle w:val="FirstParagraph"/>
      </w:pPr>
      <w:r>
        <w:rPr>
          <w:i/>
        </w:rPr>
        <w:t xml:space="preserve">show violin plots here ?</w:t>
      </w:r>
    </w:p>
    <w:p>
      <w:pPr>
        <w:pStyle w:val="BodyText"/>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2" w:name="discussion"/>
      <w:bookmarkEnd w:id="32"/>
      <w:r>
        <w:t xml:space="preserve">Discussion</w:t>
      </w:r>
    </w:p>
    <w:p>
      <w:pPr>
        <w:pStyle w:val="FirstParagraph"/>
      </w:pPr>
      <w:r>
        <w:t xml:space="preserve">The model shows that rotations and sequences most often have very similar performance (within 1 %) in terms of time to reach resistance thresholds (Fig 6).</w:t>
      </w:r>
    </w:p>
    <w:p>
      <w:pPr>
        <w:pStyle w:val="BodyText"/>
      </w:pPr>
      <w:r>
        <w:rPr>
          <w:i/>
        </w:rPr>
        <w:t xml:space="preserve">todo add something about how costs and dispersal generally improve the performance of both strategies</w:t>
      </w:r>
      <w:r>
        <w:t xml:space="preserve"> </w:t>
      </w:r>
      <w:r>
        <w:rPr>
          <w:i/>
        </w:rPr>
        <w:t xml:space="preserve">todo add about how rotations generally perform better relative to sequences under 'intermediate' scenarios. In 'better' scenarios both strategies do equally well and in 'poorer' scenarios they do equally badly.</w:t>
      </w:r>
    </w:p>
    <w:p>
      <w:pPr>
        <w:pStyle w:val="Compact"/>
        <w:numPr>
          <w:numId w:val="1003"/>
          <w:ilvl w:val="0"/>
        </w:numPr>
      </w:pPr>
      <w:r>
        <w:t xml:space="preserve">rotations and sequences give the same results when there are no costs or dispersal.</w:t>
      </w:r>
    </w:p>
    <w:p>
      <w:pPr>
        <w:pStyle w:val="Compact"/>
        <w:numPr>
          <w:numId w:val="1003"/>
          <w:ilvl w:val="0"/>
        </w:numPr>
      </w:pPr>
      <w:r>
        <w:t xml:space="preserve">with resistance costs, 80% of runs are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Y where costs during the periods when the insecticide is not deployed greatly outweigh the selection for IR during the periods when the insecticide is deployed. We believe the explanation is therefore that rotations keep allele frequencies in the parameter space to the left of Figure Y and hence acts to slow the evolution of IR compared to sequences which allow frequencies to rise to relatively high levels before the insecticide is replaced. (does this sound reasonable??). Note also that starting frequency, as expected, had an impact (Figure 7), lower starting frequencies slightly favouring rotations by allowing more time in the “low frequency” parameter space.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 “official” 10 generations) but our simulations suggest this would not fatally undermine a rotations policy.</w:t>
      </w:r>
    </w:p>
    <w:p>
      <w:pPr>
        <w:pStyle w:val="Heading3"/>
      </w:pPr>
      <w:bookmarkStart w:id="33" w:name="caveats"/>
      <w:bookmarkEnd w:id="33"/>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4" w:name="conclusions"/>
      <w:bookmarkEnd w:id="34"/>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5" w:name="todo"/>
      <w:bookmarkEnd w:id="35"/>
      <w:r>
        <w:t xml:space="preserve">TODO</w:t>
      </w:r>
    </w:p>
    <w:p>
      <w:pPr>
        <w:pStyle w:val="FirstParagraph"/>
      </w:pPr>
      <w:r>
        <w:rPr>
          <w:i/>
        </w:rPr>
        <w:t xml:space="preserve">add to methods description of how fitness determined in model, move &amp; modify fig 1</w:t>
      </w:r>
      <w:r>
        <w:t xml:space="preserve"> </w:t>
      </w:r>
      <w:r>
        <w:rPr>
          <w:i/>
        </w:rPr>
        <w:t xml:space="preserve">try to come up with brief name for model output to make it easier to refer to it later</w:t>
      </w:r>
      <w:r>
        <w:t xml:space="preserve"> </w:t>
      </w:r>
      <w:r>
        <w:rPr>
          <w:i/>
        </w:rPr>
        <w:t xml:space="preserve">add caveat about polygenic resistance</w:t>
      </w:r>
      <w:r>
        <w:t xml:space="preserve"> </w:t>
      </w:r>
      <w:r>
        <w:rPr>
          <w:i/>
        </w:rPr>
        <w:t xml:space="preserve">The caption to each graph needs to have the list of parameter values used to generate them</w:t>
      </w:r>
      <w:r>
        <w:t xml:space="preserve"> </w:t>
      </w:r>
      <w:r>
        <w:rPr>
          <w:i/>
        </w:rPr>
        <w:t xml:space="preserve">work on Ians fig Y to help explanation</w:t>
      </w:r>
    </w:p>
    <w:p>
      <w:pPr>
        <w:pStyle w:val="BodyText"/>
      </w:pPr>
    </w:p>
    <w:p>
      <w:pPr>
        <w:pStyle w:val="Heading2"/>
      </w:pPr>
      <w:bookmarkStart w:id="36" w:name="figures"/>
      <w:bookmarkEnd w:id="36"/>
      <w:r>
        <w:t xml:space="preserve">Figures</w:t>
      </w:r>
    </w:p>
    <w:p>
      <w:pPr>
        <w:pStyle w:val="FigureWithCaption"/>
      </w:pPr>
      <w:r>
        <w:drawing>
          <wp:inline>
            <wp:extent cx="3810000" cy="2540000"/>
            <wp:effectExtent b="0" l="0" r="0" t="0"/>
            <wp:docPr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1-1.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 id="1" name="Picture"/>
            <a:graphic>
              <a:graphicData uri="http://schemas.openxmlformats.org/drawingml/2006/picture">
                <pic:pic>
                  <pic:nvPicPr>
                    <pic:cNvPr descr="pap3figs/Fig2-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w:t>
      </w:r>
    </w:p>
    <w:p>
      <w:pPr>
        <w:pStyle w:val="BodyText"/>
      </w:pPr>
    </w:p>
    <w:p>
      <w:pPr>
        <w:pStyle w:val="FigureWithCaption"/>
      </w:pPr>
      <w:r>
        <w:drawing>
          <wp:inline>
            <wp:extent cx="3810000" cy="2540000"/>
            <wp:effectExtent b="0" l="0" r="0" t="0"/>
            <wp:docPr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 id="1" name="Picture"/>
            <a:graphic>
              <a:graphicData uri="http://schemas.openxmlformats.org/drawingml/2006/picture">
                <pic:pic>
                  <pic:nvPicPr>
                    <pic:cNvPr descr="pap3figs/Fig3-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 id="1" name="Picture"/>
            <a:graphic>
              <a:graphicData uri="http://schemas.openxmlformats.org/drawingml/2006/picture">
                <pic:pic>
                  <pic:nvPicPr>
                    <pic:cNvPr descr="pap3figs/Fig4-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 id="1" name="Picture"/>
            <a:graphic>
              <a:graphicData uri="http://schemas.openxmlformats.org/drawingml/2006/picture">
                <pic:pic>
                  <pic:nvPicPr>
                    <pic:cNvPr descr="pap3figs/Fig5-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w:t>
      </w:r>
    </w:p>
    <w:p>
      <w:pPr>
        <w:pStyle w:val="BodyText"/>
      </w:pPr>
    </w:p>
    <w:p>
      <w:pPr>
        <w:pStyle w:val="FigureWithCaption"/>
      </w:pPr>
      <w:r>
        <w:drawing>
          <wp:inline>
            <wp:extent cx="3810000" cy="2540000"/>
            <wp:effectExtent b="0" l="0" r="0" t="0"/>
            <wp:docPr descr="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 id="1" name="Picture"/>
            <a:graphic>
              <a:graphicData uri="http://schemas.openxmlformats.org/drawingml/2006/picture">
                <pic:pic>
                  <pic:nvPicPr>
                    <pic:cNvPr descr="pap3figs/Fig5xtra-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w:t>
      </w:r>
    </w:p>
    <w:p>
      <w:pPr>
        <w:pStyle w:val="BodyText"/>
      </w:pPr>
    </w:p>
    <w:p>
      <w:pPr>
        <w:pStyle w:val="FigureWithCaption"/>
      </w:pPr>
      <w:r>
        <w:drawing>
          <wp:inline>
            <wp:extent cx="3810000" cy="2540000"/>
            <wp:effectExtent b="0" l="0" r="0" t="0"/>
            <wp:docPr descr="Figure 5xtra cost and dispersal. Probably don't show in the paper. Similar to previous one. Just adds coverage and migration." id="1" name="Picture"/>
            <a:graphic>
              <a:graphicData uri="http://schemas.openxmlformats.org/drawingml/2006/picture">
                <pic:pic>
                  <pic:nvPicPr>
                    <pic:cNvPr descr="pap3figs/Fig5xtra_cost_dispersal-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cost and dispersal. Probably don't show in the paper. Similar to previous one. Just adds coverage and migration.</w:t>
      </w:r>
    </w:p>
    <w:p>
      <w:pPr>
        <w:pStyle w:val="BodyText"/>
      </w:pPr>
    </w:p>
    <w:p>
      <w:pPr>
        <w:pStyle w:val="FigureWithCaption"/>
      </w:pPr>
      <w:r>
        <w:drawing>
          <wp:inline>
            <wp:extent cx="3810000" cy="2540000"/>
            <wp:effectExtent b="0" l="0" r="0" t="0"/>
            <wp:docPr descr="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6-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id="1" name="Picture"/>
            <a:graphic>
              <a:graphicData uri="http://schemas.openxmlformats.org/drawingml/2006/picture">
                <pic:pic>
                  <pic:nvPicPr>
                    <pic:cNvPr descr="pap3figs/Fig7-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w:t>
      </w:r>
    </w:p>
    <w:p>
      <w:pPr>
        <w:pStyle w:val="BodyText"/>
      </w:pPr>
    </w:p>
    <w:p>
      <w:pPr>
        <w:pStyle w:val="FigureWithCaption"/>
      </w:pPr>
      <w:r>
        <w:drawing>
          <wp:inline>
            <wp:extent cx="3810000" cy="2540000"/>
            <wp:effectExtent b="0" l="0" r="0" t="0"/>
            <wp:docPr descr="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id="1" name="Picture"/>
            <a:graphic>
              <a:graphicData uri="http://schemas.openxmlformats.org/drawingml/2006/picture">
                <pic:pic>
                  <pic:nvPicPr>
                    <pic:cNvPr descr="pap3figs/Fig8-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w:t>
      </w:r>
    </w:p>
    <w:p>
      <w:pPr>
        <w:pStyle w:val="BodyText"/>
      </w:pPr>
    </w:p>
    <w:p>
      <w:pPr>
        <w:pStyle w:val="FigureWithCaption"/>
      </w:pPr>
      <w:r>
        <w:drawing>
          <wp:inline>
            <wp:extent cx="3810000" cy="2540000"/>
            <wp:effectExtent b="0" l="0" r="0" t="0"/>
            <wp:docPr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9-1.tif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 id="1" name="Picture"/>
            <a:graphic>
              <a:graphicData uri="http://schemas.openxmlformats.org/drawingml/2006/picture">
                <pic:pic>
                  <pic:nvPicPr>
                    <pic:cNvPr descr="pap3figs/Fig10-1.tif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Plot calculation assumes Hardy-Weinberg equilibrium which will not be the case under selection but the general pattern will be similar. Fitness cost set to 0.05 and selective advantage of resistance to 0.4.</w:t>
      </w:r>
    </w:p>
    <w:p>
      <w:pPr>
        <w:pStyle w:val="Heading2"/>
      </w:pPr>
      <w:bookmarkStart w:id="49" w:name="references"/>
      <w:bookmarkEnd w:id="49"/>
      <w:r>
        <w:t xml:space="preserve">References</w:t>
      </w:r>
    </w:p>
    <w:p>
      <w:pPr>
        <w:pStyle w:val="Bibliography"/>
      </w:pPr>
      <w:r>
        <w:t xml:space="preserve">1. Consortium R. Heterogeneity of selection and the evolution of resistance. Trends in Ecology &amp; Evolution. 2013;28:110–8. doi:</w:t>
      </w:r>
      <w:hyperlink r:id="rId50">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51">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2">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3">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f31c3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dc4227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tiff" /><Relationship Type="http://schemas.openxmlformats.org/officeDocument/2006/relationships/image" Id="rId48" Target="media/rId48.tiff" /><Relationship Type="http://schemas.openxmlformats.org/officeDocument/2006/relationships/image" Id="rId38" Target="media/rId38.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image" Id="rId46" Target="media/rId46.tiff" /><Relationship Type="http://schemas.openxmlformats.org/officeDocument/2006/relationships/image" Id="rId47" Target="media/rId47.tiff" /><Relationship Type="http://schemas.openxmlformats.org/officeDocument/2006/relationships/hyperlink" Id="rId50" Target="https://doi.org/10.1016/j.tree.2012.09.001" TargetMode="External" /><Relationship Type="http://schemas.openxmlformats.org/officeDocument/2006/relationships/hyperlink" Id="rId51" Target="https://doi.org/10.1111/eva.12550" TargetMode="External" /><Relationship Type="http://schemas.openxmlformats.org/officeDocument/2006/relationships/hyperlink" Id="rId52" Target="https://doi.org/10.1186/s12936-018-2203-y" TargetMode="External" /><Relationship Type="http://schemas.openxmlformats.org/officeDocument/2006/relationships/hyperlink" Id="rId53"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50" Target="https://doi.org/10.1016/j.tree.2012.09.001" TargetMode="External" /><Relationship Type="http://schemas.openxmlformats.org/officeDocument/2006/relationships/hyperlink" Id="rId51" Target="https://doi.org/10.1111/eva.12550" TargetMode="External" /><Relationship Type="http://schemas.openxmlformats.org/officeDocument/2006/relationships/hyperlink" Id="rId52" Target="https://doi.org/10.1186/s12936-018-2203-y" TargetMode="External" /><Relationship Type="http://schemas.openxmlformats.org/officeDocument/2006/relationships/hyperlink" Id="rId53"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2018-05-11T13:31:04Z</dcterms:created>
  <dcterms:modified xsi:type="dcterms:W3CDTF">2018-05-11T13:31:04Z</dcterms:modified>
</cp:coreProperties>
</file>