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tiff" ContentType="image/tiff"/>
  <Override PartName="/word/media/rId50.tiff" ContentType="image/tiff"/>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Override PartName="/word/media/rId45.tiff" ContentType="image/tiff"/>
  <Override PartName="/word/media/rId46.tiff" ContentType="image/tiff"/>
  <Override PartName="/word/media/rId47.tiff" ContentType="image/tiff"/>
  <Override PartName="/word/media/rId49.tiff" ContentType="image/tiff"/>
  <Override PartName="/word/media/rId48.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tracking the change in resistance allele frequency as consequence of the genetic determination of the resistance phenotype, and the deployment policy for the insecticides. The model uses a similar approach to that previously used to compare insecticide mixtures and sequences</w:t>
      </w:r>
      <w:r>
        <w:t xml:space="preserve"> </w:t>
      </w:r>
      <w:r>
        <w:t xml:space="preserve">[5]</w:t>
      </w:r>
      <w:r>
        <w:t xml:space="preserve">. The implementation is simpler here because for rotations and sequences there is only a need to follow one insecticide at a time and linkage disequilibrium can be ignored.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(i.e. number of insect generations),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 This means that the</w:t>
      </w:r>
      <w:r>
        <w:t xml:space="preserve"> </w:t>
      </w:r>
      <w:r>
        <w:t xml:space="preserve">“</w:t>
      </w:r>
      <w:r>
        <w:t xml:space="preserve">sequential</w:t>
      </w:r>
      <w:r>
        <w:t xml:space="preserve">”</w:t>
      </w:r>
      <w:r>
        <w:t xml:space="preserve"> </w:t>
      </w:r>
      <w:r>
        <w:t xml:space="preserve">policy is effectively a</w:t>
      </w:r>
      <w:r>
        <w:t xml:space="preserve"> </w:t>
      </w:r>
      <w:r>
        <w:t xml:space="preserve">“</w:t>
      </w:r>
      <w:r>
        <w:t xml:space="preserve">rotate when resistant</w:t>
      </w:r>
      <w:r>
        <w:t xml:space="preserve">”</w:t>
      </w:r>
      <w:r>
        <w:t xml:space="preserve"> </w:t>
      </w:r>
      <w:r>
        <w:t xml:space="preserve">policy but we use the former term for consistency with previous work.</w:t>
      </w:r>
      <w:r>
        <w:t xml:space="preserve"> </w:t>
      </w:r>
      <w:r>
        <w:rPr>
          <w:i/>
        </w:rPr>
        <w:t xml:space="preserve">todo cite different terms from Rex consortium review</w:t>
      </w:r>
      <w:r>
        <w:t xml:space="preserve"> </w:t>
      </w:r>
      <w:r>
        <w:t xml:space="preserve">For both rotations and sequences the simulation continues until no more insecticides remain below their resistance thresholds.</w:t>
      </w:r>
    </w:p>
    <w:p>
      <w:pPr>
        <w:pStyle w:val="BodyText"/>
      </w:pPr>
      <w:r>
        <w:rPr>
          <w:i/>
        </w:rPr>
        <w:t xml:space="preserve">todo add to this description of how the model works and refer to SI where we can show the algebra</w:t>
      </w:r>
    </w:p>
    <w:p>
      <w:pPr>
        <w:pStyle w:val="BodyText"/>
      </w:pPr>
      <w:r>
        <w:t xml:space="preserve">Within the model, the inputs described in Table 1 determine the fitness in each generation as shown in Figure 1, differences in fitness lead to the changes in allele frequencies in the following generation.</w:t>
      </w:r>
    </w:p>
    <w:p>
      <w:pPr>
        <w:pStyle w:val="BodyText"/>
      </w:pPr>
      <w:r>
        <w:rPr>
          <w:b/>
        </w:rPr>
        <w:t xml:space="preserve">Table 1. Model inputs and the ranges used in simulations</w:t>
      </w:r>
    </w:p>
    <w:tbl>
      <w:tblPr>
        <w:tblStyle w:val="TableNormal"/>
        <w:tblW w:type="pct" w:w="5000.0"/>
        <w:tblLook w:firstRow="1"/>
      </w:tblPr>
      <w:tblGrid>
        <w:gridCol w:w="2495"/>
        <w:gridCol w:w="4122"/>
        <w:gridCol w:w="650"/>
        <w:gridCol w:w="650"/>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r>
      <w:tr>
        <w:tc>
          <w:p>
            <w:pPr>
              <w:pStyle w:val="Compact"/>
              <w:jc w:val="left"/>
            </w:pPr>
            <w:r>
              <w:t xml:space="preserve">Effectiveness</w:t>
            </w:r>
          </w:p>
        </w:tc>
        <w:tc>
          <w:p>
            <w:pPr>
              <w:pStyle w:val="Compact"/>
              <w:jc w:val="left"/>
            </w:pPr>
            <w:r>
              <w:t xml:space="preserve">proportion of susceptible (SS) insects killed by exposure to insecticide</w:t>
            </w:r>
          </w:p>
        </w:tc>
        <w:tc>
          <w:p>
            <w:pPr>
              <w:pStyle w:val="Compact"/>
              <w:jc w:val="left"/>
            </w:pPr>
            <w:r>
              <w:t xml:space="preserve">0.5</w:t>
            </w:r>
          </w:p>
        </w:tc>
        <w:tc>
          <w:p>
            <w:pPr>
              <w:pStyle w:val="Compact"/>
              <w:jc w:val="left"/>
            </w:pPr>
            <w:r>
              <w:t xml:space="preserve">1</w:t>
            </w:r>
          </w:p>
        </w:tc>
      </w:tr>
      <w:tr>
        <w:tc>
          <w:p>
            <w:pPr>
              <w:pStyle w:val="Compact"/>
              <w:jc w:val="left"/>
            </w:pPr>
            <w:r>
              <w:t xml:space="preserve">Exposure</w:t>
            </w:r>
          </w:p>
        </w:tc>
        <w:tc>
          <w:p>
            <w:pPr>
              <w:pStyle w:val="Compact"/>
              <w:jc w:val="left"/>
            </w:pPr>
            <w:r>
              <w:t xml:space="preserve">proportion of females exposed to insecticide</w:t>
            </w:r>
          </w:p>
        </w:tc>
        <w:tc>
          <w:p>
            <w:pPr>
              <w:pStyle w:val="Compact"/>
              <w:jc w:val="left"/>
            </w:pPr>
            <w:r>
              <w:t xml:space="preserve">0.4</w:t>
            </w:r>
          </w:p>
        </w:tc>
        <w:tc>
          <w:p>
            <w:pPr>
              <w:pStyle w:val="Compact"/>
              <w:jc w:val="left"/>
            </w:pPr>
            <w:r>
              <w:t xml:space="preserve">0.9</w:t>
            </w:r>
          </w:p>
        </w:tc>
      </w:tr>
      <w:tr>
        <w:tc>
          <w:p>
            <w:pPr>
              <w:pStyle w:val="Compact"/>
              <w:jc w:val="left"/>
            </w:pPr>
            <w:r>
              <w:t xml:space="preserve">Male exposure</w:t>
            </w:r>
          </w:p>
        </w:tc>
        <w:tc>
          <w:p>
            <w:pPr>
              <w:pStyle w:val="Compact"/>
              <w:jc w:val="left"/>
            </w:pPr>
            <w:r>
              <w:t xml:space="preserve">proportion of males exposed to insecticide as proportion of females</w:t>
            </w:r>
          </w:p>
        </w:tc>
        <w:tc>
          <w:p>
            <w:pPr>
              <w:pStyle w:val="Compact"/>
              <w:jc w:val="left"/>
            </w:pPr>
            <w:r>
              <w:t xml:space="preserve">0</w:t>
            </w:r>
          </w:p>
        </w:tc>
        <w:tc>
          <w:p>
            <w:pPr>
              <w:pStyle w:val="Compact"/>
              <w:jc w:val="left"/>
            </w:pPr>
            <w:r>
              <w:t xml:space="preserve">1</w:t>
            </w:r>
          </w:p>
        </w:tc>
      </w:tr>
      <w:tr>
        <w:tc>
          <w:p>
            <w:pPr>
              <w:pStyle w:val="Compact"/>
              <w:jc w:val="left"/>
            </w:pPr>
            <w:r>
              <w:t xml:space="preserve">Resistance restoration</w:t>
            </w:r>
          </w:p>
        </w:tc>
        <w:tc>
          <w:p>
            <w:pPr>
              <w:pStyle w:val="Compact"/>
              <w:jc w:val="left"/>
            </w:pPr>
            <w:r>
              <w:t xml:space="preserve">ability of resistance (RR) to restore fitness of insects exposed to insecticide</w:t>
            </w:r>
          </w:p>
        </w:tc>
        <w:tc>
          <w:p>
            <w:pPr>
              <w:pStyle w:val="Compact"/>
              <w:jc w:val="left"/>
            </w:pPr>
            <w:r>
              <w:t xml:space="preserve">0.1</w:t>
            </w:r>
          </w:p>
        </w:tc>
        <w:tc>
          <w:p>
            <w:pPr>
              <w:pStyle w:val="Compact"/>
              <w:jc w:val="left"/>
            </w:pPr>
            <w:r>
              <w:t xml:space="preserve">0.9</w:t>
            </w:r>
          </w:p>
        </w:tc>
      </w:tr>
      <w:tr>
        <w:tc>
          <w:p>
            <w:pPr>
              <w:pStyle w:val="Compact"/>
              <w:jc w:val="left"/>
            </w:pPr>
            <w:r>
              <w:t xml:space="preserve">Dominance of resistance</w:t>
            </w:r>
          </w:p>
        </w:tc>
        <w:tc>
          <w:p>
            <w:pPr>
              <w:pStyle w:val="Compact"/>
              <w:jc w:val="left"/>
            </w:pPr>
            <w:r>
              <w:t xml:space="preserve">sets fitness of heterozygous (SR) insects between that of SS &amp; RR in presence of insecticide</w:t>
            </w:r>
          </w:p>
        </w:tc>
        <w:tc>
          <w:p>
            <w:pPr>
              <w:pStyle w:val="Compact"/>
              <w:jc w:val="left"/>
            </w:pPr>
            <w:r>
              <w:t xml:space="preserve">0</w:t>
            </w:r>
          </w:p>
        </w:tc>
        <w:tc>
          <w:p>
            <w:pPr>
              <w:pStyle w:val="Compact"/>
              <w:jc w:val="left"/>
            </w:pPr>
            <w:r>
              <w:t xml:space="preserve">1</w:t>
            </w:r>
          </w:p>
        </w:tc>
      </w:tr>
      <w:tr>
        <w:tc>
          <w:p>
            <w:pPr>
              <w:pStyle w:val="Compact"/>
              <w:jc w:val="left"/>
            </w:pPr>
            <w:r>
              <w:t xml:space="preserve">Frequency</w:t>
            </w:r>
          </w:p>
        </w:tc>
        <w:tc>
          <w:p>
            <w:pPr>
              <w:pStyle w:val="Compact"/>
              <w:jc w:val="left"/>
            </w:pPr>
            <w:r>
              <w:t xml:space="preserve">frequency of resistance alleles within the population</w:t>
            </w:r>
          </w:p>
        </w:tc>
        <w:tc>
          <w:p>
            <w:pPr>
              <w:pStyle w:val="Compact"/>
              <w:jc w:val="left"/>
            </w:pPr>
            <w:r>
              <w:t xml:space="preserve">0.005</w:t>
            </w:r>
          </w:p>
        </w:tc>
        <w:tc>
          <w:p>
            <w:pPr>
              <w:pStyle w:val="Compact"/>
              <w:jc w:val="left"/>
            </w:pPr>
            <w:r>
              <w:t xml:space="preserve">0.1</w:t>
            </w:r>
          </w:p>
        </w:tc>
      </w:tr>
      <w:tr>
        <w:tc>
          <w:p>
            <w:pPr>
              <w:pStyle w:val="Compact"/>
              <w:jc w:val="left"/>
            </w:pPr>
            <w:r>
              <w:t xml:space="preserve">Cost of resistance</w:t>
            </w:r>
          </w:p>
        </w:tc>
        <w:tc>
          <w:p>
            <w:pPr>
              <w:pStyle w:val="Compact"/>
              <w:jc w:val="left"/>
            </w:pPr>
            <w:r>
              <w:t xml:space="preserve">fitness of resistant (RR) insects in absence of insecticide</w:t>
            </w:r>
          </w:p>
        </w:tc>
        <w:tc>
          <w:p>
            <w:pPr>
              <w:pStyle w:val="Compact"/>
              <w:jc w:val="left"/>
            </w:pPr>
            <w:r>
              <w:t xml:space="preserve">0</w:t>
            </w:r>
          </w:p>
        </w:tc>
        <w:tc>
          <w:p>
            <w:pPr>
              <w:pStyle w:val="Compact"/>
              <w:jc w:val="left"/>
            </w:pPr>
            <w:r>
              <w:t xml:space="preserve">0.1</w:t>
            </w:r>
          </w:p>
        </w:tc>
      </w:tr>
      <w:tr>
        <w:tc>
          <w:p>
            <w:pPr>
              <w:pStyle w:val="Compact"/>
              <w:jc w:val="left"/>
            </w:pPr>
            <w:r>
              <w:t xml:space="preserve">Dominance of cost</w:t>
            </w:r>
          </w:p>
        </w:tc>
        <w:tc>
          <w:p>
            <w:pPr>
              <w:pStyle w:val="Compact"/>
              <w:jc w:val="left"/>
            </w:pPr>
            <w:r>
              <w:t xml:space="preserve">sets fitness of heterozygous (SR) insects between that of SS &amp; RR in absence of insecticide</w:t>
            </w:r>
          </w:p>
        </w:tc>
        <w:tc>
          <w:p>
            <w:pPr>
              <w:pStyle w:val="Compact"/>
              <w:jc w:val="left"/>
            </w:pPr>
            <w:r>
              <w:t xml:space="preserve">0</w:t>
            </w:r>
          </w:p>
        </w:tc>
        <w:tc>
          <w:p>
            <w:pPr>
              <w:pStyle w:val="Compact"/>
              <w:jc w:val="left"/>
            </w:pPr>
            <w:r>
              <w:t xml:space="preserve">1</w:t>
            </w:r>
          </w:p>
        </w:tc>
      </w:tr>
      <w:tr>
        <w:tc>
          <w:p>
            <w:pPr>
              <w:pStyle w:val="Compact"/>
              <w:jc w:val="left"/>
            </w:pPr>
            <w:r>
              <w:t xml:space="preserve">Insecticide number</w:t>
            </w:r>
          </w:p>
        </w:tc>
        <w:tc>
          <w:p>
            <w:pPr>
              <w:pStyle w:val="Compact"/>
              <w:jc w:val="left"/>
            </w:pPr>
            <w:r>
              <w:t xml:space="preserve">number of independent insecticides available</w:t>
            </w:r>
          </w:p>
        </w:tc>
        <w:tc>
          <w:p>
            <w:pPr>
              <w:pStyle w:val="Compact"/>
              <w:jc w:val="left"/>
            </w:pPr>
            <w:r>
              <w:t xml:space="preserve">2</w:t>
            </w:r>
          </w:p>
        </w:tc>
        <w:tc>
          <w:p>
            <w:pPr>
              <w:pStyle w:val="Compact"/>
              <w:jc w:val="left"/>
            </w:pPr>
            <w:r>
              <w:t xml:space="preserve">5</w:t>
            </w:r>
          </w:p>
        </w:tc>
      </w:tr>
      <w:tr>
        <w:tc>
          <w:p>
            <w:pPr>
              <w:pStyle w:val="Compact"/>
              <w:jc w:val="left"/>
            </w:pPr>
            <w:r>
              <w:t xml:space="preserve">Rotation interval</w:t>
            </w:r>
          </w:p>
        </w:tc>
        <w:tc>
          <w:p>
            <w:pPr>
              <w:pStyle w:val="Compact"/>
              <w:jc w:val="left"/>
            </w:pPr>
            <w:r>
              <w:t xml:space="preserve">number of generations to use insecticide before switching</w:t>
            </w:r>
          </w:p>
        </w:tc>
        <w:tc>
          <w:p>
            <w:pPr>
              <w:pStyle w:val="Compact"/>
              <w:jc w:val="left"/>
            </w:pPr>
            <w:r>
              <w:t xml:space="preserve">5</w:t>
            </w:r>
          </w:p>
        </w:tc>
        <w:tc>
          <w:p>
            <w:pPr>
              <w:pStyle w:val="Compact"/>
              <w:jc w:val="left"/>
            </w:pPr>
            <w:r>
              <w:t xml:space="preserve">50</w:t>
            </w:r>
          </w:p>
        </w:tc>
      </w:tr>
      <w:tr>
        <w:tc>
          <w:p>
            <w:pPr>
              <w:pStyle w:val="Compact"/>
              <w:jc w:val="left"/>
            </w:pPr>
            <w:r>
              <w:t xml:space="preserve">Coverage</w:t>
            </w:r>
          </w:p>
        </w:tc>
        <w:tc>
          <w:p>
            <w:pPr>
              <w:pStyle w:val="Compact"/>
              <w:jc w:val="left"/>
            </w:pPr>
            <w:r>
              <w:t xml:space="preserve">for scenarios with dispersal, the proportion of insects in the treated area rather than untreated refugia</w:t>
            </w:r>
          </w:p>
        </w:tc>
        <w:tc>
          <w:p>
            <w:pPr>
              <w:pStyle w:val="Compact"/>
              <w:jc w:val="left"/>
            </w:pPr>
            <w:r>
              <w:t xml:space="preserve">0.1</w:t>
            </w:r>
          </w:p>
        </w:tc>
        <w:tc>
          <w:p>
            <w:pPr>
              <w:pStyle w:val="Compact"/>
              <w:jc w:val="left"/>
            </w:pPr>
            <w:r>
              <w:t xml:space="preserve">0.9</w:t>
            </w:r>
          </w:p>
        </w:tc>
      </w:tr>
      <w:tr>
        <w:tc>
          <w:p>
            <w:pPr>
              <w:pStyle w:val="Compact"/>
              <w:jc w:val="left"/>
            </w:pPr>
            <w:r>
              <w:t xml:space="preserve">Dispersal</w:t>
            </w:r>
          </w:p>
        </w:tc>
        <w:tc>
          <w:p>
            <w:pPr>
              <w:pStyle w:val="Compact"/>
              <w:jc w:val="left"/>
            </w:pPr>
            <w:r>
              <w:t xml:space="preserve">proportion of population exchanged between treated and untreated areas per generation, 0=none, 1=random mixing</w:t>
            </w:r>
          </w:p>
        </w:tc>
        <w:tc>
          <w:p>
            <w:pPr>
              <w:pStyle w:val="Compact"/>
              <w:jc w:val="left"/>
            </w:pPr>
            <w:r>
              <w:t xml:space="preserve">0.1</w:t>
            </w:r>
          </w:p>
        </w:tc>
        <w:tc>
          <w:p>
            <w:pPr>
              <w:pStyle w:val="Compact"/>
              <w:jc w:val="left"/>
            </w:pPr>
            <w:r>
              <w:t xml:space="preserve">0.9</w:t>
            </w:r>
          </w:p>
        </w:tc>
      </w:tr>
    </w:tbl>
    <w:p>
      <w:pPr>
        <w:pStyle w:val="BodyText"/>
      </w:pPr>
      <w:r>
        <w:rPr>
          <w:i/>
        </w:rPr>
        <w:t xml:space="preserve">Ian : at this stage it would be good to revisit the following model details.</w:t>
      </w:r>
    </w:p>
    <w:p>
      <w:pPr>
        <w:pStyle w:val="Heading4"/>
      </w:pPr>
      <w:bookmarkStart w:id="27" w:name="optional-model-details"/>
      <w:bookmarkEnd w:id="27"/>
      <w:r>
        <w:t xml:space="preserve">Optional model details</w:t>
      </w:r>
    </w:p>
    <w:p>
      <w:pPr>
        <w:pStyle w:val="FirstParagraph"/>
      </w:pPr>
      <w:r>
        <w:t xml:space="preserve">Two optional model details were included to aid giving a more meaningful comparison of strategies. Firstly allele frequencies in a run were not allowed to go below the starting frequencies randomly chosen for that run. This aims to represent a situation where in the absence of insecticide use allele frequencies are maintained in balance between mutation and selection. Without this option enabled, in runs including costs of resistance, resistance allele frequencies can decline below starting levels when an insecticide is not in use and this makes it more difficult to compare alternate strategies.</w:t>
      </w:r>
      <w:r>
        <w:t xml:space="preserve"> </w:t>
      </w:r>
      <w:r>
        <w:rPr>
          <w:i/>
        </w:rPr>
        <w:t xml:space="preserve">Ian, can you help out with a few sentences here ?</w:t>
      </w:r>
    </w:p>
    <w:p>
      <w:pPr>
        <w:pStyle w:val="BodyText"/>
      </w:pPr>
      <w:r>
        <w:t xml:space="preserve">Secoundly a constraint was added to stop rapid switching between insecticides every few generations which would be impractical in the field. Certain input combinations create this behaviour in the absence of a constraint. For example when two insecticides are close to the resistance frequency threshold of 0.5 it is possible for them to switch between each other every few generations as frequencies go above the threshold when in use and decline below it when not in use. Two different ways of stopping this rapid switching behaviour were trialled. In one, a minimum-insecticide-use constraint stopped switching to another insecticide within a set number of generations (5 in this case) of starting using another. This could represent a field situation where once walls have been sprayed or nets distributed they cannot be unsprayed or recalled. In a second, a minimum-repeat-interval constraint stopped returning to the use of an insecticide within set number of generations (again we used 5 generations) since it was last used.</w:t>
      </w:r>
      <w:r>
        <w:br w:type="textWrapping"/>
      </w:r>
      <w:r>
        <w:rPr>
          <w:i/>
        </w:rPr>
        <w:t xml:space="preserve">I’m looking into the implications of these different constraints now.</w:t>
      </w:r>
    </w:p>
    <w:p>
      <w:pPr>
        <w:pStyle w:val="BodyText"/>
      </w:pPr>
      <w:r>
        <w:t xml:space="preserve">The model was run under four main scenarios :</w:t>
      </w:r>
    </w:p>
    <w:p>
      <w:pPr>
        <w:pStyle w:val="Compact"/>
        <w:numPr>
          <w:numId w:val="1002"/>
          <w:ilvl w:val="0"/>
        </w:numPr>
      </w:pPr>
      <w:r>
        <w:t xml:space="preserve">baseline : no resistance fitness costs or dispersal to/from untreated refugia</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For each scenario 10,000 runs were performed randomly selecting inputs according to the ranges specified in Table 1 using a uniform distribution in all cases.</w:t>
      </w:r>
    </w:p>
    <w:p>
      <w:pPr>
        <w:pStyle w:val="Heading4"/>
      </w:pPr>
      <w:bookmarkStart w:id="28" w:name="assessing-relative-performance-of-insecticide-use-strategies"/>
      <w:bookmarkEnd w:id="28"/>
      <w:r>
        <w:t xml:space="preserve">Assessing relative performance of insecticide use strategies</w:t>
      </w:r>
    </w:p>
    <w:p>
      <w:pPr>
        <w:pStyle w:val="FirstParagraph"/>
      </w:pP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w:t>
      </w:r>
    </w:p>
    <w:p>
      <w:pPr>
        <w:pStyle w:val="BodyText"/>
      </w:pPr>
    </w:p>
    <w:p>
      <w:pPr>
        <w:pStyle w:val="Heading2"/>
      </w:pPr>
      <w:bookmarkStart w:id="29" w:name="results"/>
      <w:bookmarkEnd w:id="29"/>
      <w:r>
        <w:t xml:space="preserve">Results</w:t>
      </w:r>
    </w:p>
    <w:p>
      <w:pPr>
        <w:pStyle w:val="Heading4"/>
      </w:pPr>
      <w:bookmarkStart w:id="30" w:name="results1.-form-of-resistance-evolution-with-and-without-costs-and-dispersal."/>
      <w:bookmarkEnd w:id="30"/>
      <w:r>
        <w:t xml:space="preserve">Results1. form of resistance evolution with and without costs and dispersal.</w:t>
      </w:r>
    </w:p>
    <w:p>
      <w:pPr>
        <w:pStyle w:val="FirstParagraph"/>
      </w:pPr>
      <w:r>
        <w:t xml:space="preserve">Example model runs are shown with no costs or dispersal (Fig 2), with just resistance costs (Fig 3) and with just dispersal from untreated refugia (Fig 4).</w:t>
      </w:r>
    </w:p>
    <w:p>
      <w:pPr>
        <w:pStyle w:val="BodyText"/>
      </w:pPr>
      <w:r>
        <w:t xml:space="preserve">When there are no resistance fitness costs or dispersal links to untreated refugia resistance frequencies do not decline when an insecticide is not in use (Fig 2). Thus for sequences once resistance thresholds are reached the resistance frequencies remain at that level and the insecticide cannot be re-used. For rotations resistance frequencies step upwards when insecticides are in use and remain at a plateau when they are not. If the rotation interval is short enough then the insecticide can be used a few times before the resistance thresholds are reached.</w:t>
      </w:r>
    </w:p>
    <w:p>
      <w:pPr>
        <w:pStyle w:val="BodyText"/>
      </w:pPr>
      <w:r>
        <w:t xml:space="preserve">When resistance costs are included (Fig 3), resistance allele frequencies decline in periods when the corresponding insecticide is not in use. Thus for sequences the decline can allow insectides to be returned to use later on because resistance has declined below threshold levels in contrast with the situation in Figure 2.</w:t>
      </w:r>
    </w:p>
    <w:p>
      <w:pPr>
        <w:pStyle w:val="BodyText"/>
      </w:pPr>
      <w:r>
        <w:t xml:space="preserve">Adding representation of an untreated refugia and dispersal between it and the treated area also allows resistance allele frequencies to decline when an insecticide is not in use (Fig 4).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w:t>
      </w:r>
    </w:p>
    <w:p>
      <w:pPr>
        <w:pStyle w:val="Heading4"/>
      </w:pPr>
      <w:bookmarkStart w:id="31" w:name="results2-comparing-rotations-and-sequences-across-model-runs."/>
      <w:bookmarkEnd w:id="31"/>
      <w:r>
        <w:t xml:space="preserve">Results2 : comparing rotations and sequences across model runs.</w:t>
      </w:r>
    </w:p>
    <w:p>
      <w:pPr>
        <w:pStyle w:val="FirstParagraph"/>
      </w:pPr>
      <w:r>
        <w:t xml:space="preserve">In all the example runs shown the resistance threshold (allele frequency of 0.5) was reached for all insecticides within the course 500 generations which was the maximum limit imposed in the model. There were many model runs [</w:t>
      </w:r>
      <w:r>
        <w:rPr>
          <w:i/>
        </w:rPr>
        <w:t xml:space="preserve">quantify later when run finalised</w:t>
      </w:r>
      <w:r>
        <w:t xml:space="preserve">] in which resistance frequencies for at least some insecticides were below thresholds at the end of 500 generations. Such a run could be considered a successful strategy given the conditions of the scenario because insecticides below the resistance threshold are still available to be used.</w:t>
      </w:r>
    </w:p>
    <w:p>
      <w:pPr>
        <w:pStyle w:val="BodyText"/>
      </w:pPr>
      <w:r>
        <w:t xml:space="preserve">Thus to aid the comparison of rotations and sequences model runs can be broadly classified into four groups :</w:t>
      </w:r>
    </w:p>
    <w:p>
      <w:pPr>
        <w:pStyle w:val="Compact"/>
        <w:numPr>
          <w:numId w:val="1003"/>
          <w:ilvl w:val="0"/>
        </w:numPr>
      </w:pPr>
      <w:r>
        <w:t xml:space="preserve">both strategies succeeded : for both rotations and sequences resistance thresholds for all insecticides not reached within 500 generations.</w:t>
      </w:r>
    </w:p>
    <w:p>
      <w:pPr>
        <w:pStyle w:val="Compact"/>
        <w:numPr>
          <w:numId w:val="1003"/>
          <w:ilvl w:val="0"/>
        </w:numPr>
      </w:pPr>
      <w:r>
        <w:t xml:space="preserve">neither strategy succeeded</w:t>
      </w:r>
    </w:p>
    <w:p>
      <w:pPr>
        <w:pStyle w:val="Compact"/>
        <w:numPr>
          <w:numId w:val="1003"/>
          <w:ilvl w:val="0"/>
        </w:numPr>
      </w:pPr>
      <w:r>
        <w:t xml:space="preserve">rotation only succeeded</w:t>
      </w:r>
    </w:p>
    <w:p>
      <w:pPr>
        <w:pStyle w:val="Compact"/>
        <w:numPr>
          <w:numId w:val="1003"/>
          <w:ilvl w:val="0"/>
        </w:numPr>
      </w:pPr>
      <w:r>
        <w:t xml:space="preserve">sequence only succeeded</w:t>
      </w:r>
    </w:p>
    <w:p>
      <w:pPr>
        <w:pStyle w:val="FirstParagraph"/>
      </w:pPr>
      <w:r>
        <w:t xml:space="preserve">The number of model runs in each of these groups for the different scenarios are shown in Fig 5. In the base scenario with no costs or dispersal (Fig 5A) the majority of runs do not succeed, a small proportion succeed for both strategies and none succeed for either strategy alone. When costs of reistance are added (Fig 5B) more runs succeed for both strategies, up to about half of those that succeed for neither, and a small proportion (&lt; 4%) succeed for rotations alone. Adding both costs and dispersal results in more runs succeeding for both than neither (Fig 5C) and the proportion of runs where rotations only succeed is similar to the scenario with costs alone.</w:t>
      </w:r>
    </w:p>
    <w:p>
      <w:pPr>
        <w:pStyle w:val="BodyText"/>
      </w:pPr>
      <w:r>
        <w:t xml:space="preserve">The runs in each of these three main classes (success in both, neither or rotations only) differ in their distribution of input values (Fig 5xtra).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w:t>
      </w:r>
    </w:p>
    <w:p>
      <w:pPr>
        <w:pStyle w:val="BodyText"/>
      </w:pPr>
      <w:r>
        <w:t xml:space="preserve">To look at the potential benefit of rotations the number of generations below resistance thresholds was compared across strategies. This will be influenced by the previous analysis because only those runs that do not succeed for both strategies can generate a difference between them.</w:t>
      </w:r>
    </w:p>
    <w:p>
      <w:pPr>
        <w:pStyle w:val="BodyText"/>
      </w:pPr>
      <w:r>
        <w:t xml:space="preserve">When there were no costs or dispersal there was no difference between rotations and sequences in the number of generations below the resistance threshold (Fig 6A) (for comparison with other strategies the results are grouped into those between plus and minus 1%). With fitness costs included 80% of model runs, similar to those in the previous section, gave no difference between rotations and sequences in the number of generations below the resistance threshold. In contrast, 7% of model runs generated an advantage of greater than 20% for rotations over sequences (Fig 6B). Dispersal from untreated refugia gives smaller benefits of rotations over sequences and in fewer runs (Fig 6C). With both costs and dispersal the benefits of rotations are similar to when runs have costs alone (Fig 6D).</w:t>
      </w:r>
    </w:p>
    <w:p>
      <w:pPr>
        <w:pStyle w:val="Heading4"/>
      </w:pPr>
      <w:bookmarkStart w:id="32" w:name="runs-where-rotations-have-substantial-advantage-over-sequences"/>
      <w:bookmarkEnd w:id="32"/>
      <w:r>
        <w:t xml:space="preserve">Runs where rotations have substantial advantage over sequences</w:t>
      </w:r>
    </w:p>
    <w:p>
      <w:pPr>
        <w:pStyle w:val="FirstParagraph"/>
      </w:pPr>
      <w:r>
        <w:t xml:space="preserve">As shown in Fig 6B some runs with costs of resistance can show substantial advantages for rotations over sequences. Examples of one such run is shown in Fig 7.</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8). A combination of high values of dominance of cost and low values for dominance of selection are required to give the greatest advantages to rotations, but do not guarantee this advantage (Fig 9).</w:t>
      </w:r>
    </w:p>
    <w:p>
      <w:pPr>
        <w:pStyle w:val="BodyText"/>
      </w:pPr>
    </w:p>
    <w:p>
      <w:pPr>
        <w:pStyle w:val="Heading2"/>
      </w:pPr>
      <w:bookmarkStart w:id="33" w:name="discussion"/>
      <w:bookmarkEnd w:id="33"/>
      <w:r>
        <w:t xml:space="preserve">Discussion</w:t>
      </w:r>
    </w:p>
    <w:p>
      <w:pPr>
        <w:pStyle w:val="FirstParagraph"/>
      </w:pPr>
      <w:r>
        <w:t xml:space="preserve">The model shows that rotations and sequences most often have very similar performance (within 1 %) in terms of time to reach resistance thresholds (Fig 6).</w:t>
      </w:r>
    </w:p>
    <w:p>
      <w:pPr>
        <w:pStyle w:val="BodyText"/>
      </w:pPr>
      <w:r>
        <w:rPr>
          <w:i/>
        </w:rPr>
        <w:t xml:space="preserve">todo add something about how costs and dispersal generally improve the performance of both strategies</w:t>
      </w:r>
      <w:r>
        <w:br w:type="textWrapping"/>
      </w:r>
      <w:r>
        <w:rPr>
          <w:i/>
        </w:rPr>
        <w:t xml:space="preserve">todo add about how rotations generally perform better relative to sequences under</w:t>
      </w:r>
      <w:r>
        <w:rPr>
          <w:i/>
        </w:rPr>
        <w:t xml:space="preserve"> </w:t>
      </w:r>
      <w:r>
        <w:rPr>
          <w:i/>
        </w:rPr>
        <w:t xml:space="preserve">‘</w:t>
      </w:r>
      <w:r>
        <w:rPr>
          <w:i/>
        </w:rPr>
        <w:t xml:space="preserve">intermediate</w:t>
      </w:r>
      <w:r>
        <w:rPr>
          <w:i/>
        </w:rPr>
        <w:t xml:space="preserve">’</w:t>
      </w:r>
      <w:r>
        <w:rPr>
          <w:i/>
        </w:rPr>
        <w:t xml:space="preserve"> </w:t>
      </w:r>
      <w:r>
        <w:rPr>
          <w:i/>
        </w:rPr>
        <w:t xml:space="preserve">scenarios. In</w:t>
      </w:r>
      <w:r>
        <w:rPr>
          <w:i/>
        </w:rPr>
        <w:t xml:space="preserve"> </w:t>
      </w:r>
      <w:r>
        <w:rPr>
          <w:i/>
        </w:rPr>
        <w:t xml:space="preserve">‘</w:t>
      </w:r>
      <w:r>
        <w:rPr>
          <w:i/>
        </w:rPr>
        <w:t xml:space="preserve">better</w:t>
      </w:r>
      <w:r>
        <w:rPr>
          <w:i/>
        </w:rPr>
        <w:t xml:space="preserve">’</w:t>
      </w:r>
      <w:r>
        <w:rPr>
          <w:i/>
        </w:rPr>
        <w:t xml:space="preserve"> </w:t>
      </w:r>
      <w:r>
        <w:rPr>
          <w:i/>
        </w:rPr>
        <w:t xml:space="preserve">scenarios both strategies do equally well and in</w:t>
      </w:r>
      <w:r>
        <w:rPr>
          <w:i/>
        </w:rPr>
        <w:t xml:space="preserve"> </w:t>
      </w:r>
      <w:r>
        <w:rPr>
          <w:i/>
        </w:rPr>
        <w:t xml:space="preserve">‘</w:t>
      </w:r>
      <w:r>
        <w:rPr>
          <w:i/>
        </w:rPr>
        <w:t xml:space="preserve">poorer</w:t>
      </w:r>
      <w:r>
        <w:rPr>
          <w:i/>
        </w:rPr>
        <w:t xml:space="preserve">’</w:t>
      </w:r>
      <w:r>
        <w:rPr>
          <w:i/>
        </w:rPr>
        <w:t xml:space="preserve"> </w:t>
      </w:r>
      <w:r>
        <w:rPr>
          <w:i/>
        </w:rPr>
        <w:t xml:space="preserve">scenarios they do equally badly.</w:t>
      </w:r>
    </w:p>
    <w:p>
      <w:pPr>
        <w:pStyle w:val="Compact"/>
        <w:numPr>
          <w:numId w:val="1004"/>
          <w:ilvl w:val="0"/>
        </w:numPr>
      </w:pPr>
      <w:r>
        <w:t xml:space="preserve">rotations and sequences give the same results when there are no costs or dispersal.</w:t>
      </w:r>
    </w:p>
    <w:p>
      <w:pPr>
        <w:pStyle w:val="Compact"/>
        <w:numPr>
          <w:numId w:val="1004"/>
          <w:ilvl w:val="0"/>
        </w:numPr>
      </w:pPr>
      <w:r>
        <w:t xml:space="preserve">with resistance costs, 80% of runs are the same for rotations and sequences, but 6-7% of runs have &gt; 20% advantage for rotations</w:t>
      </w:r>
    </w:p>
    <w:p>
      <w:pPr>
        <w:pStyle w:val="Compact"/>
        <w:numPr>
          <w:numId w:val="1004"/>
          <w:ilvl w:val="0"/>
        </w:numPr>
      </w:pPr>
      <w:r>
        <w:t xml:space="preserve">with dispersal from untreated refugia but no costs, small advantage of rotations but very few runs &lt; 0.1% have &gt;20% advantage.</w:t>
      </w:r>
    </w:p>
    <w:p>
      <w:pPr>
        <w:pStyle w:val="FirstParagraph"/>
      </w:pPr>
      <w:r>
        <w:t xml:space="preserve">This can be understood intuitively. When there are no costs, the dynamics are the same, it is simply that sequential deployment proceeds in a few, larger steps while rotations proceeds in more numerous smaller steps; both reach the same point in around the same time. However dominance effects on cost and resistance can act to keep frequencies low in a rotations policy. Recall that at low frequencies of resistance most resistance alleles are present as heterozygotes RS and only a vey small proportions heterozygotes. However costs are dominant and still act at low frequencies. This is illustrated on Figure Y. Relatively rapid rotations keep the allele frequencies at the LH side of Figure 10 where costs during the periods when the insecticide is not deployed greatly outweigh the selection for IR during the periods when the insecticide is deployed. We believe the explanation is therefore that rotations keep allele frequencies in the parameter space to the left of Fig 10 and hence acts to slow the evolution of IR compared to sequences which allow frequencies to rise to relatively high levels before the insecticide is replaced. Note also that starting frequency, as expected, had an impact (Fig 8), lower starting frequencies slightly favouring rotations by allowing more time in the</w:t>
      </w:r>
      <w:r>
        <w:t xml:space="preserve"> </w:t>
      </w:r>
      <w:r>
        <w:t xml:space="preserve">“</w:t>
      </w:r>
      <w:r>
        <w:t xml:space="preserve">low frequency</w:t>
      </w:r>
      <w:r>
        <w:t xml:space="preserve">”</w:t>
      </w:r>
      <w:r>
        <w:t xml:space="preserve"> </w:t>
      </w:r>
      <w:r>
        <w:t xml:space="preserve">parameter space. [</w:t>
      </w:r>
      <w:r>
        <w:rPr>
          <w:i/>
        </w:rPr>
        <w:t xml:space="preserve">Andy not sure that the effect of starting frequencies in the PRCC is notable, seems very close to the line of not having an effect either way</w:t>
      </w:r>
      <w:r>
        <w:t xml:space="preserve">]</w:t>
      </w:r>
    </w:p>
    <w:p>
      <w:pPr>
        <w:pStyle w:val="BodyText"/>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w:t>
      </w:r>
      <w:r>
        <w:t xml:space="preserve"> </w:t>
      </w:r>
      <w:r>
        <w:t xml:space="preserve">‘</w:t>
      </w:r>
      <w:r>
        <w:t xml:space="preserve">just-right</w:t>
      </w:r>
      <w:r>
        <w:t xml:space="preserve">’</w:t>
      </w:r>
      <w:r>
        <w:t xml:space="preserve"> </w:t>
      </w:r>
      <w:r>
        <w:t xml:space="preserve">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Note however that this combination of recessive resistance and high dominance costs are exactly the features most desirable in any insecticide irrespective of how it is deployed. We discuss fitness below but note here that it is very difficult to maintain insecticide concentration at the level required to make resistance recessive. Concentrations decay post-application in most deployment strategies and this cause resistance to gradually change from being recessive to being dominant; see Figure 1 of</w:t>
      </w:r>
      <w:r>
        <w:t xml:space="preserve"> </w:t>
      </w:r>
      <w:r>
        <w:t xml:space="preserve">[5]</w:t>
      </w:r>
      <w:r>
        <w:t xml:space="preserve"> </w:t>
      </w:r>
      <w:r>
        <w:t xml:space="preserve">and our more extensive discussion in [cite South et al WoS manuscript].</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BodyText"/>
      </w:pPr>
      <w:r>
        <w:t xml:space="preserve">We also found frequency of rotations had little effect. This is important in the control of vectors of human diseases such as malaria and dengue. These predominantly occur in resource-poor areas often with poor healthcare infrastructure. Experience suggests that rotation targets would often be missed (e.g rotations occur approximately every 15 generations rather than the planned</w:t>
      </w:r>
      <w:r>
        <w:t xml:space="preserve"> </w:t>
      </w:r>
      <w:r>
        <w:t xml:space="preserve">“</w:t>
      </w:r>
      <w:r>
        <w:t xml:space="preserve">official</w:t>
      </w:r>
      <w:r>
        <w:t xml:space="preserve">”</w:t>
      </w:r>
      <w:r>
        <w:t xml:space="preserve"> </w:t>
      </w:r>
      <w:r>
        <w:t xml:space="preserve">10 generations) but our simulations suggest this would not fatally undermine a rotations policy.</w:t>
      </w:r>
    </w:p>
    <w:p>
      <w:pPr>
        <w:pStyle w:val="Heading3"/>
      </w:pPr>
      <w:bookmarkStart w:id="34" w:name="caveats"/>
      <w:bookmarkEnd w:id="34"/>
      <w:r>
        <w:t xml:space="preserve">Caveats</w:t>
      </w:r>
    </w:p>
    <w:p>
      <w:pPr>
        <w:pStyle w:val="FirstParagraph"/>
      </w:pPr>
      <w:r>
        <w:t xml:space="preserve">The model does not include the potential effects of modifier genes ameliorating the costs of resistance alleles. To include this would require a more detailed model tracking linkage disequilibrium between each resistance locus and its modifier.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5" w:name="conclusions"/>
      <w:bookmarkEnd w:id="35"/>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BodyText"/>
      </w:pPr>
      <w:r>
        <w:t xml:space="preserve">In summary, we show that rotations are invariably better than sequential use, although the difference may often be small (figure 4); certainly rotations should not be seen as a panacea capable of removing the threat of resistance evolution. Rotations may have a large impact if fitness costs are prints and dominant (these are genetic/physiological factors outside our control) and if resistance can be kept recessive. The latter is under our control to some extent (fig 1 of Levick et al ) but it is extremely difficult to deploy and maintain insecticide concentrations at levels that ensure recessively (cite WoS ms): as concentrations decline resistance become dominant and any befits of rotations largely disappear.</w:t>
      </w:r>
    </w:p>
    <w:p>
      <w:pPr>
        <w:pStyle w:val="Heading2"/>
      </w:pPr>
      <w:bookmarkStart w:id="36" w:name="todo"/>
      <w:bookmarkEnd w:id="36"/>
      <w:r>
        <w:t xml:space="preserve">TODO</w:t>
      </w:r>
    </w:p>
    <w:p>
      <w:pPr>
        <w:pStyle w:val="Compact"/>
        <w:numPr>
          <w:numId w:val="1005"/>
          <w:ilvl w:val="0"/>
        </w:numPr>
      </w:pPr>
      <w:r>
        <w:rPr>
          <w:i/>
        </w:rPr>
        <w:t xml:space="preserve">add to methods description of how fitness determined in model, move &amp; modify fig 1</w:t>
      </w:r>
    </w:p>
    <w:p>
      <w:pPr>
        <w:pStyle w:val="Compact"/>
        <w:numPr>
          <w:numId w:val="1005"/>
          <w:ilvl w:val="0"/>
        </w:numPr>
      </w:pPr>
      <w:r>
        <w:rPr>
          <w:i/>
        </w:rPr>
        <w:t xml:space="preserve">add caveat about polygenic resistance</w:t>
      </w:r>
    </w:p>
    <w:p>
      <w:pPr>
        <w:pStyle w:val="Compact"/>
        <w:numPr>
          <w:numId w:val="1005"/>
          <w:ilvl w:val="0"/>
        </w:numPr>
      </w:pPr>
      <w:r>
        <w:rPr>
          <w:i/>
        </w:rPr>
        <w:t xml:space="preserve">talk about cross resistance</w:t>
      </w:r>
    </w:p>
    <w:p>
      <w:pPr>
        <w:pStyle w:val="FirstParagraph"/>
      </w:pPr>
    </w:p>
    <w:p>
      <w:pPr>
        <w:pStyle w:val="Heading2"/>
      </w:pPr>
      <w:bookmarkStart w:id="37" w:name="figures"/>
      <w:bookmarkEnd w:id="37"/>
      <w:r>
        <w:t xml:space="preserve">Figures</w:t>
      </w:r>
    </w:p>
    <w:p>
      <w:pPr>
        <w:pStyle w:val="FigureWithCaption"/>
      </w:pPr>
      <w:r>
        <w:drawing>
          <wp:inline>
            <wp:extent cx="3810000" cy="2540000"/>
            <wp:effectExtent b="0" l="0" r="0" t="0"/>
            <wp:docPr descr="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3figs/Fig1-1.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w:t>
      </w:r>
      <w:r>
        <w:t xml:space="preserve"> </w:t>
      </w:r>
      <w:r>
        <w:t xml:space="preserve">‘</w:t>
      </w:r>
      <w:r>
        <w:t xml:space="preserve">restores</w:t>
      </w:r>
      <w:r>
        <w:t xml:space="preserve">’</w:t>
      </w:r>
      <w:r>
        <w:t xml:space="preserve"> </w:t>
      </w:r>
      <w:r>
        <w:t xml:space="preserve">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w:t>
      </w:r>
      <w:r>
        <w:t xml:space="preserve"> </w:t>
      </w:r>
      <w:r>
        <w:t xml:space="preserve">‘</w:t>
      </w:r>
      <w:r>
        <w:t xml:space="preserve">restores</w:t>
      </w:r>
      <w:r>
        <w:t xml:space="preserve">’</w:t>
      </w:r>
      <w:r>
        <w:t xml:space="preserve"> </w:t>
      </w:r>
      <w:r>
        <w:t xml:space="preserve">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FigureWithCaption"/>
      </w:pPr>
      <w:r>
        <w:drawing>
          <wp:inline>
            <wp:extent cx="3810000" cy="2540000"/>
            <wp:effectExtent b="0" l="0" r="0" t="0"/>
            <wp:docPr descr="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 id="1" name="Picture"/>
            <a:graphic>
              <a:graphicData uri="http://schemas.openxmlformats.org/drawingml/2006/picture">
                <pic:pic>
                  <pic:nvPicPr>
                    <pic:cNvPr descr="pap3figs/Fig2-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w:t>
      </w:r>
    </w:p>
    <w:p>
      <w:pPr>
        <w:pStyle w:val="BodyText"/>
      </w:pPr>
    </w:p>
    <w:p>
      <w:pPr>
        <w:pStyle w:val="FigureWithCaption"/>
      </w:pPr>
      <w:r>
        <w:drawing>
          <wp:inline>
            <wp:extent cx="3810000" cy="2540000"/>
            <wp:effectExtent b="0" l="0" r="0" t="0"/>
            <wp:docPr descr="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 id="1" name="Picture"/>
            <a:graphic>
              <a:graphicData uri="http://schemas.openxmlformats.org/drawingml/2006/picture">
                <pic:pic>
                  <pic:nvPicPr>
                    <pic:cNvPr descr="pap3figs/Fig3-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w:t>
      </w:r>
    </w:p>
    <w:p>
      <w:pPr>
        <w:pStyle w:val="BodyText"/>
      </w:pPr>
    </w:p>
    <w:p>
      <w:pPr>
        <w:pStyle w:val="FigureWithCaption"/>
      </w:pPr>
      <w:r>
        <w:drawing>
          <wp:inline>
            <wp:extent cx="3810000" cy="2540000"/>
            <wp:effectExtent b="0" l="0" r="0" t="0"/>
            <wp:docPr descr="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 id="1" name="Picture"/>
            <a:graphic>
              <a:graphicData uri="http://schemas.openxmlformats.org/drawingml/2006/picture">
                <pic:pic>
                  <pic:nvPicPr>
                    <pic:cNvPr descr="pap3figs/Fig4-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w:t>
      </w:r>
    </w:p>
    <w:p>
      <w:pPr>
        <w:pStyle w:val="BodyText"/>
      </w:pPr>
    </w:p>
    <w:p>
      <w:pPr>
        <w:pStyle w:val="FigureWithCaption"/>
      </w:pPr>
      <w:r>
        <w:drawing>
          <wp:inline>
            <wp:extent cx="3810000" cy="2540000"/>
            <wp:effectExtent b="0" l="0" r="0" t="0"/>
            <wp:docPr descr="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 id="1" name="Picture"/>
            <a:graphic>
              <a:graphicData uri="http://schemas.openxmlformats.org/drawingml/2006/picture">
                <pic:pic>
                  <pic:nvPicPr>
                    <pic:cNvPr descr="pap3figs/Fig5-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w:t>
      </w:r>
    </w:p>
    <w:p>
      <w:pPr>
        <w:pStyle w:val="BodyText"/>
      </w:pPr>
    </w:p>
    <w:p>
      <w:pPr>
        <w:pStyle w:val="FigureWithCaption"/>
      </w:pPr>
      <w:r>
        <w:drawing>
          <wp:inline>
            <wp:extent cx="3810000" cy="2540000"/>
            <wp:effectExtent b="0" l="0" r="0" t="0"/>
            <wp:docPr descr="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 id="1" name="Picture"/>
            <a:graphic>
              <a:graphicData uri="http://schemas.openxmlformats.org/drawingml/2006/picture">
                <pic:pic>
                  <pic:nvPicPr>
                    <pic:cNvPr descr="pap3figs/Fig5xtra-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w:t>
      </w:r>
    </w:p>
    <w:p>
      <w:pPr>
        <w:pStyle w:val="BodyText"/>
      </w:pPr>
    </w:p>
    <w:p>
      <w:pPr>
        <w:pStyle w:val="FigureWithCaption"/>
      </w:pPr>
      <w:r>
        <w:drawing>
          <wp:inline>
            <wp:extent cx="3810000" cy="2540000"/>
            <wp:effectExtent b="0" l="0" r="0" t="0"/>
            <wp:docPr descr="Figure 5xtra cost and dispersal. Probably don’t show in the paper. Similar to previous one. Just adds coverage and migration." id="1" name="Picture"/>
            <a:graphic>
              <a:graphicData uri="http://schemas.openxmlformats.org/drawingml/2006/picture">
                <pic:pic>
                  <pic:nvPicPr>
                    <pic:cNvPr descr="pap3figs/Fig5xtra_cost_dispersal-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cost and dispersal. Probably don’t show in the paper. Similar to previous one. Just adds coverage and migration.</w:t>
      </w:r>
    </w:p>
    <w:p>
      <w:pPr>
        <w:pStyle w:val="BodyText"/>
      </w:pPr>
    </w:p>
    <w:p>
      <w:pPr>
        <w:pStyle w:val="FigureWithCaption"/>
      </w:pPr>
      <w:r>
        <w:drawing>
          <wp:inline>
            <wp:extent cx="3810000" cy="2540000"/>
            <wp:effectExtent b="0" l="0" r="0" t="0"/>
            <wp:docPr descr="Figure 6. Effect of cost and dispersal on the difference between rotations and sequences from model runs. The y axis shows the number of model runs for the different cat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3figs/Fig6-1.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Effect of cost and dispersal on the difference between rotations and sequences from model runs. The y axis shows the number of model runs for the different categories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w:t>
      </w:r>
    </w:p>
    <w:p>
      <w:pPr>
        <w:pStyle w:val="BodyText"/>
      </w:pPr>
    </w:p>
    <w:p>
      <w:pPr>
        <w:pStyle w:val="FigureWithCaption"/>
      </w:pPr>
      <w:r>
        <w:drawing>
          <wp:inline>
            <wp:extent cx="3810000" cy="2540000"/>
            <wp:effectExtent b="0" l="0" r="0" t="0"/>
            <wp:docPr descr="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starting frequency=0.09." id="1" name="Picture"/>
            <a:graphic>
              <a:graphicData uri="http://schemas.openxmlformats.org/drawingml/2006/picture">
                <pic:pic>
                  <pic:nvPicPr>
                    <pic:cNvPr descr="pap3figs/Fig7-1.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starting frequency=0.09.</w:t>
      </w:r>
    </w:p>
    <w:p>
      <w:pPr>
        <w:pStyle w:val="BodyText"/>
      </w:pPr>
    </w:p>
    <w:p>
      <w:pPr>
        <w:pStyle w:val="BodyText"/>
      </w:pPr>
    </w:p>
    <w:p>
      <w:pPr>
        <w:pStyle w:val="BodyText"/>
      </w:pPr>
      <w:r>
        <w:drawing>
          <wp:inline>
            <wp:extent cx="3810000" cy="2540000"/>
            <wp:effectExtent b="0" l="0" r="0" t="0"/>
            <wp:docPr descr="Figure 8. Which model inputs have the greatest influence on the difference between rotations and sequences ? For each scenario of resistance costs and dispersal. Measured using Partial Rank Correlation Coefficients (PRCC). Positive values indicate a positive influence on the benefit of rotations. In Resistance cost comes out as a negative impact on benefit of rotations. This could be because higher cost runs tend to be equal because they both sequences and rotations don’t reach resistance thresholds. Maybe the PRCC is confusing ? Maybe Fig 5extra is clearer ?" id="1" name="Picture"/>
            <a:graphic>
              <a:graphicData uri="http://schemas.openxmlformats.org/drawingml/2006/picture">
                <pic:pic>
                  <pic:nvPicPr>
                    <pic:cNvPr descr="pap3figs/Fig8-1.tif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p>
    <w:p>
      <w:pPr>
        <w:pStyle w:val="FigureWithCaption"/>
      </w:pPr>
      <w:r>
        <w:drawing>
          <wp:inline>
            <wp:extent cx="3810000" cy="2540000"/>
            <wp:effectExtent b="0" l="0" r="0" t="0"/>
            <wp:docPr descr="Figure X8. PRCC of gens_rot modified from fig8 adding rot_interval and n_insecticides" id="1" name="Picture"/>
            <a:graphic>
              <a:graphicData uri="http://schemas.openxmlformats.org/drawingml/2006/picture">
                <pic:pic>
                  <pic:nvPicPr>
                    <pic:cNvPr descr="pap3figs/FigX8-1.tif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X8. PRCC of gens_rot modified from fig8 adding rot_interval and n_insecticides</w:t>
      </w:r>
    </w:p>
    <w:p>
      <w:pPr>
        <w:pStyle w:val="BodyText"/>
      </w:pPr>
    </w:p>
    <w:p>
      <w:pPr>
        <w:pStyle w:val="FigureWithCaption"/>
      </w:pPr>
      <w:r>
        <w:drawing>
          <wp:inline>
            <wp:extent cx="3810000" cy="2540000"/>
            <wp:effectExtent b="0" l="0" r="0" t="0"/>
            <wp:docPr descr="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3figs/Fig9-1.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w:t>
      </w:r>
    </w:p>
    <w:p>
      <w:pPr>
        <w:pStyle w:val="BodyText"/>
      </w:pPr>
    </w:p>
    <w:p>
      <w:pPr>
        <w:pStyle w:val="FigureWithCaption"/>
      </w:pPr>
      <w:r>
        <w:drawing>
          <wp:inline>
            <wp:extent cx="3810000" cy="2540000"/>
            <wp:effectExtent b="0" l="0" r="0" t="0"/>
            <wp:docPr descr="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Note that with higher costs or lower benefits of resistance there is the potential for the cost and benefit lines to cross and for there to be a region at low frequencies where resistance is not selected for. Plot calculation assumes Hardy-Weinberg equilibrium proportion of genotypes. The equilibriun will not be followed in this case because the resistance locus is under selection but it serves as an approximation to illustrate the general effect. Fitness cost set to 0.05 and selective advantage of resistance to 0.4." id="1" name="Picture"/>
            <a:graphic>
              <a:graphicData uri="http://schemas.openxmlformats.org/drawingml/2006/picture">
                <pic:pic>
                  <pic:nvPicPr>
                    <pic:cNvPr descr="pap3figs/Fig10-1.tif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Note that with higher costs or lower benefits of resistance there is the potential for the cost and benefit lines to cross and for there to be a region at low frequencies where resistance is not selected for. Plot calculation assumes Hardy-Weinberg equilibrium proportion of genotypes. The equilibriun will not be followed in this case because the resistance locus is under selection but it serves as an approximation to illustrate the general effect. Fitness cost set to 0.05 and selective advantage of resistance to 0.4.</w:t>
      </w:r>
    </w:p>
    <w:p>
      <w:pPr>
        <w:pStyle w:val="Heading2"/>
      </w:pPr>
      <w:bookmarkStart w:id="51" w:name="references"/>
      <w:bookmarkEnd w:id="51"/>
      <w:r>
        <w:t xml:space="preserve">References</w:t>
      </w:r>
    </w:p>
    <w:p>
      <w:pPr>
        <w:pStyle w:val="Bibliography"/>
      </w:pPr>
      <w:r>
        <w:t xml:space="preserve">1. Consortium R. Heterogeneity of selection and the evolution of resistance. Trends in Ecology &amp; Evolution. 2013;28:110–8. doi:</w:t>
      </w:r>
      <w:hyperlink r:id="rId52">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53">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54">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55">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b4a0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7140eb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tiff" /><Relationship Type="http://schemas.openxmlformats.org/officeDocument/2006/relationships/image" Id="rId50" Target="media/rId50.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image" Id="rId45" Target="media/rId45.tiff" /><Relationship Type="http://schemas.openxmlformats.org/officeDocument/2006/relationships/image" Id="rId46" Target="media/rId46.tiff" /><Relationship Type="http://schemas.openxmlformats.org/officeDocument/2006/relationships/image" Id="rId47" Target="media/rId47.tiff" /><Relationship Type="http://schemas.openxmlformats.org/officeDocument/2006/relationships/image" Id="rId49" Target="media/rId49.tiff" /><Relationship Type="http://schemas.openxmlformats.org/officeDocument/2006/relationships/image" Id="rId48" Target="media/rId48.tiff" /><Relationship Type="http://schemas.openxmlformats.org/officeDocument/2006/relationships/hyperlink" Id="rId52" Target="https://doi.org/10.1016/j.tree.2012.09.001" TargetMode="External" /><Relationship Type="http://schemas.openxmlformats.org/officeDocument/2006/relationships/hyperlink" Id="rId53" Target="https://doi.org/10.1111/eva.12550" TargetMode="External" /><Relationship Type="http://schemas.openxmlformats.org/officeDocument/2006/relationships/hyperlink" Id="rId54" Target="https://doi.org/10.1186/s12936-018-2203-y" TargetMode="External" /><Relationship Type="http://schemas.openxmlformats.org/officeDocument/2006/relationships/hyperlink" Id="rId55"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16/j.tree.2012.09.001" TargetMode="External" /><Relationship Type="http://schemas.openxmlformats.org/officeDocument/2006/relationships/hyperlink" Id="rId53" Target="https://doi.org/10.1111/eva.12550" TargetMode="External" /><Relationship Type="http://schemas.openxmlformats.org/officeDocument/2006/relationships/hyperlink" Id="rId54" Target="https://doi.org/10.1186/s12936-018-2203-y" TargetMode="External" /><Relationship Type="http://schemas.openxmlformats.org/officeDocument/2006/relationships/hyperlink" Id="rId55"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2018-07-05T16:36:59Z</dcterms:created>
  <dcterms:modified xsi:type="dcterms:W3CDTF">2018-07-05T16:36:59Z</dcterms:modified>
</cp:coreProperties>
</file>