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6B8" w:rsidRDefault="00185F02">
      <w:pPr>
        <w:rPr>
          <w:rFonts w:ascii="微软雅黑" w:hAnsi="微软雅黑"/>
          <w:sz w:val="24"/>
        </w:rPr>
      </w:pPr>
      <w:r>
        <w:rPr>
          <w:rFonts w:ascii="微软雅黑" w:hAnsi="微软雅黑"/>
          <w:noProof/>
          <w:sz w:val="24"/>
        </w:rPr>
        <w:drawing>
          <wp:inline distT="0" distB="0" distL="0" distR="0">
            <wp:extent cx="5305425" cy="3457575"/>
            <wp:effectExtent l="19050" t="0" r="9525" b="0"/>
            <wp:docPr id="1" name="图片 5"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logo2"/>
                    <pic:cNvPicPr>
                      <a:picLocks noChangeAspect="1" noChangeArrowheads="1"/>
                    </pic:cNvPicPr>
                  </pic:nvPicPr>
                  <pic:blipFill>
                    <a:blip r:embed="rId10"/>
                    <a:srcRect/>
                    <a:stretch>
                      <a:fillRect/>
                    </a:stretch>
                  </pic:blipFill>
                  <pic:spPr>
                    <a:xfrm>
                      <a:off x="0" y="0"/>
                      <a:ext cx="5305425" cy="3457575"/>
                    </a:xfrm>
                    <a:prstGeom prst="rect">
                      <a:avLst/>
                    </a:prstGeom>
                    <a:noFill/>
                    <a:ln w="9525">
                      <a:noFill/>
                      <a:miter lim="800000"/>
                      <a:headEnd/>
                      <a:tailEnd/>
                    </a:ln>
                  </pic:spPr>
                </pic:pic>
              </a:graphicData>
            </a:graphic>
          </wp:inline>
        </w:drawing>
      </w:r>
    </w:p>
    <w:p w:rsidR="00BD66B8" w:rsidRDefault="00185F02">
      <w:pPr>
        <w:widowControl/>
        <w:jc w:val="center"/>
        <w:rPr>
          <w:rFonts w:ascii="微软雅黑" w:hAnsi="微软雅黑"/>
          <w:sz w:val="44"/>
          <w:szCs w:val="44"/>
        </w:rPr>
      </w:pPr>
      <w:r>
        <w:rPr>
          <w:rFonts w:ascii="微软雅黑" w:hAnsi="微软雅黑" w:hint="eastAsia"/>
          <w:sz w:val="44"/>
          <w:szCs w:val="44"/>
        </w:rPr>
        <w:t>【律师独立调查报告】</w:t>
      </w:r>
    </w:p>
    <w:p w:rsidR="00BD66B8" w:rsidRDefault="00185F02">
      <w:pPr>
        <w:widowControl/>
        <w:jc w:val="center"/>
        <w:rPr>
          <w:rFonts w:ascii="微软雅黑" w:hAnsi="微软雅黑"/>
          <w:b/>
          <w:bCs/>
          <w:sz w:val="21"/>
          <w:szCs w:val="21"/>
        </w:rPr>
      </w:pPr>
      <w:r>
        <w:rPr>
          <w:rFonts w:ascii="微软雅黑" w:hAnsi="微软雅黑" w:hint="eastAsia"/>
          <w:b/>
          <w:bCs/>
          <w:sz w:val="21"/>
          <w:szCs w:val="21"/>
        </w:rPr>
        <w:t>（房产类）</w:t>
      </w:r>
    </w:p>
    <w:p w:rsidR="00BD66B8" w:rsidRDefault="00185F02">
      <w:pPr>
        <w:widowControl/>
        <w:jc w:val="left"/>
        <w:rPr>
          <w:rFonts w:ascii="微软雅黑" w:hAnsi="微软雅黑"/>
          <w:sz w:val="21"/>
          <w:szCs w:val="21"/>
        </w:rPr>
      </w:pPr>
      <w:r>
        <w:rPr>
          <w:rFonts w:ascii="微软雅黑" w:hAnsi="微软雅黑" w:hint="eastAsia"/>
          <w:sz w:val="21"/>
          <w:szCs w:val="21"/>
        </w:rPr>
        <w:t>标的物：</w:t>
      </w:r>
      <w:sdt>
        <w:sdtPr>
          <w:rPr>
            <w:rFonts w:ascii="微软雅黑" w:hAnsi="微软雅黑" w:hint="eastAsia"/>
            <w:sz w:val="21"/>
            <w:szCs w:val="21"/>
          </w:rPr>
          <w:id w:val="632756799"/>
          <w:placeholder>
            <w:docPart w:val="DefaultPlaceholder_-1854013440"/>
          </w:placeholder>
          <w:dataBinding w:prefixMappings="" w:xpath="/auctioningItemBean[1]/title[1]" w:storeItemID="{0F800843-30FD-44F4-91BD-9A2D0A63C676}"/>
          <w:text/>
        </w:sdtPr>
        <w:sdtEndPr/>
        <w:sdtContent>
          <w:r w:rsidR="007D0845">
            <w:rPr>
              <w:rFonts w:ascii="微软雅黑" w:hAnsi="微软雅黑" w:hint="eastAsia"/>
              <w:sz w:val="21"/>
              <w:szCs w:val="21"/>
            </w:rPr>
            <w:t>临安区青山湖街道白水</w:t>
          </w:r>
          <w:proofErr w:type="gramStart"/>
          <w:r w:rsidR="007D0845">
            <w:rPr>
              <w:rFonts w:ascii="微软雅黑" w:hAnsi="微软雅黑" w:hint="eastAsia"/>
              <w:sz w:val="21"/>
              <w:szCs w:val="21"/>
            </w:rPr>
            <w:t>涧</w:t>
          </w:r>
          <w:proofErr w:type="gramEnd"/>
          <w:r w:rsidR="007D0845">
            <w:rPr>
              <w:rFonts w:ascii="微软雅黑" w:hAnsi="微软雅黑" w:hint="eastAsia"/>
              <w:sz w:val="21"/>
              <w:szCs w:val="21"/>
            </w:rPr>
            <w:t>山庄1（1幢120）房产</w:t>
          </w:r>
        </w:sdtContent>
      </w:sdt>
    </w:p>
    <w:p w:rsidR="00BD66B8" w:rsidRDefault="00185F02">
      <w:pPr>
        <w:widowControl/>
        <w:jc w:val="left"/>
        <w:rPr>
          <w:rFonts w:ascii="微软雅黑" w:hAnsi="微软雅黑"/>
          <w:sz w:val="21"/>
          <w:szCs w:val="21"/>
        </w:rPr>
      </w:pPr>
      <w:r>
        <w:rPr>
          <w:rFonts w:ascii="微软雅黑" w:hAnsi="微软雅黑" w:hint="eastAsia"/>
          <w:sz w:val="21"/>
          <w:szCs w:val="21"/>
        </w:rPr>
        <w:t>送拍机构： </w:t>
      </w:r>
      <w:sdt>
        <w:sdtPr>
          <w:rPr>
            <w:rFonts w:ascii="微软雅黑" w:hAnsi="微软雅黑" w:hint="eastAsia"/>
            <w:sz w:val="21"/>
            <w:szCs w:val="21"/>
          </w:rPr>
          <w:id w:val="-135726078"/>
          <w:placeholder>
            <w:docPart w:val="DefaultPlaceholder_-1854013440"/>
          </w:placeholder>
          <w:dataBinding w:prefixMappings="" w:xpath="/auctioningItemBean[1]/sellOrg[1]" w:storeItemID="{0F800843-30FD-44F4-91BD-9A2D0A63C676}"/>
          <w:text/>
        </w:sdtPr>
        <w:sdtEndPr/>
        <w:sdtContent>
          <w:r w:rsidR="007D0845">
            <w:rPr>
              <w:rFonts w:ascii="微软雅黑" w:hAnsi="微软雅黑" w:hint="eastAsia"/>
              <w:sz w:val="21"/>
              <w:szCs w:val="21"/>
            </w:rPr>
            <w:t>临安市人民法院</w:t>
          </w:r>
        </w:sdtContent>
      </w:sdt>
    </w:p>
    <w:p w:rsidR="00BD66B8" w:rsidRDefault="00185F02">
      <w:pPr>
        <w:widowControl/>
        <w:jc w:val="left"/>
        <w:rPr>
          <w:rFonts w:ascii="微软雅黑" w:hAnsi="微软雅黑"/>
          <w:sz w:val="21"/>
          <w:szCs w:val="21"/>
        </w:rPr>
      </w:pPr>
      <w:proofErr w:type="gramStart"/>
      <w:r>
        <w:rPr>
          <w:rFonts w:ascii="微软雅黑" w:hAnsi="微软雅黑" w:hint="eastAsia"/>
          <w:sz w:val="21"/>
          <w:szCs w:val="21"/>
        </w:rPr>
        <w:t>淘宝拍卖</w:t>
      </w:r>
      <w:proofErr w:type="gramEnd"/>
      <w:r>
        <w:rPr>
          <w:rFonts w:ascii="微软雅黑" w:hAnsi="微软雅黑" w:hint="eastAsia"/>
          <w:sz w:val="21"/>
          <w:szCs w:val="21"/>
        </w:rPr>
        <w:t>时间：</w:t>
      </w:r>
      <w:sdt>
        <w:sdtPr>
          <w:rPr>
            <w:rFonts w:ascii="微软雅黑" w:hAnsi="微软雅黑" w:hint="eastAsia"/>
            <w:sz w:val="21"/>
            <w:szCs w:val="21"/>
          </w:rPr>
          <w:id w:val="1272980139"/>
          <w:placeholder>
            <w:docPart w:val="DefaultPlaceholder_-1854013440"/>
          </w:placeholder>
          <w:dataBinding w:prefixMappings="" w:xpath="/auctioningItemBean[1]/sellStart[1]" w:storeItemID="{0F800843-30FD-44F4-91BD-9A2D0A63C676}"/>
          <w:text/>
        </w:sdtPr>
        <w:sdtEndPr/>
        <w:sdtContent>
          <w:r w:rsidR="007D0845">
            <w:rPr>
              <w:rFonts w:ascii="微软雅黑" w:hAnsi="微软雅黑" w:hint="eastAsia"/>
              <w:sz w:val="21"/>
              <w:szCs w:val="21"/>
            </w:rPr>
            <w:t>1970-01-18 22:21:14</w:t>
          </w:r>
        </w:sdtContent>
      </w:sdt>
      <w:r w:rsidR="007D0845">
        <w:rPr>
          <w:rFonts w:ascii="微软雅黑" w:hAnsi="微软雅黑" w:hint="eastAsia"/>
          <w:sz w:val="21"/>
          <w:szCs w:val="21"/>
        </w:rPr>
        <w:t>至</w:t>
      </w:r>
      <w:sdt>
        <w:sdtPr>
          <w:rPr>
            <w:rFonts w:ascii="微软雅黑" w:hAnsi="微软雅黑" w:hint="eastAsia"/>
            <w:sz w:val="21"/>
            <w:szCs w:val="21"/>
          </w:rPr>
          <w:id w:val="-1894342937"/>
          <w:placeholder>
            <w:docPart w:val="DefaultPlaceholder_-1854013440"/>
          </w:placeholder>
          <w:dataBinding w:prefixMappings="" w:xpath="/auctioningItemBean[1]/sellEnd[1]" w:storeItemID="{0F800843-30FD-44F4-91BD-9A2D0A63C676}"/>
          <w:text/>
        </w:sdtPr>
        <w:sdtEndPr/>
        <w:sdtContent>
          <w:r w:rsidR="007D0845">
            <w:rPr>
              <w:rFonts w:ascii="微软雅黑" w:hAnsi="微软雅黑" w:hint="eastAsia"/>
              <w:sz w:val="21"/>
              <w:szCs w:val="21"/>
            </w:rPr>
            <w:t>1970-01-18 22:22:40</w:t>
          </w:r>
        </w:sdtContent>
      </w:sdt>
    </w:p>
    <w:p w:rsidR="00BD66B8" w:rsidRDefault="00185F02">
      <w:pPr>
        <w:widowControl/>
        <w:jc w:val="left"/>
        <w:rPr>
          <w:rFonts w:ascii="微软雅黑" w:hAnsi="微软雅黑"/>
          <w:sz w:val="21"/>
          <w:szCs w:val="21"/>
        </w:rPr>
      </w:pPr>
      <w:r>
        <w:rPr>
          <w:rFonts w:ascii="微软雅黑" w:hAnsi="微软雅黑" w:hint="eastAsia"/>
          <w:sz w:val="21"/>
          <w:szCs w:val="21"/>
        </w:rPr>
        <w:t>网址：</w:t>
      </w:r>
      <w:sdt>
        <w:sdtPr>
          <w:rPr>
            <w:rFonts w:ascii="微软雅黑" w:hAnsi="微软雅黑" w:hint="eastAsia"/>
            <w:sz w:val="21"/>
            <w:szCs w:val="21"/>
          </w:rPr>
          <w:id w:val="1884747655"/>
          <w:placeholder>
            <w:docPart w:val="DefaultPlaceholder_-1854013440"/>
          </w:placeholder>
          <w:dataBinding w:prefixMappings="" w:xpath="/auctioningItemBean[1]/url[1]" w:storeItemID="{0F800843-30FD-44F4-91BD-9A2D0A63C676}"/>
          <w:text/>
        </w:sdtPr>
        <w:sdtEndPr/>
        <w:sdtContent>
          <w:r w:rsidR="007D0845">
            <w:rPr>
              <w:rFonts w:ascii="微软雅黑" w:hAnsi="微软雅黑" w:hint="eastAsia"/>
              <w:sz w:val="21"/>
              <w:szCs w:val="21"/>
            </w:rPr>
            <w:t>https://sf.taobao.com/sf_item/564770946719.htm</w:t>
          </w:r>
        </w:sdtContent>
      </w:sdt>
    </w:p>
    <w:p w:rsidR="00BD66B8" w:rsidRDefault="00BD66B8">
      <w:pPr>
        <w:widowControl/>
        <w:jc w:val="left"/>
        <w:rPr>
          <w:rFonts w:ascii="微软雅黑" w:hAnsi="微软雅黑"/>
          <w:b/>
          <w:bCs/>
          <w:color w:val="F79646" w:themeColor="accent6"/>
          <w:szCs w:val="18"/>
        </w:rPr>
      </w:pPr>
    </w:p>
    <w:p w:rsidR="00BD66B8" w:rsidRDefault="00185F02">
      <w:pPr>
        <w:widowControl/>
        <w:jc w:val="left"/>
        <w:rPr>
          <w:rFonts w:ascii="微软雅黑" w:hAnsi="微软雅黑"/>
          <w:b/>
          <w:bCs/>
          <w:color w:val="F79646" w:themeColor="accent6"/>
          <w:szCs w:val="18"/>
        </w:rPr>
      </w:pPr>
      <w:r>
        <w:rPr>
          <w:rFonts w:ascii="微软雅黑" w:hAnsi="微软雅黑" w:hint="eastAsia"/>
          <w:b/>
          <w:bCs/>
          <w:color w:val="F79646" w:themeColor="accent6"/>
          <w:szCs w:val="18"/>
        </w:rPr>
        <w:t>产品说明：本《律师独立调查报告》是浙江胜可隆律师事务所律师根据《民事诉讼法》、《拍卖法》、《最高人民法院关于人民法院网络司法拍卖的规定》及《淘宝拍卖网络司法拍卖平台竞拍服务协议》等相关法律法规的规定，以拍卖标的物送拍机构公示信息为基础，作为</w:t>
      </w:r>
      <w:proofErr w:type="gramStart"/>
      <w:r>
        <w:rPr>
          <w:rFonts w:ascii="微软雅黑" w:hAnsi="微软雅黑" w:hint="eastAsia"/>
          <w:b/>
          <w:bCs/>
          <w:color w:val="F79646" w:themeColor="accent6"/>
          <w:szCs w:val="18"/>
        </w:rPr>
        <w:t>独立第三方运用</w:t>
      </w:r>
      <w:proofErr w:type="gramEnd"/>
      <w:r>
        <w:rPr>
          <w:rFonts w:ascii="微软雅黑" w:hAnsi="微软雅黑" w:hint="eastAsia"/>
          <w:b/>
          <w:bCs/>
          <w:color w:val="F79646" w:themeColor="accent6"/>
          <w:szCs w:val="18"/>
        </w:rPr>
        <w:t>互联网大数据、现场走访和相关部门咨询等方式，对相关信息作进一步收集和梳理，由本律师事务所团队基于自身专业能力和经验给予必要风险提示和解决方案，并经律所审查后出具。本所承诺报告完全基于上述收集和梳理的信息如实做出。本报告载明的内容（包括信息和观点），由于本所和律师目前权利有限，对标的物信息无法开展深度收集和核查，因此仅供购买人参考。如需进一步调查和信息核查服务，本所接受委托后，为您开展。</w:t>
      </w:r>
    </w:p>
    <w:p w:rsidR="00BD66B8" w:rsidRDefault="00185F02">
      <w:pPr>
        <w:widowControl/>
        <w:jc w:val="left"/>
        <w:rPr>
          <w:rFonts w:ascii="微软雅黑" w:hAnsi="微软雅黑"/>
          <w:b/>
          <w:bCs/>
          <w:color w:val="F79646" w:themeColor="accent6"/>
          <w:szCs w:val="18"/>
        </w:rPr>
      </w:pPr>
      <w:r>
        <w:rPr>
          <w:rFonts w:ascii="微软雅黑" w:hAnsi="微软雅黑" w:hint="eastAsia"/>
          <w:b/>
          <w:bCs/>
          <w:color w:val="F79646" w:themeColor="accent6"/>
          <w:szCs w:val="18"/>
        </w:rPr>
        <w:t>免责声明：本《律师独立调查报告》载明的信息和观点，仅代表浙江胜可隆律师事务所独立第三方，与处置单位（含法院）和淘宝平台无关，本所不做瑕疵担保，仅供购买人针对上述标的物竞买参考！本所不承担购买后交付符合上述产品说明要求的报告以外的任何法律责任。</w:t>
      </w:r>
    </w:p>
    <w:p w:rsidR="00BD66B8" w:rsidRDefault="00185F02">
      <w:pPr>
        <w:pStyle w:val="11"/>
        <w:tabs>
          <w:tab w:val="right" w:leader="dot" w:pos="8306"/>
        </w:tabs>
        <w:jc w:val="center"/>
        <w:rPr>
          <w:rStyle w:val="af3"/>
          <w:rFonts w:ascii="微软雅黑" w:eastAsia="微软雅黑" w:hAnsi="微软雅黑"/>
          <w:szCs w:val="44"/>
        </w:rPr>
      </w:pPr>
      <w:bookmarkStart w:id="0" w:name="_Toc501738189"/>
      <w:r>
        <w:rPr>
          <w:rStyle w:val="af3"/>
          <w:rFonts w:ascii="微软雅黑" w:eastAsia="微软雅黑" w:hAnsi="微软雅黑" w:hint="eastAsia"/>
          <w:szCs w:val="44"/>
        </w:rPr>
        <w:lastRenderedPageBreak/>
        <w:t>目录</w:t>
      </w:r>
    </w:p>
    <w:p w:rsidR="00BD66B8" w:rsidRDefault="00BD66B8"/>
    <w:p w:rsidR="00BD66B8" w:rsidRDefault="00185F02">
      <w:pPr>
        <w:pStyle w:val="11"/>
        <w:tabs>
          <w:tab w:val="right" w:leader="dot" w:pos="8306"/>
        </w:tabs>
      </w:pPr>
      <w:r>
        <w:rPr>
          <w:rFonts w:ascii="微软雅黑" w:hAnsi="微软雅黑" w:hint="eastAsia"/>
          <w:sz w:val="24"/>
        </w:rPr>
        <w:fldChar w:fldCharType="begin"/>
      </w:r>
      <w:r>
        <w:rPr>
          <w:rFonts w:ascii="微软雅黑" w:hAnsi="微软雅黑" w:hint="eastAsia"/>
          <w:sz w:val="24"/>
        </w:rPr>
        <w:instrText xml:space="preserve">TOC \o "1-5" \h \u </w:instrText>
      </w:r>
      <w:r>
        <w:rPr>
          <w:rFonts w:ascii="微软雅黑" w:hAnsi="微软雅黑" w:hint="eastAsia"/>
          <w:sz w:val="24"/>
        </w:rPr>
        <w:fldChar w:fldCharType="separate"/>
      </w:r>
      <w:hyperlink w:anchor="_Toc26227" w:history="1">
        <w:r>
          <w:rPr>
            <w:rFonts w:ascii="宋体" w:hAnsi="宋体" w:cs="宋体" w:hint="eastAsia"/>
          </w:rPr>
          <w:t>一、</w:t>
        </w:r>
        <w:r>
          <w:rPr>
            <w:rFonts w:ascii="宋体" w:hAnsi="宋体" w:cs="宋体" w:hint="eastAsia"/>
          </w:rPr>
          <w:t xml:space="preserve"> </w:t>
        </w:r>
        <w:r>
          <w:rPr>
            <w:rFonts w:hint="eastAsia"/>
          </w:rPr>
          <w:t>房屋信息和价值分析</w:t>
        </w:r>
        <w:r>
          <w:tab/>
        </w:r>
        <w:fldSimple w:instr=" PAGEREF _Toc26227 ">
          <w:r>
            <w:t>3</w:t>
          </w:r>
        </w:fldSimple>
      </w:hyperlink>
    </w:p>
    <w:p w:rsidR="00BD66B8" w:rsidRDefault="00B60DF4">
      <w:pPr>
        <w:pStyle w:val="21"/>
        <w:tabs>
          <w:tab w:val="right" w:leader="dot" w:pos="8306"/>
        </w:tabs>
        <w:ind w:left="360"/>
      </w:pPr>
      <w:hyperlink w:anchor="_Toc8757" w:history="1">
        <w:r w:rsidR="00185F02">
          <w:rPr>
            <w:rFonts w:ascii="Wingdings" w:eastAsia="宋体" w:hAnsi="Wingdings" w:cs="Wingdings"/>
          </w:rPr>
          <w:t xml:space="preserve"> </w:t>
        </w:r>
        <w:r w:rsidR="00185F02">
          <w:rPr>
            <w:rFonts w:hint="eastAsia"/>
          </w:rPr>
          <w:t>1.1</w:t>
        </w:r>
        <w:r w:rsidR="00185F02">
          <w:rPr>
            <w:rFonts w:hint="eastAsia"/>
          </w:rPr>
          <w:t>房屋及周边配套信息表</w:t>
        </w:r>
        <w:r w:rsidR="00185F02">
          <w:tab/>
        </w:r>
        <w:fldSimple w:instr=" PAGEREF _Toc8757 ">
          <w:r w:rsidR="00185F02">
            <w:t>3</w:t>
          </w:r>
        </w:fldSimple>
      </w:hyperlink>
    </w:p>
    <w:p w:rsidR="00BD66B8" w:rsidRDefault="00B60DF4">
      <w:pPr>
        <w:pStyle w:val="21"/>
        <w:tabs>
          <w:tab w:val="right" w:leader="dot" w:pos="8306"/>
        </w:tabs>
        <w:ind w:left="360"/>
      </w:pPr>
      <w:hyperlink w:anchor="_Toc5116" w:history="1">
        <w:r w:rsidR="00185F02">
          <w:rPr>
            <w:rFonts w:ascii="Wingdings" w:eastAsia="宋体" w:hAnsi="Wingdings" w:cs="Wingdings"/>
          </w:rPr>
          <w:t xml:space="preserve"> </w:t>
        </w:r>
        <w:r w:rsidR="00185F02">
          <w:rPr>
            <w:rFonts w:hint="eastAsia"/>
          </w:rPr>
          <w:t>1.2</w:t>
        </w:r>
        <w:r w:rsidR="00185F02">
          <w:rPr>
            <w:rFonts w:hint="eastAsia"/>
          </w:rPr>
          <w:t>价值分析</w:t>
        </w:r>
        <w:r w:rsidR="00185F02">
          <w:tab/>
        </w:r>
        <w:fldSimple w:instr=" PAGEREF _Toc5116 ">
          <w:r w:rsidR="00185F02">
            <w:t>5</w:t>
          </w:r>
        </w:fldSimple>
      </w:hyperlink>
    </w:p>
    <w:p w:rsidR="00BD66B8" w:rsidRDefault="00B60DF4">
      <w:pPr>
        <w:pStyle w:val="11"/>
        <w:tabs>
          <w:tab w:val="right" w:leader="dot" w:pos="8306"/>
        </w:tabs>
      </w:pPr>
      <w:hyperlink w:anchor="_Toc18610" w:history="1">
        <w:r w:rsidR="00185F02">
          <w:rPr>
            <w:rFonts w:ascii="宋体" w:hAnsi="宋体" w:cs="宋体" w:hint="eastAsia"/>
          </w:rPr>
          <w:t>二、</w:t>
        </w:r>
        <w:r w:rsidR="00185F02">
          <w:rPr>
            <w:rFonts w:ascii="宋体" w:hAnsi="宋体" w:cs="宋体" w:hint="eastAsia"/>
          </w:rPr>
          <w:t xml:space="preserve"> </w:t>
        </w:r>
        <w:r w:rsidR="00185F02">
          <w:rPr>
            <w:rFonts w:hint="eastAsia"/>
          </w:rPr>
          <w:t>税、费信息</w:t>
        </w:r>
        <w:r w:rsidR="00185F02">
          <w:tab/>
        </w:r>
        <w:fldSimple w:instr=" PAGEREF _Toc18610 ">
          <w:r w:rsidR="00185F02">
            <w:t>5</w:t>
          </w:r>
        </w:fldSimple>
      </w:hyperlink>
    </w:p>
    <w:p w:rsidR="00BD66B8" w:rsidRDefault="00B60DF4">
      <w:pPr>
        <w:pStyle w:val="21"/>
        <w:tabs>
          <w:tab w:val="right" w:leader="dot" w:pos="8306"/>
        </w:tabs>
        <w:ind w:left="360"/>
      </w:pPr>
      <w:hyperlink w:anchor="_Toc24802" w:history="1">
        <w:r w:rsidR="00185F02">
          <w:rPr>
            <w:rFonts w:ascii="Wingdings" w:eastAsia="宋体" w:hAnsi="Wingdings" w:cs="Wingdings"/>
          </w:rPr>
          <w:t xml:space="preserve"> </w:t>
        </w:r>
        <w:r w:rsidR="00185F02">
          <w:rPr>
            <w:rFonts w:hint="eastAsia"/>
          </w:rPr>
          <w:t>2.1</w:t>
        </w:r>
        <w:r w:rsidR="00185F02">
          <w:rPr>
            <w:rFonts w:hint="eastAsia"/>
          </w:rPr>
          <w:t>竞买综合费用</w:t>
        </w:r>
        <w:r w:rsidR="00185F02">
          <w:tab/>
        </w:r>
        <w:fldSimple w:instr=" PAGEREF _Toc24802 ">
          <w:r w:rsidR="00185F02">
            <w:t>5</w:t>
          </w:r>
        </w:fldSimple>
      </w:hyperlink>
    </w:p>
    <w:p w:rsidR="00BD66B8" w:rsidRDefault="00B60DF4">
      <w:pPr>
        <w:pStyle w:val="21"/>
        <w:tabs>
          <w:tab w:val="right" w:leader="dot" w:pos="8306"/>
        </w:tabs>
        <w:ind w:left="360"/>
      </w:pPr>
      <w:hyperlink w:anchor="_Toc14351" w:history="1">
        <w:r w:rsidR="00185F02">
          <w:rPr>
            <w:rFonts w:ascii="Wingdings" w:eastAsia="宋体" w:hAnsi="Wingdings" w:cs="Wingdings"/>
          </w:rPr>
          <w:t xml:space="preserve"> </w:t>
        </w:r>
        <w:r w:rsidR="00185F02">
          <w:rPr>
            <w:rFonts w:hint="eastAsia"/>
          </w:rPr>
          <w:t>2.2</w:t>
        </w:r>
        <w:r w:rsidR="00185F02">
          <w:rPr>
            <w:rFonts w:hint="eastAsia"/>
          </w:rPr>
          <w:t>税费测算</w:t>
        </w:r>
        <w:r w:rsidR="00185F02">
          <w:tab/>
        </w:r>
        <w:fldSimple w:instr=" PAGEREF _Toc14351 ">
          <w:r w:rsidR="00185F02">
            <w:t>6</w:t>
          </w:r>
        </w:fldSimple>
      </w:hyperlink>
    </w:p>
    <w:p w:rsidR="00BD66B8" w:rsidRDefault="00B60DF4">
      <w:pPr>
        <w:pStyle w:val="21"/>
        <w:tabs>
          <w:tab w:val="right" w:leader="dot" w:pos="8306"/>
        </w:tabs>
        <w:ind w:left="360"/>
      </w:pPr>
      <w:hyperlink w:anchor="_Toc19263" w:history="1">
        <w:r w:rsidR="00185F02">
          <w:rPr>
            <w:rFonts w:ascii="Wingdings" w:eastAsia="宋体" w:hAnsi="Wingdings" w:cs="Wingdings"/>
          </w:rPr>
          <w:t xml:space="preserve"> </w:t>
        </w:r>
        <w:r w:rsidR="00185F02">
          <w:rPr>
            <w:rFonts w:hint="eastAsia"/>
          </w:rPr>
          <w:t>2.3</w:t>
        </w:r>
        <w:r w:rsidR="00185F02">
          <w:rPr>
            <w:rFonts w:hint="eastAsia"/>
          </w:rPr>
          <w:t>欠费情况调查</w:t>
        </w:r>
        <w:r w:rsidR="00185F02">
          <w:tab/>
        </w:r>
        <w:fldSimple w:instr=" PAGEREF _Toc19263 ">
          <w:r w:rsidR="00185F02">
            <w:t>6</w:t>
          </w:r>
        </w:fldSimple>
      </w:hyperlink>
    </w:p>
    <w:p w:rsidR="00BD66B8" w:rsidRDefault="00B60DF4">
      <w:pPr>
        <w:pStyle w:val="11"/>
        <w:tabs>
          <w:tab w:val="right" w:leader="dot" w:pos="8306"/>
        </w:tabs>
      </w:pPr>
      <w:hyperlink w:anchor="_Toc8118" w:history="1">
        <w:r w:rsidR="00185F02">
          <w:rPr>
            <w:rFonts w:ascii="宋体" w:hAnsi="宋体" w:cs="宋体" w:hint="eastAsia"/>
          </w:rPr>
          <w:t>三、</w:t>
        </w:r>
        <w:r w:rsidR="00185F02">
          <w:rPr>
            <w:rFonts w:ascii="宋体" w:hAnsi="宋体" w:cs="宋体" w:hint="eastAsia"/>
          </w:rPr>
          <w:t xml:space="preserve"> </w:t>
        </w:r>
        <w:r w:rsidR="00185F02">
          <w:rPr>
            <w:rFonts w:hint="eastAsia"/>
          </w:rPr>
          <w:t>风险提示和解决方案</w:t>
        </w:r>
        <w:r w:rsidR="00185F02">
          <w:tab/>
        </w:r>
        <w:fldSimple w:instr=" PAGEREF _Toc8118 ">
          <w:r w:rsidR="00185F02">
            <w:t>7</w:t>
          </w:r>
        </w:fldSimple>
      </w:hyperlink>
    </w:p>
    <w:p w:rsidR="00BD66B8" w:rsidRDefault="00B60DF4">
      <w:pPr>
        <w:pStyle w:val="11"/>
        <w:tabs>
          <w:tab w:val="right" w:leader="dot" w:pos="8306"/>
        </w:tabs>
      </w:pPr>
      <w:hyperlink w:anchor="_Toc12205" w:history="1">
        <w:r w:rsidR="00185F02">
          <w:rPr>
            <w:rFonts w:ascii="宋体" w:hAnsi="宋体" w:cs="宋体" w:hint="eastAsia"/>
          </w:rPr>
          <w:t>四、</w:t>
        </w:r>
        <w:r w:rsidR="00185F02">
          <w:rPr>
            <w:rFonts w:ascii="宋体" w:hAnsi="宋体" w:cs="宋体" w:hint="eastAsia"/>
          </w:rPr>
          <w:t xml:space="preserve"> </w:t>
        </w:r>
        <w:r w:rsidR="00185F02">
          <w:rPr>
            <w:rFonts w:hint="eastAsia"/>
          </w:rPr>
          <w:t>附录</w:t>
        </w:r>
        <w:r w:rsidR="00185F02">
          <w:tab/>
        </w:r>
        <w:fldSimple w:instr=" PAGEREF _Toc12205 ">
          <w:r w:rsidR="00185F02">
            <w:t>8</w:t>
          </w:r>
        </w:fldSimple>
      </w:hyperlink>
    </w:p>
    <w:p w:rsidR="00BD66B8" w:rsidRDefault="00B60DF4">
      <w:pPr>
        <w:pStyle w:val="21"/>
        <w:tabs>
          <w:tab w:val="right" w:leader="dot" w:pos="8306"/>
        </w:tabs>
        <w:ind w:left="360"/>
      </w:pPr>
      <w:hyperlink w:anchor="_Toc29030" w:history="1">
        <w:r w:rsidR="00185F02">
          <w:rPr>
            <w:rFonts w:ascii="Wingdings" w:eastAsia="宋体" w:hAnsi="Wingdings" w:cs="Wingdings"/>
          </w:rPr>
          <w:t xml:space="preserve"> </w:t>
        </w:r>
        <w:r w:rsidR="00185F02">
          <w:rPr>
            <w:rFonts w:hint="eastAsia"/>
          </w:rPr>
          <w:t>4.1</w:t>
        </w:r>
        <w:r w:rsidR="00185F02">
          <w:rPr>
            <w:rFonts w:hint="eastAsia"/>
          </w:rPr>
          <w:t>本地重要法规政策</w:t>
        </w:r>
        <w:r w:rsidR="00185F02">
          <w:tab/>
        </w:r>
        <w:fldSimple w:instr=" PAGEREF _Toc29030 ">
          <w:r w:rsidR="00185F02">
            <w:t>8</w:t>
          </w:r>
        </w:fldSimple>
      </w:hyperlink>
    </w:p>
    <w:p w:rsidR="00BD66B8" w:rsidRDefault="00B60DF4">
      <w:pPr>
        <w:pStyle w:val="31"/>
        <w:tabs>
          <w:tab w:val="right" w:leader="dot" w:pos="8306"/>
        </w:tabs>
        <w:ind w:left="720"/>
      </w:pPr>
      <w:hyperlink w:anchor="_Toc19019" w:history="1">
        <w:r w:rsidR="00185F02">
          <w:rPr>
            <w:rFonts w:ascii="Wingdings" w:hAnsi="Wingdings" w:cs="Wingdings"/>
          </w:rPr>
          <w:t xml:space="preserve"> </w:t>
        </w:r>
        <w:r w:rsidR="00185F02">
          <w:rPr>
            <w:rFonts w:hint="eastAsia"/>
          </w:rPr>
          <w:t>4.1.1</w:t>
        </w:r>
        <w:r w:rsidR="00185F02">
          <w:rPr>
            <w:rFonts w:hint="eastAsia"/>
          </w:rPr>
          <w:t>限购政策</w:t>
        </w:r>
        <w:r w:rsidR="00185F02">
          <w:tab/>
        </w:r>
        <w:fldSimple w:instr=" PAGEREF _Toc19019 ">
          <w:r w:rsidR="00185F02">
            <w:t>8</w:t>
          </w:r>
        </w:fldSimple>
      </w:hyperlink>
    </w:p>
    <w:p w:rsidR="00BD66B8" w:rsidRDefault="00B60DF4">
      <w:pPr>
        <w:pStyle w:val="40"/>
        <w:tabs>
          <w:tab w:val="right" w:leader="dot" w:pos="8306"/>
        </w:tabs>
        <w:ind w:left="1080"/>
      </w:pPr>
      <w:hyperlink w:anchor="_Toc19614" w:history="1">
        <w:r w:rsidR="00185F02">
          <w:rPr>
            <w:rFonts w:ascii="Wingdings" w:hAnsi="Wingdings" w:cs="Wingdings"/>
          </w:rPr>
          <w:t xml:space="preserve"> </w:t>
        </w:r>
        <w:r w:rsidR="00185F02">
          <w:rPr>
            <w:rFonts w:ascii="Arial" w:hAnsi="Arial" w:hint="eastAsia"/>
          </w:rPr>
          <w:t>提示</w:t>
        </w:r>
        <w:r w:rsidR="00185F02">
          <w:tab/>
        </w:r>
        <w:fldSimple w:instr=" PAGEREF _Toc19614 ">
          <w:r w:rsidR="00185F02">
            <w:t>8</w:t>
          </w:r>
        </w:fldSimple>
      </w:hyperlink>
    </w:p>
    <w:p w:rsidR="00BD66B8" w:rsidRDefault="00B60DF4">
      <w:pPr>
        <w:pStyle w:val="31"/>
        <w:tabs>
          <w:tab w:val="right" w:leader="dot" w:pos="8306"/>
        </w:tabs>
        <w:ind w:left="720"/>
      </w:pPr>
      <w:hyperlink w:anchor="_Toc10516" w:history="1">
        <w:r w:rsidR="00185F02">
          <w:rPr>
            <w:rFonts w:ascii="Wingdings" w:hAnsi="Wingdings" w:cs="Wingdings"/>
          </w:rPr>
          <w:t xml:space="preserve"> </w:t>
        </w:r>
        <w:r w:rsidR="00185F02">
          <w:rPr>
            <w:rFonts w:hint="eastAsia"/>
          </w:rPr>
          <w:t>4.1.2</w:t>
        </w:r>
        <w:r w:rsidR="00185F02">
          <w:rPr>
            <w:rFonts w:hint="eastAsia"/>
          </w:rPr>
          <w:t>落户政策</w:t>
        </w:r>
        <w:r w:rsidR="00185F02">
          <w:tab/>
        </w:r>
        <w:fldSimple w:instr=" PAGEREF _Toc10516 ">
          <w:r w:rsidR="00185F02">
            <w:t>9</w:t>
          </w:r>
        </w:fldSimple>
      </w:hyperlink>
    </w:p>
    <w:p w:rsidR="00BD66B8" w:rsidRDefault="00B60DF4">
      <w:pPr>
        <w:pStyle w:val="40"/>
        <w:tabs>
          <w:tab w:val="right" w:leader="dot" w:pos="8306"/>
        </w:tabs>
        <w:ind w:left="1080"/>
      </w:pPr>
      <w:hyperlink w:anchor="_Toc2576" w:history="1">
        <w:r w:rsidR="00185F02">
          <w:rPr>
            <w:rFonts w:ascii="Wingdings" w:hAnsi="Wingdings" w:cs="Wingdings"/>
          </w:rPr>
          <w:t xml:space="preserve"> </w:t>
        </w:r>
        <w:r w:rsidR="00185F02">
          <w:rPr>
            <w:rFonts w:hint="eastAsia"/>
          </w:rPr>
          <w:t>提示</w:t>
        </w:r>
        <w:r w:rsidR="00185F02">
          <w:tab/>
        </w:r>
        <w:fldSimple w:instr=" PAGEREF _Toc2576 ">
          <w:r w:rsidR="00185F02">
            <w:t>9</w:t>
          </w:r>
        </w:fldSimple>
      </w:hyperlink>
    </w:p>
    <w:p w:rsidR="00BD66B8" w:rsidRDefault="00B60DF4">
      <w:pPr>
        <w:pStyle w:val="21"/>
        <w:tabs>
          <w:tab w:val="right" w:leader="dot" w:pos="8306"/>
        </w:tabs>
        <w:ind w:left="360"/>
      </w:pPr>
      <w:hyperlink w:anchor="_Toc25072" w:history="1">
        <w:r w:rsidR="00185F02">
          <w:rPr>
            <w:rFonts w:ascii="Wingdings" w:eastAsia="宋体" w:hAnsi="Wingdings" w:cs="Wingdings"/>
          </w:rPr>
          <w:t xml:space="preserve"> </w:t>
        </w:r>
        <w:r w:rsidR="00185F02">
          <w:rPr>
            <w:rFonts w:hint="eastAsia"/>
          </w:rPr>
          <w:t>4.2</w:t>
        </w:r>
        <w:r w:rsidR="00185F02">
          <w:rPr>
            <w:rFonts w:hint="eastAsia"/>
          </w:rPr>
          <w:t>交割流程介绍</w:t>
        </w:r>
        <w:r w:rsidR="00185F02">
          <w:tab/>
        </w:r>
        <w:fldSimple w:instr=" PAGEREF _Toc25072 ">
          <w:r w:rsidR="00185F02">
            <w:t>10</w:t>
          </w:r>
        </w:fldSimple>
      </w:hyperlink>
    </w:p>
    <w:p w:rsidR="00BD66B8" w:rsidRDefault="00B60DF4">
      <w:pPr>
        <w:pStyle w:val="31"/>
        <w:tabs>
          <w:tab w:val="right" w:leader="dot" w:pos="8306"/>
        </w:tabs>
        <w:ind w:left="720"/>
      </w:pPr>
      <w:hyperlink w:anchor="_Toc4102" w:history="1">
        <w:r w:rsidR="00185F02">
          <w:rPr>
            <w:rFonts w:ascii="Wingdings" w:hAnsi="Wingdings" w:cs="Wingdings"/>
          </w:rPr>
          <w:t xml:space="preserve"> </w:t>
        </w:r>
        <w:r w:rsidR="00185F02">
          <w:rPr>
            <w:rFonts w:hint="eastAsia"/>
          </w:rPr>
          <w:t>4.2.1</w:t>
        </w:r>
        <w:r w:rsidR="00185F02">
          <w:rPr>
            <w:rFonts w:hint="eastAsia"/>
          </w:rPr>
          <w:t>框架流程</w:t>
        </w:r>
        <w:r w:rsidR="00185F02">
          <w:tab/>
        </w:r>
        <w:fldSimple w:instr=" PAGEREF _Toc4102 ">
          <w:r w:rsidR="00185F02">
            <w:t>10</w:t>
          </w:r>
        </w:fldSimple>
      </w:hyperlink>
    </w:p>
    <w:p w:rsidR="00BD66B8" w:rsidRDefault="00B60DF4">
      <w:pPr>
        <w:pStyle w:val="31"/>
        <w:tabs>
          <w:tab w:val="right" w:leader="dot" w:pos="8306"/>
        </w:tabs>
        <w:ind w:left="720"/>
      </w:pPr>
      <w:hyperlink w:anchor="_Toc12820" w:history="1">
        <w:r w:rsidR="00185F02">
          <w:rPr>
            <w:rFonts w:ascii="Wingdings" w:hAnsi="Wingdings" w:cs="Wingdings"/>
          </w:rPr>
          <w:t xml:space="preserve"> </w:t>
        </w:r>
        <w:r w:rsidR="00185F02">
          <w:rPr>
            <w:rFonts w:hint="eastAsia"/>
          </w:rPr>
          <w:t>4.2.2</w:t>
        </w:r>
        <w:r w:rsidR="00185F02">
          <w:rPr>
            <w:rFonts w:hint="eastAsia"/>
          </w:rPr>
          <w:t>细化流程</w:t>
        </w:r>
        <w:r w:rsidR="00185F02">
          <w:tab/>
        </w:r>
        <w:fldSimple w:instr=" PAGEREF _Toc12820 ">
          <w:r w:rsidR="00185F02">
            <w:t>10</w:t>
          </w:r>
        </w:fldSimple>
      </w:hyperlink>
    </w:p>
    <w:p w:rsidR="00BD66B8" w:rsidRDefault="00B60DF4">
      <w:pPr>
        <w:pStyle w:val="21"/>
        <w:tabs>
          <w:tab w:val="right" w:leader="dot" w:pos="8306"/>
        </w:tabs>
        <w:ind w:left="360"/>
      </w:pPr>
      <w:hyperlink w:anchor="_Toc7844" w:history="1">
        <w:r w:rsidR="00185F02">
          <w:rPr>
            <w:rFonts w:ascii="Wingdings" w:eastAsia="宋体" w:hAnsi="Wingdings" w:cs="Wingdings"/>
          </w:rPr>
          <w:t xml:space="preserve"> </w:t>
        </w:r>
        <w:r w:rsidR="00185F02">
          <w:rPr>
            <w:rFonts w:hint="eastAsia"/>
          </w:rPr>
          <w:t>4.3</w:t>
        </w:r>
        <w:r w:rsidR="00185F02">
          <w:rPr>
            <w:rFonts w:hint="eastAsia"/>
          </w:rPr>
          <w:t>交割税费政策</w:t>
        </w:r>
        <w:r w:rsidR="00185F02">
          <w:tab/>
        </w:r>
        <w:fldSimple w:instr=" PAGEREF _Toc7844 ">
          <w:r w:rsidR="00185F02">
            <w:t>10</w:t>
          </w:r>
        </w:fldSimple>
      </w:hyperlink>
    </w:p>
    <w:p w:rsidR="00BD66B8" w:rsidRDefault="00B60DF4">
      <w:pPr>
        <w:pStyle w:val="31"/>
        <w:tabs>
          <w:tab w:val="right" w:leader="dot" w:pos="8306"/>
        </w:tabs>
        <w:ind w:left="720"/>
      </w:pPr>
      <w:hyperlink w:anchor="_Toc6585" w:history="1">
        <w:r w:rsidR="00185F02">
          <w:rPr>
            <w:rFonts w:ascii="Wingdings" w:hAnsi="Wingdings" w:cs="Wingdings"/>
          </w:rPr>
          <w:t xml:space="preserve"> </w:t>
        </w:r>
        <w:r w:rsidR="00185F02">
          <w:rPr>
            <w:rFonts w:hint="eastAsia"/>
          </w:rPr>
          <w:t>3.3.1</w:t>
        </w:r>
        <w:r w:rsidR="00185F02">
          <w:rPr>
            <w:rFonts w:hint="eastAsia"/>
          </w:rPr>
          <w:t>土地增值税四级超率累进计算表</w:t>
        </w:r>
        <w:r w:rsidR="00185F02">
          <w:rPr>
            <w:rFonts w:hint="eastAsia"/>
          </w:rPr>
          <w:t> </w:t>
        </w:r>
        <w:r w:rsidR="00185F02">
          <w:tab/>
        </w:r>
        <w:fldSimple w:instr=" PAGEREF _Toc6585 ">
          <w:r w:rsidR="00185F02">
            <w:t>10</w:t>
          </w:r>
        </w:fldSimple>
      </w:hyperlink>
    </w:p>
    <w:p w:rsidR="00BD66B8" w:rsidRDefault="00B60DF4">
      <w:pPr>
        <w:pStyle w:val="31"/>
        <w:tabs>
          <w:tab w:val="right" w:leader="dot" w:pos="8306"/>
        </w:tabs>
        <w:ind w:left="720"/>
      </w:pPr>
      <w:hyperlink w:anchor="_Toc31582" w:history="1">
        <w:r w:rsidR="00185F02">
          <w:rPr>
            <w:rFonts w:ascii="Wingdings" w:hAnsi="Wingdings" w:cs="Wingdings"/>
          </w:rPr>
          <w:t xml:space="preserve"> </w:t>
        </w:r>
        <w:r w:rsidR="00185F02">
          <w:rPr>
            <w:rFonts w:hint="eastAsia"/>
          </w:rPr>
          <w:t>3.3.2</w:t>
        </w:r>
        <w:r w:rsidR="00185F02">
          <w:rPr>
            <w:rFonts w:hint="eastAsia"/>
          </w:rPr>
          <w:t>房产税费交易表</w:t>
        </w:r>
        <w:r w:rsidR="00185F02">
          <w:tab/>
        </w:r>
        <w:fldSimple w:instr=" PAGEREF _Toc31582 ">
          <w:r w:rsidR="00185F02">
            <w:t>11</w:t>
          </w:r>
        </w:fldSimple>
      </w:hyperlink>
    </w:p>
    <w:p w:rsidR="00BD66B8" w:rsidRDefault="00185F02">
      <w:pPr>
        <w:pStyle w:val="21"/>
        <w:tabs>
          <w:tab w:val="right" w:leader="dot" w:pos="8306"/>
        </w:tabs>
        <w:ind w:leftChars="0" w:left="360"/>
        <w:rPr>
          <w:rFonts w:ascii="微软雅黑" w:hAnsi="微软雅黑"/>
          <w:sz w:val="24"/>
        </w:rPr>
      </w:pPr>
      <w:r>
        <w:rPr>
          <w:rFonts w:ascii="微软雅黑" w:hAnsi="微软雅黑" w:hint="eastAsia"/>
        </w:rPr>
        <w:fldChar w:fldCharType="end"/>
      </w:r>
    </w:p>
    <w:p w:rsidR="00BD66B8" w:rsidRDefault="00BD66B8">
      <w:pPr>
        <w:widowControl/>
        <w:spacing w:beforeAutospacing="1" w:afterAutospacing="1"/>
        <w:jc w:val="left"/>
        <w:rPr>
          <w:rStyle w:val="af3"/>
          <w:rFonts w:ascii="微软雅黑" w:eastAsia="微软雅黑" w:hAnsi="微软雅黑"/>
          <w:sz w:val="24"/>
        </w:rPr>
        <w:sectPr w:rsidR="00BD66B8">
          <w:headerReference w:type="default" r:id="rId11"/>
          <w:footerReference w:type="default" r:id="rId12"/>
          <w:pgSz w:w="11906" w:h="16838"/>
          <w:pgMar w:top="1440" w:right="1800" w:bottom="1440" w:left="1800" w:header="851" w:footer="992" w:gutter="0"/>
          <w:pgNumType w:start="1"/>
          <w:cols w:space="720"/>
          <w:docGrid w:type="lines" w:linePitch="312"/>
        </w:sectPr>
      </w:pPr>
    </w:p>
    <w:p w:rsidR="00BD66B8" w:rsidRDefault="00185F02">
      <w:pPr>
        <w:pStyle w:val="1"/>
      </w:pPr>
      <w:bookmarkStart w:id="1" w:name="_Toc27026"/>
      <w:bookmarkStart w:id="2" w:name="_Toc26227"/>
      <w:r>
        <w:rPr>
          <w:rFonts w:hint="eastAsia"/>
        </w:rPr>
        <w:lastRenderedPageBreak/>
        <w:t>房屋信息</w:t>
      </w:r>
      <w:bookmarkEnd w:id="1"/>
      <w:r>
        <w:rPr>
          <w:rFonts w:hint="eastAsia"/>
        </w:rPr>
        <w:t>和价值分析</w:t>
      </w:r>
      <w:bookmarkEnd w:id="2"/>
    </w:p>
    <w:p w:rsidR="00BD66B8" w:rsidRDefault="00185F02">
      <w:pPr>
        <w:pStyle w:val="2"/>
      </w:pPr>
      <w:bookmarkStart w:id="3" w:name="_Toc8757"/>
      <w:bookmarkStart w:id="4" w:name="_Toc5357"/>
      <w:r>
        <w:rPr>
          <w:rFonts w:hint="eastAsia"/>
        </w:rPr>
        <w:t>1.1</w:t>
      </w:r>
      <w:r>
        <w:rPr>
          <w:rFonts w:hint="eastAsia"/>
        </w:rPr>
        <w:t>房屋及周边配套信息表</w:t>
      </w:r>
      <w:bookmarkEnd w:id="3"/>
      <w:bookmarkEnd w:id="4"/>
    </w:p>
    <w:tbl>
      <w:tblPr>
        <w:tblW w:w="9209" w:type="dxa"/>
        <w:jc w:val="center"/>
        <w:tblLayout w:type="fixed"/>
        <w:tblLook w:val="04A0" w:firstRow="1" w:lastRow="0" w:firstColumn="1" w:lastColumn="0" w:noHBand="0" w:noVBand="1"/>
      </w:tblPr>
      <w:tblGrid>
        <w:gridCol w:w="1342"/>
        <w:gridCol w:w="2318"/>
        <w:gridCol w:w="1987"/>
        <w:gridCol w:w="1987"/>
        <w:gridCol w:w="1575"/>
      </w:tblGrid>
      <w:tr w:rsidR="00BD66B8">
        <w:trPr>
          <w:trHeight w:val="23"/>
          <w:jc w:val="center"/>
        </w:trPr>
        <w:tc>
          <w:tcPr>
            <w:tcW w:w="9209" w:type="dxa"/>
            <w:gridSpan w:val="5"/>
            <w:tcBorders>
              <w:top w:val="single" w:sz="12" w:space="0" w:color="000000"/>
              <w:left w:val="single" w:sz="12"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185F02">
            <w:pPr>
              <w:rPr>
                <w:rFonts w:ascii="微软雅黑" w:hAnsi="微软雅黑" w:cs="微软雅黑"/>
                <w:b/>
                <w:bCs/>
                <w:sz w:val="28"/>
                <w:szCs w:val="28"/>
              </w:rPr>
            </w:pPr>
            <w:bookmarkStart w:id="5" w:name="_Toc5228"/>
            <w:r>
              <w:rPr>
                <w:rFonts w:ascii="微软雅黑" w:hAnsi="微软雅黑" w:cs="微软雅黑" w:hint="eastAsia"/>
                <w:b/>
                <w:bCs/>
                <w:sz w:val="28"/>
                <w:szCs w:val="28"/>
              </w:rPr>
              <w:t>住宅/商业类房产情况表</w:t>
            </w:r>
            <w:bookmarkEnd w:id="5"/>
          </w:p>
          <w:p w:rsidR="00BD66B8" w:rsidRDefault="00185F02">
            <w:pPr>
              <w:ind w:firstLineChars="700" w:firstLine="1260"/>
            </w:pPr>
            <w:r>
              <w:rPr>
                <w:rFonts w:ascii="微软雅黑" w:hAnsi="微软雅黑" w:cs="微软雅黑" w:hint="eastAsia"/>
                <w:b/>
                <w:bCs/>
                <w:szCs w:val="18"/>
              </w:rPr>
              <w:t>说明：本调查表仅基于淘宝公示和社会公开信息收集做出，不作瑕疵担保，仅供参考！</w:t>
            </w:r>
          </w:p>
        </w:tc>
      </w:tr>
      <w:tr w:rsidR="00BD66B8">
        <w:trPr>
          <w:trHeight w:val="23"/>
          <w:jc w:val="center"/>
        </w:trPr>
        <w:tc>
          <w:tcPr>
            <w:tcW w:w="1342" w:type="dxa"/>
            <w:vMerge w:val="restart"/>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sz w:val="21"/>
                <w:szCs w:val="21"/>
              </w:rPr>
            </w:pPr>
            <w:r>
              <w:rPr>
                <w:rStyle w:val="aa"/>
                <w:rFonts w:ascii="微软雅黑" w:hAnsi="微软雅黑" w:hint="eastAsia"/>
                <w:sz w:val="21"/>
                <w:szCs w:val="21"/>
              </w:rPr>
              <w:t>标的名称</w:t>
            </w:r>
          </w:p>
        </w:tc>
        <w:sdt>
          <w:sdtPr>
            <w:rPr>
              <w:rFonts w:ascii="微软雅黑" w:hAnsi="微软雅黑" w:cs="宋体"/>
              <w:color w:val="000000"/>
              <w:sz w:val="21"/>
              <w:szCs w:val="21"/>
            </w:rPr>
            <w:id w:val="1501929332"/>
            <w:placeholder>
              <w:docPart w:val="DefaultPlaceholder_-1854013440"/>
            </w:placeholder>
            <w:dataBinding w:prefixMappings="" w:xpath="/auctioningItemBean[1]/title[1]" w:storeItemID="{0F800843-30FD-44F4-91BD-9A2D0A63C676}"/>
            <w:text/>
          </w:sdtPr>
          <w:sdtEndPr/>
          <w:sdtContent>
            <w:tc>
              <w:tcPr>
                <w:tcW w:w="430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7D0845">
                <w:pPr>
                  <w:jc w:val="center"/>
                  <w:rPr>
                    <w:rFonts w:ascii="微软雅黑" w:hAnsi="微软雅黑" w:cs="宋体"/>
                    <w:color w:val="000000"/>
                    <w:sz w:val="21"/>
                    <w:szCs w:val="21"/>
                  </w:rPr>
                </w:pPr>
                <w:r>
                  <w:rPr>
                    <w:rFonts w:ascii="微软雅黑" w:hAnsi="微软雅黑" w:cs="宋体"/>
                    <w:color w:val="000000"/>
                    <w:sz w:val="21"/>
                    <w:szCs w:val="21"/>
                  </w:rPr>
                  <w:t>临安区青山湖街道白水涧山庄1（1幢120）房产</w:t>
                </w:r>
              </w:p>
            </w:tc>
          </w:sdtContent>
        </w:sdt>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地理位置（区域板块）</w:t>
            </w: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标的所有人</w:t>
            </w:r>
          </w:p>
        </w:tc>
      </w:tr>
      <w:tr w:rsidR="00BD66B8">
        <w:trPr>
          <w:trHeight w:val="23"/>
          <w:jc w:val="center"/>
        </w:trPr>
        <w:tc>
          <w:tcPr>
            <w:tcW w:w="1342"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rsidR="00BD66B8" w:rsidRDefault="00BD66B8">
            <w:pPr>
              <w:widowControl/>
              <w:jc w:val="left"/>
              <w:rPr>
                <w:rFonts w:ascii="微软雅黑" w:hAnsi="微软雅黑" w:cs="宋体"/>
                <w:b/>
                <w:sz w:val="21"/>
                <w:szCs w:val="21"/>
              </w:rPr>
            </w:pPr>
          </w:p>
        </w:tc>
        <w:tc>
          <w:tcPr>
            <w:tcW w:w="4305"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BD66B8" w:rsidRDefault="00BD66B8">
            <w:pPr>
              <w:widowControl/>
              <w:jc w:val="left"/>
              <w:rPr>
                <w:rFonts w:ascii="微软雅黑" w:hAnsi="微软雅黑" w:cs="宋体"/>
                <w:color w:val="000000"/>
                <w:sz w:val="24"/>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r>
      <w:tr w:rsidR="00BD66B8">
        <w:trPr>
          <w:trHeight w:val="23"/>
          <w:jc w:val="center"/>
        </w:trPr>
        <w:tc>
          <w:tcPr>
            <w:tcW w:w="1342" w:type="dxa"/>
            <w:vMerge w:val="restart"/>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sz w:val="21"/>
                <w:szCs w:val="21"/>
              </w:rPr>
            </w:pPr>
            <w:r>
              <w:rPr>
                <w:rStyle w:val="aa"/>
                <w:rFonts w:ascii="微软雅黑" w:hAnsi="微软雅黑" w:hint="eastAsia"/>
                <w:sz w:val="21"/>
                <w:szCs w:val="21"/>
              </w:rPr>
              <w:t>权证情况</w:t>
            </w: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房屋产权证</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登记时间</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房屋用途</w:t>
            </w: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建筑总面积</w:t>
            </w:r>
          </w:p>
        </w:tc>
      </w:tr>
      <w:tr w:rsidR="00BD66B8">
        <w:trPr>
          <w:trHeight w:val="23"/>
          <w:jc w:val="center"/>
        </w:trPr>
        <w:tc>
          <w:tcPr>
            <w:tcW w:w="1342"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rsidR="00BD66B8" w:rsidRDefault="00BD66B8">
            <w:pPr>
              <w:widowControl/>
              <w:jc w:val="left"/>
              <w:rPr>
                <w:rFonts w:ascii="微软雅黑" w:hAnsi="微软雅黑" w:cs="宋体"/>
                <w:b/>
                <w:sz w:val="21"/>
                <w:szCs w:val="21"/>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r>
      <w:tr w:rsidR="00BD66B8">
        <w:trPr>
          <w:trHeight w:val="23"/>
          <w:jc w:val="center"/>
        </w:trPr>
        <w:tc>
          <w:tcPr>
            <w:tcW w:w="1342"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rsidR="00BD66B8" w:rsidRDefault="00BD66B8">
            <w:pPr>
              <w:widowControl/>
              <w:jc w:val="left"/>
              <w:rPr>
                <w:rFonts w:ascii="微软雅黑" w:hAnsi="微软雅黑" w:cs="宋体"/>
                <w:b/>
                <w:sz w:val="21"/>
                <w:szCs w:val="21"/>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土地产权证</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登记时间</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土地用途/性质</w:t>
            </w: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土地总面积</w:t>
            </w:r>
          </w:p>
        </w:tc>
      </w:tr>
      <w:tr w:rsidR="00BD66B8">
        <w:trPr>
          <w:trHeight w:val="23"/>
          <w:jc w:val="center"/>
        </w:trPr>
        <w:tc>
          <w:tcPr>
            <w:tcW w:w="1342"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rsidR="00BD66B8" w:rsidRDefault="00BD66B8">
            <w:pPr>
              <w:widowControl/>
              <w:jc w:val="left"/>
              <w:rPr>
                <w:rFonts w:ascii="微软雅黑" w:hAnsi="微软雅黑" w:cs="宋体"/>
                <w:b/>
                <w:sz w:val="21"/>
                <w:szCs w:val="21"/>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r>
      <w:tr w:rsidR="00BD66B8">
        <w:trPr>
          <w:trHeight w:val="23"/>
          <w:jc w:val="center"/>
        </w:trPr>
        <w:tc>
          <w:tcPr>
            <w:tcW w:w="1342" w:type="dxa"/>
            <w:vMerge w:val="restart"/>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sz w:val="21"/>
                <w:szCs w:val="21"/>
              </w:rPr>
            </w:pPr>
            <w:r>
              <w:rPr>
                <w:rStyle w:val="aa"/>
                <w:rFonts w:ascii="微软雅黑" w:hAnsi="微软雅黑" w:hint="eastAsia"/>
                <w:sz w:val="21"/>
                <w:szCs w:val="21"/>
              </w:rPr>
              <w:t>标的介绍</w:t>
            </w: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开发商</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楼栋/房屋总数</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房产年龄</w:t>
            </w: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建筑类型</w:t>
            </w:r>
          </w:p>
        </w:tc>
      </w:tr>
      <w:tr w:rsidR="00BD66B8">
        <w:trPr>
          <w:trHeight w:val="23"/>
          <w:jc w:val="center"/>
        </w:trPr>
        <w:tc>
          <w:tcPr>
            <w:tcW w:w="1342"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rsidR="00BD66B8" w:rsidRDefault="00BD66B8">
            <w:pPr>
              <w:widowControl/>
              <w:jc w:val="left"/>
              <w:rPr>
                <w:rFonts w:ascii="微软雅黑" w:hAnsi="微软雅黑" w:cs="宋体"/>
                <w:b/>
                <w:sz w:val="21"/>
                <w:szCs w:val="21"/>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r>
      <w:tr w:rsidR="00BD66B8">
        <w:trPr>
          <w:trHeight w:val="23"/>
          <w:jc w:val="center"/>
        </w:trPr>
        <w:tc>
          <w:tcPr>
            <w:tcW w:w="1342"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rsidR="00BD66B8" w:rsidRDefault="00BD66B8">
            <w:pPr>
              <w:widowControl/>
              <w:jc w:val="left"/>
              <w:rPr>
                <w:rFonts w:ascii="微软雅黑" w:hAnsi="微软雅黑" w:cs="宋体"/>
                <w:b/>
                <w:sz w:val="21"/>
                <w:szCs w:val="21"/>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物业公司</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物业费用</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房屋楼层</w:t>
            </w: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房屋户型</w:t>
            </w:r>
          </w:p>
        </w:tc>
      </w:tr>
      <w:tr w:rsidR="00BD66B8">
        <w:trPr>
          <w:trHeight w:val="23"/>
          <w:jc w:val="center"/>
        </w:trPr>
        <w:tc>
          <w:tcPr>
            <w:tcW w:w="1342"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rsidR="00BD66B8" w:rsidRDefault="00BD66B8">
            <w:pPr>
              <w:widowControl/>
              <w:jc w:val="left"/>
              <w:rPr>
                <w:rFonts w:ascii="微软雅黑" w:hAnsi="微软雅黑" w:cs="宋体"/>
                <w:b/>
                <w:sz w:val="21"/>
                <w:szCs w:val="21"/>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r>
      <w:tr w:rsidR="00BD66B8">
        <w:trPr>
          <w:trHeight w:val="23"/>
          <w:jc w:val="center"/>
        </w:trPr>
        <w:tc>
          <w:tcPr>
            <w:tcW w:w="1342"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rsidR="00BD66B8" w:rsidRDefault="00BD66B8">
            <w:pPr>
              <w:widowControl/>
              <w:jc w:val="left"/>
              <w:rPr>
                <w:rFonts w:ascii="微软雅黑" w:hAnsi="微软雅黑" w:cs="宋体"/>
                <w:b/>
                <w:sz w:val="21"/>
                <w:szCs w:val="21"/>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top"/>
              <w:rPr>
                <w:rFonts w:ascii="微软雅黑" w:hAnsi="微软雅黑" w:cs="宋体"/>
                <w:b/>
                <w:bCs/>
                <w:color w:val="000000"/>
                <w:sz w:val="21"/>
                <w:szCs w:val="21"/>
              </w:rPr>
            </w:pPr>
            <w:r>
              <w:rPr>
                <w:rStyle w:val="aa"/>
                <w:rFonts w:ascii="微软雅黑" w:hAnsi="微软雅黑" w:hint="eastAsia"/>
                <w:sz w:val="21"/>
                <w:szCs w:val="21"/>
              </w:rPr>
              <w:t>电梯</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top"/>
              <w:rPr>
                <w:rFonts w:ascii="微软雅黑" w:hAnsi="微软雅黑" w:cs="宋体"/>
                <w:b/>
                <w:bCs/>
                <w:color w:val="000000"/>
                <w:sz w:val="21"/>
                <w:szCs w:val="21"/>
              </w:rPr>
            </w:pPr>
            <w:r>
              <w:rPr>
                <w:rStyle w:val="aa"/>
                <w:rFonts w:ascii="微软雅黑" w:hAnsi="微软雅黑" w:hint="eastAsia"/>
                <w:sz w:val="21"/>
                <w:szCs w:val="21"/>
              </w:rPr>
              <w:t>车位总数</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top"/>
              <w:rPr>
                <w:rFonts w:ascii="微软雅黑" w:hAnsi="微软雅黑" w:cs="宋体"/>
                <w:b/>
                <w:bCs/>
                <w:color w:val="000000"/>
                <w:sz w:val="21"/>
                <w:szCs w:val="21"/>
              </w:rPr>
            </w:pPr>
            <w:r>
              <w:rPr>
                <w:rStyle w:val="aa"/>
                <w:rFonts w:ascii="微软雅黑" w:hAnsi="微软雅黑" w:hint="eastAsia"/>
                <w:sz w:val="21"/>
                <w:szCs w:val="21"/>
              </w:rPr>
              <w:t>容积率</w:t>
            </w: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top"/>
              <w:rPr>
                <w:rFonts w:ascii="微软雅黑" w:hAnsi="微软雅黑" w:cs="宋体"/>
                <w:b/>
                <w:bCs/>
                <w:color w:val="000000"/>
                <w:sz w:val="21"/>
                <w:szCs w:val="21"/>
              </w:rPr>
            </w:pPr>
            <w:r>
              <w:rPr>
                <w:rStyle w:val="aa"/>
                <w:rFonts w:ascii="微软雅黑" w:hAnsi="微软雅黑" w:hint="eastAsia"/>
                <w:sz w:val="21"/>
                <w:szCs w:val="21"/>
              </w:rPr>
              <w:t>绿化率</w:t>
            </w:r>
          </w:p>
        </w:tc>
      </w:tr>
      <w:tr w:rsidR="00BD66B8">
        <w:trPr>
          <w:trHeight w:val="23"/>
          <w:jc w:val="center"/>
        </w:trPr>
        <w:tc>
          <w:tcPr>
            <w:tcW w:w="1342"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rsidR="00BD66B8" w:rsidRDefault="00BD66B8">
            <w:pPr>
              <w:widowControl/>
              <w:jc w:val="left"/>
              <w:rPr>
                <w:rFonts w:ascii="微软雅黑" w:hAnsi="微软雅黑" w:cs="宋体"/>
                <w:b/>
                <w:sz w:val="21"/>
                <w:szCs w:val="21"/>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r>
      <w:tr w:rsidR="00BD66B8">
        <w:trPr>
          <w:trHeight w:val="23"/>
          <w:jc w:val="center"/>
        </w:trPr>
        <w:tc>
          <w:tcPr>
            <w:tcW w:w="1342" w:type="dxa"/>
            <w:vMerge w:val="restart"/>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sz w:val="21"/>
                <w:szCs w:val="21"/>
              </w:rPr>
            </w:pPr>
            <w:r>
              <w:rPr>
                <w:rStyle w:val="aa"/>
                <w:rFonts w:ascii="微软雅黑" w:hAnsi="微软雅黑" w:hint="eastAsia"/>
                <w:sz w:val="21"/>
                <w:szCs w:val="21"/>
              </w:rPr>
              <w:t>标的现状</w:t>
            </w: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是否已腾空</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租赁情况</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经营情况</w:t>
            </w: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钥匙</w:t>
            </w:r>
          </w:p>
        </w:tc>
      </w:tr>
      <w:tr w:rsidR="00BD66B8">
        <w:trPr>
          <w:trHeight w:val="23"/>
          <w:jc w:val="center"/>
        </w:trPr>
        <w:tc>
          <w:tcPr>
            <w:tcW w:w="1342"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rsidR="00BD66B8" w:rsidRDefault="00BD66B8">
            <w:pPr>
              <w:widowControl/>
              <w:jc w:val="left"/>
              <w:rPr>
                <w:rFonts w:ascii="微软雅黑" w:hAnsi="微软雅黑" w:cs="宋体"/>
                <w:b/>
                <w:sz w:val="21"/>
                <w:szCs w:val="21"/>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r>
      <w:tr w:rsidR="00BD66B8">
        <w:trPr>
          <w:trHeight w:val="23"/>
          <w:jc w:val="center"/>
        </w:trPr>
        <w:tc>
          <w:tcPr>
            <w:tcW w:w="1342" w:type="dxa"/>
            <w:vMerge w:val="restart"/>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Style w:val="aa"/>
                <w:rFonts w:ascii="微软雅黑" w:hAnsi="微软雅黑"/>
                <w:sz w:val="21"/>
                <w:szCs w:val="21"/>
              </w:rPr>
            </w:pPr>
            <w:r>
              <w:rPr>
                <w:rStyle w:val="aa"/>
                <w:rFonts w:ascii="微软雅黑" w:hAnsi="微软雅黑" w:hint="eastAsia"/>
                <w:sz w:val="21"/>
                <w:szCs w:val="21"/>
              </w:rPr>
              <w:t>权利限制情况</w:t>
            </w:r>
          </w:p>
        </w:tc>
        <w:tc>
          <w:tcPr>
            <w:tcW w:w="4305"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查封</w:t>
            </w:r>
          </w:p>
        </w:tc>
        <w:tc>
          <w:tcPr>
            <w:tcW w:w="3562" w:type="dxa"/>
            <w:gridSpan w:val="2"/>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抵押</w:t>
            </w:r>
          </w:p>
        </w:tc>
      </w:tr>
      <w:tr w:rsidR="00BD66B8">
        <w:trPr>
          <w:trHeight w:val="23"/>
          <w:jc w:val="center"/>
        </w:trPr>
        <w:tc>
          <w:tcPr>
            <w:tcW w:w="1342"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rsidR="00BD66B8" w:rsidRDefault="00BD66B8">
            <w:pPr>
              <w:widowControl/>
              <w:jc w:val="left"/>
              <w:rPr>
                <w:rStyle w:val="aa"/>
                <w:rFonts w:ascii="微软雅黑" w:hAnsi="微软雅黑"/>
                <w:sz w:val="21"/>
                <w:szCs w:val="21"/>
              </w:rPr>
            </w:pPr>
          </w:p>
        </w:tc>
        <w:tc>
          <w:tcPr>
            <w:tcW w:w="4305"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c>
          <w:tcPr>
            <w:tcW w:w="3562" w:type="dxa"/>
            <w:gridSpan w:val="2"/>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r>
      <w:tr w:rsidR="00BD66B8">
        <w:trPr>
          <w:trHeight w:val="23"/>
          <w:jc w:val="center"/>
        </w:trPr>
        <w:tc>
          <w:tcPr>
            <w:tcW w:w="1342" w:type="dxa"/>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Style w:val="aa"/>
                <w:rFonts w:ascii="微软雅黑" w:hAnsi="微软雅黑"/>
                <w:sz w:val="21"/>
                <w:szCs w:val="21"/>
              </w:rPr>
            </w:pPr>
            <w:r>
              <w:rPr>
                <w:rStyle w:val="aa"/>
                <w:rFonts w:ascii="微软雅黑" w:hAnsi="微软雅黑" w:hint="eastAsia"/>
                <w:sz w:val="21"/>
                <w:szCs w:val="21"/>
              </w:rPr>
              <w:t>标的物估值</w:t>
            </w:r>
          </w:p>
        </w:tc>
        <w:tc>
          <w:tcPr>
            <w:tcW w:w="4305"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B60DF4">
            <w:pPr>
              <w:jc w:val="center"/>
              <w:rPr>
                <w:rFonts w:ascii="微软雅黑" w:hAnsi="微软雅黑" w:cs="宋体"/>
                <w:color w:val="000000"/>
                <w:sz w:val="24"/>
              </w:rPr>
            </w:pPr>
            <w:sdt>
              <w:sdtPr>
                <w:rPr>
                  <w:rFonts w:ascii="微软雅黑" w:hAnsi="微软雅黑" w:cs="宋体"/>
                  <w:color w:val="000000"/>
                  <w:sz w:val="24"/>
                </w:rPr>
                <w:id w:val="2080017242"/>
                <w:placeholder>
                  <w:docPart w:val="DefaultPlaceholder_-1854013440"/>
                </w:placeholder>
                <w:dataBinding w:prefixMappings="" w:xpath="/auctioningItemBean[1]/valuation[1]" w:storeItemID="{0F800843-30FD-44F4-91BD-9A2D0A63C676}"/>
                <w:text/>
              </w:sdtPr>
              <w:sdtEndPr/>
              <w:sdtContent>
                <w:r w:rsidR="007D0845">
                  <w:rPr>
                    <w:rFonts w:ascii="微软雅黑" w:hAnsi="微软雅黑" w:cs="宋体"/>
                    <w:color w:val="000000"/>
                    <w:sz w:val="24"/>
                  </w:rPr>
                  <w:t>305,800</w:t>
                </w:r>
              </w:sdtContent>
            </w:sdt>
            <w:r w:rsidR="009E1188">
              <w:rPr>
                <w:rFonts w:ascii="微软雅黑" w:hAnsi="微软雅黑" w:cs="宋体" w:hint="eastAsia"/>
                <w:color w:val="000000"/>
                <w:sz w:val="24"/>
              </w:rPr>
              <w:t>元</w:t>
            </w:r>
            <w:bookmarkStart w:id="6" w:name="_GoBack"/>
            <w:bookmarkEnd w:id="6"/>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评估鉴定基准日</w:t>
            </w: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r>
      <w:tr w:rsidR="00BD66B8">
        <w:trPr>
          <w:trHeight w:val="23"/>
          <w:jc w:val="center"/>
        </w:trPr>
        <w:tc>
          <w:tcPr>
            <w:tcW w:w="1342" w:type="dxa"/>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Style w:val="aa"/>
                <w:rFonts w:ascii="微软雅黑" w:hAnsi="微软雅黑"/>
                <w:sz w:val="21"/>
                <w:szCs w:val="21"/>
              </w:rPr>
            </w:pPr>
            <w:r>
              <w:rPr>
                <w:rStyle w:val="aa"/>
                <w:rFonts w:ascii="微软雅黑" w:hAnsi="微软雅黑" w:hint="eastAsia"/>
                <w:sz w:val="21"/>
                <w:szCs w:val="21"/>
              </w:rPr>
              <w:t>提供的文件</w:t>
            </w:r>
          </w:p>
        </w:tc>
        <w:tc>
          <w:tcPr>
            <w:tcW w:w="4305"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jc w:val="center"/>
              <w:rPr>
                <w:rFonts w:ascii="微软雅黑" w:hAnsi="微软雅黑" w:cs="宋体"/>
                <w:color w:val="000000"/>
                <w:sz w:val="24"/>
              </w:rPr>
            </w:pPr>
            <w:r>
              <w:rPr>
                <w:rFonts w:ascii="微软雅黑" w:hAnsi="微软雅黑" w:cs="宋体" w:hint="eastAsia"/>
                <w:color w:val="000000"/>
                <w:sz w:val="15"/>
                <w:szCs w:val="15"/>
              </w:rPr>
              <w:t>1、《法院裁定书》；2、《协助执行通知书》；</w:t>
            </w:r>
            <w:r>
              <w:rPr>
                <w:rFonts w:ascii="微软雅黑" w:hAnsi="微软雅黑" w:cs="宋体"/>
                <w:color w:val="000000"/>
                <w:sz w:val="15"/>
                <w:szCs w:val="15"/>
              </w:rPr>
              <w:t>3、《拍卖成交确认书》</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法院执行裁定书</w:t>
            </w: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15"/>
                <w:szCs w:val="15"/>
              </w:rPr>
            </w:pPr>
          </w:p>
        </w:tc>
      </w:tr>
      <w:tr w:rsidR="00BD66B8">
        <w:trPr>
          <w:trHeight w:val="23"/>
          <w:jc w:val="center"/>
        </w:trPr>
        <w:tc>
          <w:tcPr>
            <w:tcW w:w="1342" w:type="dxa"/>
            <w:vMerge w:val="restart"/>
            <w:tcBorders>
              <w:top w:val="single" w:sz="4" w:space="0" w:color="000000"/>
              <w:left w:val="single" w:sz="12"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Style w:val="aa"/>
                <w:rFonts w:ascii="微软雅黑" w:hAnsi="微软雅黑"/>
                <w:sz w:val="21"/>
                <w:szCs w:val="21"/>
              </w:rPr>
            </w:pPr>
            <w:r>
              <w:rPr>
                <w:rStyle w:val="aa"/>
                <w:rFonts w:ascii="微软雅黑" w:hAnsi="微软雅黑" w:hint="eastAsia"/>
                <w:sz w:val="21"/>
                <w:szCs w:val="21"/>
              </w:rPr>
              <w:lastRenderedPageBreak/>
              <w:t>周边配套</w:t>
            </w: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周边幼儿园</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周边小学</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周边中学</w:t>
            </w: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Style w:val="aa"/>
                <w:rFonts w:ascii="微软雅黑" w:hAnsi="微软雅黑" w:hint="eastAsia"/>
                <w:sz w:val="21"/>
                <w:szCs w:val="21"/>
              </w:rPr>
              <w:t>周边医院</w:t>
            </w:r>
          </w:p>
        </w:tc>
      </w:tr>
      <w:tr w:rsidR="00BD66B8">
        <w:trPr>
          <w:trHeight w:val="23"/>
          <w:jc w:val="center"/>
        </w:trPr>
        <w:tc>
          <w:tcPr>
            <w:tcW w:w="1342" w:type="dxa"/>
            <w:vMerge/>
            <w:tcBorders>
              <w:left w:val="single" w:sz="12" w:space="0" w:color="000000"/>
              <w:right w:val="single" w:sz="4" w:space="0" w:color="000000"/>
            </w:tcBorders>
            <w:shd w:val="clear" w:color="auto" w:fill="auto"/>
            <w:vAlign w:val="center"/>
          </w:tcPr>
          <w:p w:rsidR="00BD66B8" w:rsidRDefault="00BD66B8">
            <w:pPr>
              <w:widowControl/>
              <w:jc w:val="left"/>
              <w:rPr>
                <w:rStyle w:val="aa"/>
                <w:rFonts w:ascii="微软雅黑" w:hAnsi="微软雅黑"/>
                <w:sz w:val="21"/>
                <w:szCs w:val="21"/>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BD66B8" w:rsidRDefault="00BD66B8">
            <w:pPr>
              <w:pStyle w:val="af"/>
              <w:rPr>
                <w:rFonts w:ascii="微软雅黑" w:hAnsi="微软雅黑" w:cs="宋体"/>
                <w:color w:val="000000"/>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BD66B8" w:rsidRDefault="00BD66B8">
            <w:pPr>
              <w:widowControl/>
              <w:textAlignment w:val="center"/>
              <w:rPr>
                <w:rFonts w:ascii="微软雅黑" w:hAnsi="微软雅黑" w:cs="宋体"/>
                <w:color w:val="000000"/>
                <w:sz w:val="15"/>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BD66B8" w:rsidRDefault="00BD66B8">
            <w:pPr>
              <w:widowControl/>
              <w:textAlignment w:val="center"/>
              <w:rPr>
                <w:rFonts w:ascii="微软雅黑" w:hAnsi="微软雅黑" w:cs="宋体"/>
                <w:color w:val="000000"/>
                <w:sz w:val="15"/>
                <w:szCs w:val="15"/>
              </w:rPr>
            </w:pP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tcPr>
          <w:p w:rsidR="00BD66B8" w:rsidRDefault="00BD66B8">
            <w:pPr>
              <w:widowControl/>
              <w:textAlignment w:val="center"/>
              <w:rPr>
                <w:rFonts w:ascii="微软雅黑" w:hAnsi="微软雅黑" w:cs="宋体"/>
                <w:color w:val="000000"/>
                <w:sz w:val="15"/>
                <w:szCs w:val="15"/>
              </w:rPr>
            </w:pPr>
          </w:p>
        </w:tc>
      </w:tr>
      <w:tr w:rsidR="00BD66B8">
        <w:trPr>
          <w:trHeight w:val="23"/>
          <w:jc w:val="center"/>
        </w:trPr>
        <w:tc>
          <w:tcPr>
            <w:tcW w:w="1342" w:type="dxa"/>
            <w:vMerge/>
            <w:tcBorders>
              <w:left w:val="single" w:sz="12" w:space="0" w:color="000000"/>
              <w:right w:val="single" w:sz="4" w:space="0" w:color="000000"/>
            </w:tcBorders>
            <w:shd w:val="clear" w:color="auto" w:fill="auto"/>
            <w:vAlign w:val="center"/>
          </w:tcPr>
          <w:p w:rsidR="00BD66B8" w:rsidRDefault="00BD66B8">
            <w:pPr>
              <w:widowControl/>
              <w:jc w:val="left"/>
              <w:rPr>
                <w:rStyle w:val="aa"/>
                <w:rFonts w:ascii="微软雅黑" w:hAnsi="微软雅黑"/>
                <w:sz w:val="21"/>
                <w:szCs w:val="21"/>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BD66B8" w:rsidRDefault="00185F02">
            <w:pPr>
              <w:widowControl/>
              <w:jc w:val="center"/>
              <w:textAlignment w:val="top"/>
              <w:rPr>
                <w:rFonts w:ascii="微软雅黑" w:hAnsi="微软雅黑" w:cs="宋体"/>
                <w:b/>
                <w:color w:val="000000"/>
                <w:sz w:val="21"/>
                <w:szCs w:val="21"/>
              </w:rPr>
            </w:pPr>
            <w:r>
              <w:rPr>
                <w:rFonts w:ascii="微软雅黑" w:hAnsi="微软雅黑" w:cs="宋体" w:hint="eastAsia"/>
                <w:b/>
                <w:color w:val="000000"/>
                <w:kern w:val="0"/>
                <w:sz w:val="21"/>
                <w:szCs w:val="21"/>
              </w:rPr>
              <w:t>周边配套交通</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Fonts w:ascii="微软雅黑" w:hAnsi="微软雅黑" w:cs="宋体" w:hint="eastAsia"/>
                <w:b/>
                <w:color w:val="000000"/>
                <w:kern w:val="0"/>
                <w:sz w:val="21"/>
                <w:szCs w:val="21"/>
              </w:rPr>
              <w:t>周边地铁口</w:t>
            </w: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Fonts w:ascii="微软雅黑" w:hAnsi="微软雅黑" w:cs="宋体" w:hint="eastAsia"/>
                <w:b/>
                <w:color w:val="000000"/>
                <w:kern w:val="0"/>
                <w:sz w:val="21"/>
                <w:szCs w:val="21"/>
              </w:rPr>
              <w:t>周边综合商场</w:t>
            </w: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000000"/>
                <w:sz w:val="21"/>
                <w:szCs w:val="21"/>
              </w:rPr>
            </w:pPr>
            <w:r>
              <w:rPr>
                <w:rFonts w:ascii="微软雅黑" w:hAnsi="微软雅黑" w:cs="宋体" w:hint="eastAsia"/>
                <w:b/>
                <w:color w:val="000000"/>
                <w:kern w:val="0"/>
                <w:sz w:val="21"/>
                <w:szCs w:val="21"/>
              </w:rPr>
              <w:t>周边景区、公园</w:t>
            </w:r>
          </w:p>
        </w:tc>
      </w:tr>
      <w:tr w:rsidR="00BD66B8">
        <w:trPr>
          <w:trHeight w:val="23"/>
          <w:jc w:val="center"/>
        </w:trPr>
        <w:tc>
          <w:tcPr>
            <w:tcW w:w="1342" w:type="dxa"/>
            <w:vMerge/>
            <w:tcBorders>
              <w:left w:val="single" w:sz="12" w:space="0" w:color="000000"/>
              <w:bottom w:val="single" w:sz="4" w:space="0" w:color="000000"/>
              <w:right w:val="single" w:sz="4" w:space="0" w:color="000000"/>
            </w:tcBorders>
            <w:shd w:val="clear" w:color="auto" w:fill="auto"/>
            <w:vAlign w:val="center"/>
          </w:tcPr>
          <w:p w:rsidR="00BD66B8" w:rsidRDefault="00BD66B8">
            <w:pPr>
              <w:widowControl/>
              <w:jc w:val="left"/>
              <w:rPr>
                <w:rStyle w:val="aa"/>
                <w:rFonts w:ascii="微软雅黑" w:hAnsi="微软雅黑"/>
                <w:sz w:val="21"/>
                <w:szCs w:val="21"/>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BD66B8" w:rsidRDefault="00BD66B8">
            <w:pPr>
              <w:pStyle w:val="af"/>
              <w:rPr>
                <w:rFonts w:ascii="微软雅黑" w:hAnsi="微软雅黑"/>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BD66B8" w:rsidRDefault="00BD66B8">
            <w:pPr>
              <w:pStyle w:val="af"/>
              <w:rPr>
                <w:rFonts w:ascii="微软雅黑" w:hAnsi="微软雅黑"/>
                <w:szCs w:val="15"/>
              </w:rPr>
            </w:pPr>
          </w:p>
        </w:tc>
        <w:tc>
          <w:tcPr>
            <w:tcW w:w="19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BD66B8" w:rsidRDefault="00BD66B8">
            <w:pPr>
              <w:pStyle w:val="af"/>
              <w:rPr>
                <w:rFonts w:ascii="微软雅黑" w:hAnsi="微软雅黑"/>
                <w:szCs w:val="15"/>
              </w:rPr>
            </w:pPr>
          </w:p>
        </w:tc>
        <w:tc>
          <w:tcPr>
            <w:tcW w:w="1575" w:type="dxa"/>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tcPr>
          <w:p w:rsidR="00BD66B8" w:rsidRDefault="00BD66B8">
            <w:pPr>
              <w:pStyle w:val="af"/>
              <w:rPr>
                <w:rFonts w:ascii="微软雅黑" w:hAnsi="微软雅黑" w:cs="宋体"/>
                <w:color w:val="000000"/>
                <w:szCs w:val="15"/>
              </w:rPr>
            </w:pPr>
          </w:p>
        </w:tc>
      </w:tr>
      <w:tr w:rsidR="00BD66B8">
        <w:trPr>
          <w:trHeight w:val="23"/>
          <w:jc w:val="center"/>
        </w:trPr>
        <w:tc>
          <w:tcPr>
            <w:tcW w:w="1342" w:type="dxa"/>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Style w:val="aa"/>
                <w:rFonts w:ascii="微软雅黑" w:hAnsi="微软雅黑"/>
                <w:sz w:val="21"/>
                <w:szCs w:val="21"/>
              </w:rPr>
            </w:pPr>
            <w:r>
              <w:rPr>
                <w:rStyle w:val="aa"/>
                <w:rFonts w:ascii="微软雅黑" w:hAnsi="微软雅黑" w:hint="eastAsia"/>
                <w:sz w:val="21"/>
                <w:szCs w:val="21"/>
              </w:rPr>
              <w:t>其他介绍</w:t>
            </w:r>
          </w:p>
        </w:tc>
        <w:tc>
          <w:tcPr>
            <w:tcW w:w="7867" w:type="dxa"/>
            <w:gridSpan w:val="4"/>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sz w:val="24"/>
              </w:rPr>
            </w:pPr>
          </w:p>
        </w:tc>
      </w:tr>
      <w:tr w:rsidR="00BD66B8">
        <w:trPr>
          <w:trHeight w:val="3433"/>
          <w:jc w:val="center"/>
        </w:trPr>
        <w:tc>
          <w:tcPr>
            <w:tcW w:w="1342" w:type="dxa"/>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Style w:val="aa"/>
                <w:rFonts w:ascii="微软雅黑" w:hAnsi="微软雅黑"/>
                <w:sz w:val="21"/>
                <w:szCs w:val="21"/>
              </w:rPr>
            </w:pPr>
            <w:proofErr w:type="gramStart"/>
            <w:r>
              <w:rPr>
                <w:rStyle w:val="aa"/>
                <w:rFonts w:ascii="微软雅黑" w:hAnsi="微软雅黑" w:hint="eastAsia"/>
                <w:sz w:val="21"/>
                <w:szCs w:val="21"/>
              </w:rPr>
              <w:t>户型图</w:t>
            </w:r>
            <w:proofErr w:type="gramEnd"/>
          </w:p>
        </w:tc>
        <w:tc>
          <w:tcPr>
            <w:tcW w:w="7867" w:type="dxa"/>
            <w:gridSpan w:val="4"/>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kern w:val="0"/>
                <w:sz w:val="24"/>
              </w:rPr>
            </w:pPr>
          </w:p>
        </w:tc>
      </w:tr>
      <w:tr w:rsidR="00BD66B8">
        <w:trPr>
          <w:trHeight w:val="3433"/>
          <w:jc w:val="center"/>
        </w:trPr>
        <w:tc>
          <w:tcPr>
            <w:tcW w:w="1342" w:type="dxa"/>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Style w:val="aa"/>
                <w:rFonts w:ascii="微软雅黑" w:hAnsi="微软雅黑"/>
                <w:sz w:val="21"/>
                <w:szCs w:val="21"/>
              </w:rPr>
            </w:pPr>
            <w:r>
              <w:rPr>
                <w:rStyle w:val="aa"/>
                <w:rFonts w:ascii="微软雅黑" w:hAnsi="微软雅黑" w:hint="eastAsia"/>
                <w:sz w:val="21"/>
                <w:szCs w:val="21"/>
              </w:rPr>
              <w:t>地理位置图</w:t>
            </w:r>
          </w:p>
        </w:tc>
        <w:tc>
          <w:tcPr>
            <w:tcW w:w="7867" w:type="dxa"/>
            <w:gridSpan w:val="4"/>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kern w:val="0"/>
                <w:sz w:val="24"/>
              </w:rPr>
            </w:pPr>
          </w:p>
        </w:tc>
      </w:tr>
      <w:tr w:rsidR="00BD66B8">
        <w:trPr>
          <w:trHeight w:val="3433"/>
          <w:jc w:val="center"/>
        </w:trPr>
        <w:tc>
          <w:tcPr>
            <w:tcW w:w="1342" w:type="dxa"/>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rStyle w:val="aa"/>
                <w:rFonts w:ascii="微软雅黑" w:hAnsi="微软雅黑"/>
                <w:b w:val="0"/>
                <w:sz w:val="24"/>
              </w:rPr>
            </w:pPr>
            <w:r>
              <w:rPr>
                <w:rFonts w:hint="eastAsia"/>
                <w:b/>
                <w:sz w:val="24"/>
              </w:rPr>
              <w:t>套内实景图</w:t>
            </w:r>
          </w:p>
        </w:tc>
        <w:tc>
          <w:tcPr>
            <w:tcW w:w="7867" w:type="dxa"/>
            <w:gridSpan w:val="4"/>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kern w:val="0"/>
                <w:sz w:val="24"/>
              </w:rPr>
            </w:pPr>
          </w:p>
        </w:tc>
      </w:tr>
      <w:tr w:rsidR="00BD66B8">
        <w:trPr>
          <w:trHeight w:val="3433"/>
          <w:jc w:val="center"/>
        </w:trPr>
        <w:tc>
          <w:tcPr>
            <w:tcW w:w="1342" w:type="dxa"/>
            <w:tcBorders>
              <w:top w:val="single" w:sz="4" w:space="0" w:color="000000"/>
              <w:left w:val="single" w:sz="12"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BD66B8" w:rsidRDefault="00185F02">
            <w:pPr>
              <w:widowControl/>
              <w:jc w:val="center"/>
              <w:textAlignment w:val="center"/>
              <w:rPr>
                <w:b/>
                <w:sz w:val="24"/>
              </w:rPr>
            </w:pPr>
            <w:r>
              <w:rPr>
                <w:rFonts w:hint="eastAsia"/>
                <w:b/>
                <w:sz w:val="24"/>
              </w:rPr>
              <w:lastRenderedPageBreak/>
              <w:t>小区及周边实景图</w:t>
            </w:r>
          </w:p>
        </w:tc>
        <w:tc>
          <w:tcPr>
            <w:tcW w:w="7867" w:type="dxa"/>
            <w:gridSpan w:val="4"/>
            <w:tcBorders>
              <w:top w:val="single" w:sz="4" w:space="0" w:color="000000"/>
              <w:left w:val="single" w:sz="4" w:space="0" w:color="000000"/>
              <w:bottom w:val="single" w:sz="4" w:space="0" w:color="000000"/>
              <w:right w:val="single" w:sz="12" w:space="0" w:color="000000"/>
            </w:tcBorders>
            <w:shd w:val="clear" w:color="auto" w:fill="auto"/>
            <w:tcMar>
              <w:top w:w="15" w:type="dxa"/>
              <w:left w:w="15" w:type="dxa"/>
              <w:bottom w:w="15" w:type="dxa"/>
              <w:right w:w="15" w:type="dxa"/>
            </w:tcMar>
            <w:vAlign w:val="center"/>
          </w:tcPr>
          <w:p w:rsidR="00BD66B8" w:rsidRDefault="00BD66B8">
            <w:pPr>
              <w:widowControl/>
              <w:jc w:val="center"/>
              <w:textAlignment w:val="center"/>
              <w:rPr>
                <w:rFonts w:ascii="微软雅黑" w:hAnsi="微软雅黑" w:cs="宋体"/>
                <w:color w:val="000000"/>
                <w:kern w:val="0"/>
                <w:sz w:val="24"/>
              </w:rPr>
            </w:pPr>
          </w:p>
        </w:tc>
      </w:tr>
    </w:tbl>
    <w:p w:rsidR="00BD66B8" w:rsidRDefault="00185F02">
      <w:pPr>
        <w:pStyle w:val="2"/>
      </w:pPr>
      <w:bookmarkStart w:id="7" w:name="_Toc5116"/>
      <w:bookmarkStart w:id="8" w:name="_Toc29585"/>
      <w:bookmarkStart w:id="9" w:name="_Toc16281"/>
      <w:r>
        <w:rPr>
          <w:rFonts w:hint="eastAsia"/>
        </w:rPr>
        <w:t>1.2</w:t>
      </w:r>
      <w:r>
        <w:rPr>
          <w:rFonts w:hint="eastAsia"/>
        </w:rPr>
        <w:t>价值分析</w:t>
      </w:r>
      <w:bookmarkEnd w:id="7"/>
      <w:bookmarkEnd w:id="8"/>
    </w:p>
    <w:tbl>
      <w:tblPr>
        <w:tblW w:w="9200" w:type="dxa"/>
        <w:jc w:val="center"/>
        <w:tblLayout w:type="fixed"/>
        <w:tblLook w:val="04A0" w:firstRow="1" w:lastRow="0" w:firstColumn="1" w:lastColumn="0" w:noHBand="0" w:noVBand="1"/>
      </w:tblPr>
      <w:tblGrid>
        <w:gridCol w:w="568"/>
        <w:gridCol w:w="2158"/>
        <w:gridCol w:w="2158"/>
        <w:gridCol w:w="2158"/>
        <w:gridCol w:w="2158"/>
      </w:tblGrid>
      <w:tr w:rsidR="00BD66B8">
        <w:trPr>
          <w:trHeight w:val="567"/>
          <w:jc w:val="center"/>
        </w:trPr>
        <w:tc>
          <w:tcPr>
            <w:tcW w:w="568" w:type="dxa"/>
            <w:vMerge w:val="restart"/>
            <w:tcBorders>
              <w:top w:val="single" w:sz="4" w:space="0" w:color="000000"/>
              <w:left w:val="single" w:sz="12" w:space="0" w:color="000000"/>
              <w:bottom w:val="single" w:sz="12" w:space="0" w:color="000000"/>
              <w:right w:val="single" w:sz="4" w:space="0" w:color="000000"/>
            </w:tcBorders>
            <w:shd w:val="clear" w:color="auto" w:fill="F79646" w:themeFill="accent6"/>
            <w:tcMar>
              <w:top w:w="15" w:type="dxa"/>
              <w:left w:w="15" w:type="dxa"/>
              <w:bottom w:w="15" w:type="dxa"/>
              <w:right w:w="15" w:type="dxa"/>
            </w:tcMar>
            <w:vAlign w:val="center"/>
          </w:tcPr>
          <w:p w:rsidR="00BD66B8" w:rsidRDefault="00185F02">
            <w:pPr>
              <w:widowControl/>
              <w:jc w:val="center"/>
              <w:textAlignment w:val="center"/>
              <w:rPr>
                <w:rStyle w:val="aa"/>
                <w:rFonts w:ascii="微软雅黑" w:hAnsi="微软雅黑"/>
                <w:color w:val="943634" w:themeColor="accent2" w:themeShade="BF"/>
                <w:szCs w:val="18"/>
              </w:rPr>
            </w:pPr>
            <w:r>
              <w:rPr>
                <w:rStyle w:val="aa"/>
                <w:rFonts w:ascii="微软雅黑" w:hAnsi="微软雅黑" w:hint="eastAsia"/>
                <w:color w:val="943634" w:themeColor="accent2" w:themeShade="BF"/>
                <w:szCs w:val="18"/>
              </w:rPr>
              <w:t>标的物价值分析</w:t>
            </w:r>
          </w:p>
        </w:tc>
        <w:tc>
          <w:tcPr>
            <w:tcW w:w="2158" w:type="dxa"/>
            <w:vMerge w:val="restart"/>
            <w:tcBorders>
              <w:top w:val="single" w:sz="4" w:space="0" w:color="000000"/>
              <w:left w:val="single" w:sz="4" w:space="0" w:color="000000"/>
              <w:right w:val="single" w:sz="4" w:space="0" w:color="000000"/>
            </w:tcBorders>
            <w:shd w:val="clear" w:color="auto" w:fill="FDEADA" w:themeFill="accent6" w:themeFillTint="32"/>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943634" w:themeColor="accent2" w:themeShade="BF"/>
                <w:szCs w:val="18"/>
              </w:rPr>
            </w:pPr>
            <w:r>
              <w:rPr>
                <w:rFonts w:ascii="微软雅黑" w:hAnsi="微软雅黑" w:cs="宋体" w:hint="eastAsia"/>
                <w:b/>
                <w:color w:val="943634" w:themeColor="accent2" w:themeShade="BF"/>
                <w:kern w:val="0"/>
                <w:szCs w:val="18"/>
              </w:rPr>
              <w:t>周边二手房市场价格</w:t>
            </w:r>
          </w:p>
        </w:tc>
        <w:tc>
          <w:tcPr>
            <w:tcW w:w="2158" w:type="dxa"/>
            <w:tcBorders>
              <w:top w:val="single" w:sz="4" w:space="0" w:color="000000"/>
              <w:left w:val="single" w:sz="4" w:space="0" w:color="000000"/>
              <w:bottom w:val="single" w:sz="4" w:space="0" w:color="000000"/>
              <w:right w:val="single" w:sz="4" w:space="0" w:color="000000"/>
            </w:tcBorders>
            <w:shd w:val="clear" w:color="auto" w:fill="FDEADA" w:themeFill="accent6" w:themeFillTint="32"/>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943634" w:themeColor="accent2" w:themeShade="BF"/>
                <w:szCs w:val="18"/>
              </w:rPr>
            </w:pPr>
            <w:r>
              <w:rPr>
                <w:rFonts w:ascii="微软雅黑" w:hAnsi="微软雅黑" w:cs="宋体" w:hint="eastAsia"/>
                <w:b/>
                <w:color w:val="943634" w:themeColor="accent2" w:themeShade="BF"/>
                <w:kern w:val="0"/>
                <w:szCs w:val="18"/>
              </w:rPr>
              <w:t>小区近期二手房成交价</w:t>
            </w:r>
          </w:p>
        </w:tc>
        <w:tc>
          <w:tcPr>
            <w:tcW w:w="2158" w:type="dxa"/>
            <w:tcBorders>
              <w:top w:val="single" w:sz="4" w:space="0" w:color="000000"/>
              <w:left w:val="single" w:sz="4" w:space="0" w:color="000000"/>
              <w:bottom w:val="single" w:sz="4" w:space="0" w:color="000000"/>
              <w:right w:val="single" w:sz="4" w:space="0" w:color="000000"/>
            </w:tcBorders>
            <w:shd w:val="clear" w:color="auto" w:fill="FDEADA" w:themeFill="accent6" w:themeFillTint="32"/>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943634" w:themeColor="accent2" w:themeShade="BF"/>
                <w:szCs w:val="18"/>
              </w:rPr>
            </w:pPr>
            <w:r>
              <w:rPr>
                <w:rFonts w:ascii="微软雅黑" w:hAnsi="微软雅黑" w:cs="宋体" w:hint="eastAsia"/>
                <w:b/>
                <w:color w:val="943634" w:themeColor="accent2" w:themeShade="BF"/>
                <w:kern w:val="0"/>
                <w:szCs w:val="18"/>
              </w:rPr>
              <w:t>小区近期二手房挂牌价</w:t>
            </w:r>
          </w:p>
        </w:tc>
        <w:tc>
          <w:tcPr>
            <w:tcW w:w="2158" w:type="dxa"/>
            <w:tcBorders>
              <w:top w:val="single" w:sz="4" w:space="0" w:color="000000"/>
              <w:left w:val="single" w:sz="4" w:space="0" w:color="000000"/>
              <w:bottom w:val="single" w:sz="4" w:space="0" w:color="000000"/>
              <w:right w:val="single" w:sz="12" w:space="0" w:color="000000"/>
            </w:tcBorders>
            <w:shd w:val="clear" w:color="auto" w:fill="FDEADA" w:themeFill="accent6" w:themeFillTint="32"/>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943634" w:themeColor="accent2" w:themeShade="BF"/>
                <w:szCs w:val="18"/>
              </w:rPr>
            </w:pPr>
            <w:r>
              <w:rPr>
                <w:rFonts w:ascii="微软雅黑" w:hAnsi="微软雅黑" w:cs="宋体" w:hint="eastAsia"/>
                <w:b/>
                <w:color w:val="943634" w:themeColor="accent2" w:themeShade="BF"/>
                <w:kern w:val="0"/>
                <w:szCs w:val="18"/>
              </w:rPr>
              <w:t>同等户型成交价及挂牌价</w:t>
            </w:r>
          </w:p>
        </w:tc>
      </w:tr>
      <w:tr w:rsidR="00BD66B8">
        <w:trPr>
          <w:trHeight w:val="567"/>
          <w:jc w:val="center"/>
        </w:trPr>
        <w:tc>
          <w:tcPr>
            <w:tcW w:w="568" w:type="dxa"/>
            <w:vMerge/>
            <w:tcBorders>
              <w:top w:val="single" w:sz="4" w:space="0" w:color="000000"/>
              <w:left w:val="single" w:sz="12" w:space="0" w:color="000000"/>
              <w:bottom w:val="single" w:sz="12" w:space="0" w:color="000000"/>
              <w:right w:val="single" w:sz="4" w:space="0" w:color="000000"/>
            </w:tcBorders>
            <w:vAlign w:val="center"/>
          </w:tcPr>
          <w:p w:rsidR="00BD66B8" w:rsidRDefault="00BD66B8">
            <w:pPr>
              <w:widowControl/>
              <w:jc w:val="left"/>
              <w:rPr>
                <w:rStyle w:val="aa"/>
                <w:rFonts w:ascii="微软雅黑" w:hAnsi="微软雅黑"/>
                <w:color w:val="943634" w:themeColor="accent2" w:themeShade="BF"/>
                <w:szCs w:val="18"/>
              </w:rPr>
            </w:pPr>
          </w:p>
        </w:tc>
        <w:tc>
          <w:tcPr>
            <w:tcW w:w="2158" w:type="dxa"/>
            <w:vMerge/>
            <w:tcBorders>
              <w:left w:val="single" w:sz="4" w:space="0" w:color="000000"/>
              <w:bottom w:val="single" w:sz="4" w:space="0" w:color="000000"/>
              <w:right w:val="single" w:sz="4" w:space="0" w:color="000000"/>
            </w:tcBorders>
            <w:vAlign w:val="center"/>
          </w:tcPr>
          <w:p w:rsidR="00BD66B8" w:rsidRDefault="00BD66B8">
            <w:pPr>
              <w:widowControl/>
              <w:jc w:val="left"/>
              <w:rPr>
                <w:rFonts w:ascii="微软雅黑" w:hAnsi="微软雅黑" w:cs="宋体"/>
                <w:b/>
                <w:color w:val="943634" w:themeColor="accent2" w:themeShade="BF"/>
                <w:szCs w:val="18"/>
              </w:rPr>
            </w:pPr>
          </w:p>
        </w:tc>
        <w:tc>
          <w:tcPr>
            <w:tcW w:w="2158"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rsidR="00BD66B8" w:rsidRDefault="00BD66B8">
            <w:pPr>
              <w:pStyle w:val="af"/>
              <w:rPr>
                <w:rFonts w:ascii="微软雅黑" w:hAnsi="微软雅黑" w:cs="宋体"/>
                <w:b/>
                <w:bCs/>
                <w:color w:val="943634" w:themeColor="accent2" w:themeShade="BF"/>
                <w:szCs w:val="16"/>
              </w:rPr>
            </w:pPr>
          </w:p>
        </w:tc>
        <w:tc>
          <w:tcPr>
            <w:tcW w:w="2158"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BD66B8">
            <w:pPr>
              <w:pStyle w:val="af"/>
              <w:rPr>
                <w:rFonts w:ascii="微软雅黑" w:hAnsi="微软雅黑" w:cs="宋体"/>
                <w:b/>
                <w:bCs/>
                <w:color w:val="943634" w:themeColor="accent2" w:themeShade="BF"/>
                <w:szCs w:val="16"/>
              </w:rPr>
            </w:pPr>
          </w:p>
        </w:tc>
        <w:tc>
          <w:tcPr>
            <w:tcW w:w="2158" w:type="dxa"/>
            <w:tcBorders>
              <w:top w:val="single" w:sz="4" w:space="0" w:color="000000"/>
              <w:left w:val="single" w:sz="4" w:space="0" w:color="000000"/>
              <w:bottom w:val="single" w:sz="4" w:space="0" w:color="000000"/>
              <w:right w:val="single" w:sz="12" w:space="0" w:color="000000"/>
            </w:tcBorders>
            <w:tcMar>
              <w:top w:w="15" w:type="dxa"/>
              <w:left w:w="15" w:type="dxa"/>
              <w:bottom w:w="15" w:type="dxa"/>
              <w:right w:w="15" w:type="dxa"/>
            </w:tcMar>
            <w:vAlign w:val="center"/>
          </w:tcPr>
          <w:p w:rsidR="00BD66B8" w:rsidRDefault="00BD66B8">
            <w:pPr>
              <w:pStyle w:val="af"/>
              <w:rPr>
                <w:rFonts w:ascii="微软雅黑" w:hAnsi="微软雅黑" w:cs="宋体"/>
                <w:b/>
                <w:bCs/>
                <w:color w:val="943634" w:themeColor="accent2" w:themeShade="BF"/>
                <w:szCs w:val="16"/>
              </w:rPr>
            </w:pPr>
          </w:p>
        </w:tc>
      </w:tr>
      <w:tr w:rsidR="00BD66B8">
        <w:trPr>
          <w:trHeight w:val="567"/>
          <w:jc w:val="center"/>
        </w:trPr>
        <w:tc>
          <w:tcPr>
            <w:tcW w:w="568" w:type="dxa"/>
            <w:vMerge/>
            <w:tcBorders>
              <w:top w:val="single" w:sz="4" w:space="0" w:color="000000"/>
              <w:left w:val="single" w:sz="12" w:space="0" w:color="000000"/>
              <w:bottom w:val="single" w:sz="12" w:space="0" w:color="000000"/>
              <w:right w:val="single" w:sz="4" w:space="0" w:color="000000"/>
            </w:tcBorders>
            <w:vAlign w:val="center"/>
          </w:tcPr>
          <w:p w:rsidR="00BD66B8" w:rsidRDefault="00BD66B8">
            <w:pPr>
              <w:widowControl/>
              <w:jc w:val="left"/>
              <w:rPr>
                <w:rStyle w:val="aa"/>
                <w:rFonts w:ascii="微软雅黑" w:hAnsi="微软雅黑"/>
                <w:color w:val="943634" w:themeColor="accent2" w:themeShade="BF"/>
                <w:szCs w:val="18"/>
              </w:rPr>
            </w:pPr>
          </w:p>
        </w:tc>
        <w:tc>
          <w:tcPr>
            <w:tcW w:w="2158" w:type="dxa"/>
            <w:tcBorders>
              <w:top w:val="single" w:sz="4" w:space="0" w:color="000000"/>
              <w:left w:val="single" w:sz="4" w:space="0" w:color="000000"/>
              <w:bottom w:val="single" w:sz="4" w:space="0" w:color="000000"/>
              <w:right w:val="single" w:sz="4" w:space="0" w:color="000000"/>
            </w:tcBorders>
            <w:shd w:val="clear" w:color="auto" w:fill="FDEADA" w:themeFill="accent6" w:themeFillTint="32"/>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943634" w:themeColor="accent2" w:themeShade="BF"/>
                <w:szCs w:val="18"/>
              </w:rPr>
            </w:pPr>
            <w:r>
              <w:rPr>
                <w:rFonts w:ascii="微软雅黑" w:hAnsi="微软雅黑" w:cs="宋体" w:hint="eastAsia"/>
                <w:b/>
                <w:color w:val="943634" w:themeColor="accent2" w:themeShade="BF"/>
                <w:kern w:val="0"/>
                <w:szCs w:val="18"/>
              </w:rPr>
              <w:t>地段</w:t>
            </w:r>
          </w:p>
        </w:tc>
        <w:tc>
          <w:tcPr>
            <w:tcW w:w="6474" w:type="dxa"/>
            <w:gridSpan w:val="3"/>
            <w:tcBorders>
              <w:top w:val="single" w:sz="4" w:space="0" w:color="000000"/>
              <w:left w:val="single" w:sz="4" w:space="0" w:color="000000"/>
              <w:bottom w:val="single" w:sz="4" w:space="0" w:color="000000"/>
              <w:right w:val="single" w:sz="12" w:space="0" w:color="000000"/>
            </w:tcBorders>
            <w:tcMar>
              <w:top w:w="15" w:type="dxa"/>
              <w:left w:w="15" w:type="dxa"/>
              <w:bottom w:w="15" w:type="dxa"/>
              <w:right w:w="15" w:type="dxa"/>
            </w:tcMar>
            <w:vAlign w:val="center"/>
          </w:tcPr>
          <w:p w:rsidR="00BD66B8" w:rsidRDefault="00BD66B8">
            <w:pPr>
              <w:pStyle w:val="af"/>
              <w:rPr>
                <w:rFonts w:ascii="微软雅黑" w:hAnsi="微软雅黑" w:cs="宋体"/>
                <w:b/>
                <w:bCs/>
                <w:color w:val="943634" w:themeColor="accent2" w:themeShade="BF"/>
                <w:szCs w:val="16"/>
              </w:rPr>
            </w:pPr>
          </w:p>
        </w:tc>
      </w:tr>
      <w:tr w:rsidR="00BD66B8">
        <w:trPr>
          <w:trHeight w:val="567"/>
          <w:jc w:val="center"/>
        </w:trPr>
        <w:tc>
          <w:tcPr>
            <w:tcW w:w="568" w:type="dxa"/>
            <w:vMerge/>
            <w:tcBorders>
              <w:top w:val="single" w:sz="4" w:space="0" w:color="000000"/>
              <w:left w:val="single" w:sz="12" w:space="0" w:color="000000"/>
              <w:bottom w:val="single" w:sz="12" w:space="0" w:color="000000"/>
              <w:right w:val="single" w:sz="4" w:space="0" w:color="000000"/>
            </w:tcBorders>
            <w:vAlign w:val="center"/>
          </w:tcPr>
          <w:p w:rsidR="00BD66B8" w:rsidRDefault="00BD66B8">
            <w:pPr>
              <w:widowControl/>
              <w:jc w:val="left"/>
              <w:rPr>
                <w:rStyle w:val="aa"/>
                <w:rFonts w:ascii="微软雅黑" w:hAnsi="微软雅黑"/>
                <w:color w:val="943634" w:themeColor="accent2" w:themeShade="BF"/>
                <w:szCs w:val="18"/>
              </w:rPr>
            </w:pPr>
          </w:p>
        </w:tc>
        <w:tc>
          <w:tcPr>
            <w:tcW w:w="2158" w:type="dxa"/>
            <w:tcBorders>
              <w:top w:val="single" w:sz="4" w:space="0" w:color="000000"/>
              <w:left w:val="single" w:sz="4" w:space="0" w:color="000000"/>
              <w:bottom w:val="single" w:sz="4" w:space="0" w:color="000000"/>
              <w:right w:val="single" w:sz="4" w:space="0" w:color="000000"/>
            </w:tcBorders>
            <w:shd w:val="clear" w:color="auto" w:fill="FDEADA" w:themeFill="accent6" w:themeFillTint="32"/>
            <w:tcMar>
              <w:top w:w="15" w:type="dxa"/>
              <w:left w:w="15" w:type="dxa"/>
              <w:bottom w:w="15" w:type="dxa"/>
              <w:right w:w="15" w:type="dxa"/>
            </w:tcMar>
            <w:vAlign w:val="center"/>
          </w:tcPr>
          <w:p w:rsidR="00BD66B8" w:rsidRDefault="00185F02">
            <w:pPr>
              <w:widowControl/>
              <w:jc w:val="center"/>
              <w:textAlignment w:val="center"/>
              <w:rPr>
                <w:rFonts w:ascii="微软雅黑" w:hAnsi="微软雅黑" w:cs="宋体"/>
                <w:b/>
                <w:color w:val="943634" w:themeColor="accent2" w:themeShade="BF"/>
                <w:szCs w:val="18"/>
              </w:rPr>
            </w:pPr>
            <w:r>
              <w:rPr>
                <w:rFonts w:ascii="微软雅黑" w:hAnsi="微软雅黑" w:cs="宋体" w:hint="eastAsia"/>
                <w:b/>
                <w:color w:val="943634" w:themeColor="accent2" w:themeShade="BF"/>
                <w:kern w:val="0"/>
                <w:szCs w:val="18"/>
              </w:rPr>
              <w:t>影响房价的其他因素</w:t>
            </w:r>
          </w:p>
        </w:tc>
        <w:tc>
          <w:tcPr>
            <w:tcW w:w="6474" w:type="dxa"/>
            <w:gridSpan w:val="3"/>
            <w:tcBorders>
              <w:top w:val="single" w:sz="4" w:space="0" w:color="000000"/>
              <w:left w:val="single" w:sz="4" w:space="0" w:color="000000"/>
              <w:bottom w:val="single" w:sz="4" w:space="0" w:color="000000"/>
              <w:right w:val="single" w:sz="12" w:space="0" w:color="000000"/>
            </w:tcBorders>
            <w:tcMar>
              <w:top w:w="15" w:type="dxa"/>
              <w:left w:w="15" w:type="dxa"/>
              <w:bottom w:w="15" w:type="dxa"/>
              <w:right w:w="15" w:type="dxa"/>
            </w:tcMar>
            <w:vAlign w:val="center"/>
          </w:tcPr>
          <w:p w:rsidR="00BD66B8" w:rsidRDefault="00BD66B8">
            <w:pPr>
              <w:pStyle w:val="af"/>
              <w:rPr>
                <w:rFonts w:ascii="微软雅黑" w:hAnsi="微软雅黑" w:cs="宋体"/>
                <w:b/>
                <w:bCs/>
                <w:color w:val="943634" w:themeColor="accent2" w:themeShade="BF"/>
                <w:szCs w:val="16"/>
              </w:rPr>
            </w:pPr>
          </w:p>
        </w:tc>
      </w:tr>
      <w:tr w:rsidR="00BD66B8">
        <w:trPr>
          <w:trHeight w:val="567"/>
          <w:jc w:val="center"/>
        </w:trPr>
        <w:tc>
          <w:tcPr>
            <w:tcW w:w="568" w:type="dxa"/>
            <w:vMerge/>
            <w:tcBorders>
              <w:top w:val="single" w:sz="4" w:space="0" w:color="000000"/>
              <w:left w:val="single" w:sz="12" w:space="0" w:color="000000"/>
              <w:bottom w:val="single" w:sz="12" w:space="0" w:color="000000"/>
              <w:right w:val="single" w:sz="4" w:space="0" w:color="000000"/>
            </w:tcBorders>
            <w:vAlign w:val="center"/>
          </w:tcPr>
          <w:p w:rsidR="00BD66B8" w:rsidRDefault="00BD66B8">
            <w:pPr>
              <w:widowControl/>
              <w:jc w:val="left"/>
              <w:rPr>
                <w:rStyle w:val="aa"/>
                <w:rFonts w:ascii="微软雅黑" w:hAnsi="微软雅黑"/>
                <w:color w:val="943634" w:themeColor="accent2" w:themeShade="BF"/>
                <w:szCs w:val="18"/>
              </w:rPr>
            </w:pPr>
          </w:p>
        </w:tc>
        <w:tc>
          <w:tcPr>
            <w:tcW w:w="2158" w:type="dxa"/>
            <w:tcBorders>
              <w:top w:val="single" w:sz="4" w:space="0" w:color="000000"/>
              <w:left w:val="single" w:sz="4" w:space="0" w:color="000000"/>
              <w:bottom w:val="single" w:sz="12" w:space="0" w:color="000000"/>
              <w:right w:val="single" w:sz="4" w:space="0" w:color="000000"/>
            </w:tcBorders>
            <w:shd w:val="clear" w:color="auto" w:fill="FDEADA" w:themeFill="accent6" w:themeFillTint="32"/>
            <w:tcMar>
              <w:top w:w="15" w:type="dxa"/>
              <w:left w:w="15" w:type="dxa"/>
              <w:bottom w:w="15" w:type="dxa"/>
              <w:right w:w="15" w:type="dxa"/>
            </w:tcMar>
          </w:tcPr>
          <w:p w:rsidR="00BD66B8" w:rsidRDefault="00185F02">
            <w:pPr>
              <w:widowControl/>
              <w:jc w:val="center"/>
              <w:textAlignment w:val="top"/>
              <w:rPr>
                <w:rFonts w:ascii="微软雅黑" w:hAnsi="微软雅黑" w:cs="宋体"/>
                <w:b/>
                <w:color w:val="943634" w:themeColor="accent2" w:themeShade="BF"/>
                <w:szCs w:val="18"/>
              </w:rPr>
            </w:pPr>
            <w:r>
              <w:rPr>
                <w:rFonts w:ascii="微软雅黑" w:hAnsi="微软雅黑" w:cs="宋体" w:hint="eastAsia"/>
                <w:b/>
                <w:color w:val="943634" w:themeColor="accent2" w:themeShade="BF"/>
                <w:kern w:val="0"/>
                <w:szCs w:val="18"/>
              </w:rPr>
              <w:t>本标的物（户型)是否有影响房价的特殊情况？</w:t>
            </w:r>
          </w:p>
        </w:tc>
        <w:tc>
          <w:tcPr>
            <w:tcW w:w="6474" w:type="dxa"/>
            <w:gridSpan w:val="3"/>
            <w:tcBorders>
              <w:top w:val="single" w:sz="4" w:space="0" w:color="000000"/>
              <w:left w:val="single" w:sz="4" w:space="0" w:color="000000"/>
              <w:bottom w:val="single" w:sz="12" w:space="0" w:color="000000"/>
              <w:right w:val="single" w:sz="12" w:space="0" w:color="000000"/>
            </w:tcBorders>
            <w:tcMar>
              <w:top w:w="15" w:type="dxa"/>
              <w:left w:w="15" w:type="dxa"/>
              <w:bottom w:w="15" w:type="dxa"/>
              <w:right w:w="15" w:type="dxa"/>
            </w:tcMar>
            <w:vAlign w:val="center"/>
          </w:tcPr>
          <w:p w:rsidR="00BD66B8" w:rsidRDefault="00BD66B8">
            <w:pPr>
              <w:pStyle w:val="af"/>
              <w:rPr>
                <w:rFonts w:ascii="微软雅黑" w:hAnsi="微软雅黑" w:cs="宋体"/>
                <w:b/>
                <w:bCs/>
                <w:color w:val="943634" w:themeColor="accent2" w:themeShade="BF"/>
                <w:szCs w:val="16"/>
              </w:rPr>
            </w:pPr>
          </w:p>
        </w:tc>
      </w:tr>
    </w:tbl>
    <w:p w:rsidR="00BD66B8" w:rsidRDefault="00185F02">
      <w:pPr>
        <w:rPr>
          <w:rFonts w:ascii="微软雅黑" w:hAnsi="微软雅黑" w:cs="微软雅黑"/>
          <w:b/>
          <w:bCs/>
          <w:color w:val="984806" w:themeColor="accent6" w:themeShade="80"/>
          <w:sz w:val="24"/>
        </w:rPr>
      </w:pPr>
      <w:bookmarkStart w:id="10" w:name="_Toc5971"/>
      <w:bookmarkStart w:id="11" w:name="_Toc26045"/>
      <w:bookmarkStart w:id="12" w:name="_Toc5610"/>
      <w:r>
        <w:rPr>
          <w:rFonts w:ascii="微软雅黑" w:hAnsi="微软雅黑" w:cs="微软雅黑" w:hint="eastAsia"/>
          <w:b/>
          <w:bCs/>
          <w:color w:val="984806" w:themeColor="accent6" w:themeShade="80"/>
          <w:sz w:val="24"/>
        </w:rPr>
        <w:t>提醒：</w:t>
      </w:r>
    </w:p>
    <w:p w:rsidR="00BD66B8" w:rsidRDefault="00185F02">
      <w:pPr>
        <w:ind w:firstLineChars="225" w:firstLine="405"/>
        <w:rPr>
          <w:rFonts w:ascii="微软雅黑" w:hAnsi="微软雅黑" w:cs="微软雅黑"/>
          <w:b/>
          <w:bCs/>
          <w:color w:val="984806" w:themeColor="accent6" w:themeShade="80"/>
          <w:szCs w:val="18"/>
        </w:rPr>
      </w:pPr>
      <w:r>
        <w:rPr>
          <w:rFonts w:ascii="微软雅黑" w:hAnsi="微软雅黑" w:cs="微软雅黑" w:hint="eastAsia"/>
          <w:b/>
          <w:bCs/>
          <w:color w:val="984806" w:themeColor="accent6" w:themeShade="80"/>
          <w:szCs w:val="18"/>
        </w:rPr>
        <w:t>1、做竞拍</w:t>
      </w:r>
      <w:proofErr w:type="gramStart"/>
      <w:r>
        <w:rPr>
          <w:rFonts w:ascii="微软雅黑" w:hAnsi="微软雅黑" w:cs="微软雅黑" w:hint="eastAsia"/>
          <w:b/>
          <w:bCs/>
          <w:color w:val="984806" w:themeColor="accent6" w:themeShade="80"/>
          <w:szCs w:val="18"/>
        </w:rPr>
        <w:t>价预算</w:t>
      </w:r>
      <w:proofErr w:type="gramEnd"/>
      <w:r>
        <w:rPr>
          <w:rFonts w:ascii="微软雅黑" w:hAnsi="微软雅黑" w:cs="微软雅黑" w:hint="eastAsia"/>
          <w:b/>
          <w:bCs/>
          <w:color w:val="984806" w:themeColor="accent6" w:themeShade="80"/>
          <w:szCs w:val="18"/>
        </w:rPr>
        <w:t>时，请在市场价值基础上合理扣除税费和欠费等相关费用，费用需全额支付不能办理金融贷款。</w:t>
      </w:r>
    </w:p>
    <w:p w:rsidR="00BD66B8" w:rsidRDefault="00185F02">
      <w:pPr>
        <w:ind w:firstLineChars="225" w:firstLine="405"/>
        <w:rPr>
          <w:rFonts w:ascii="微软雅黑" w:hAnsi="微软雅黑" w:cs="微软雅黑"/>
          <w:b/>
          <w:bCs/>
          <w:color w:val="984806" w:themeColor="accent6" w:themeShade="80"/>
          <w:szCs w:val="18"/>
        </w:rPr>
      </w:pPr>
      <w:r>
        <w:rPr>
          <w:rFonts w:ascii="微软雅黑" w:hAnsi="微软雅黑" w:cs="微软雅黑" w:hint="eastAsia"/>
          <w:b/>
          <w:bCs/>
          <w:color w:val="984806" w:themeColor="accent6" w:themeShade="80"/>
          <w:szCs w:val="18"/>
        </w:rPr>
        <w:t>2、上述信息通过拍卖公告信息、网络公开信息及现场实地调研收集，房价市场浮动较大，存在某些小区近几个月未成交的可能性，可能存有一定偏差。</w:t>
      </w:r>
    </w:p>
    <w:p w:rsidR="00BD66B8" w:rsidRDefault="00185F02">
      <w:pPr>
        <w:pStyle w:val="1"/>
      </w:pPr>
      <w:bookmarkStart w:id="13" w:name="_Toc18610"/>
      <w:bookmarkEnd w:id="10"/>
      <w:bookmarkEnd w:id="11"/>
      <w:bookmarkEnd w:id="12"/>
      <w:r>
        <w:rPr>
          <w:rFonts w:hint="eastAsia"/>
        </w:rPr>
        <w:t>税、费信息</w:t>
      </w:r>
      <w:bookmarkEnd w:id="13"/>
    </w:p>
    <w:p w:rsidR="00BD66B8" w:rsidRDefault="00185F02">
      <w:pPr>
        <w:pStyle w:val="2"/>
      </w:pPr>
      <w:bookmarkStart w:id="14" w:name="_Toc24802"/>
      <w:r>
        <w:rPr>
          <w:rFonts w:hint="eastAsia"/>
        </w:rPr>
        <w:t>2.1</w:t>
      </w:r>
      <w:r>
        <w:rPr>
          <w:rFonts w:hint="eastAsia"/>
        </w:rPr>
        <w:t>竞买综合费用</w:t>
      </w:r>
      <w:bookmarkEnd w:id="14"/>
    </w:p>
    <w:tbl>
      <w:tblPr>
        <w:tblStyle w:val="ac"/>
        <w:tblW w:w="8522" w:type="dxa"/>
        <w:jc w:val="center"/>
        <w:tblLayout w:type="fixed"/>
        <w:tblLook w:val="04A0" w:firstRow="1" w:lastRow="0" w:firstColumn="1" w:lastColumn="0" w:noHBand="0" w:noVBand="1"/>
      </w:tblPr>
      <w:tblGrid>
        <w:gridCol w:w="2839"/>
        <w:gridCol w:w="2843"/>
        <w:gridCol w:w="2840"/>
      </w:tblGrid>
      <w:tr w:rsidR="00BD66B8">
        <w:trPr>
          <w:trHeight w:val="23"/>
          <w:jc w:val="center"/>
        </w:trPr>
        <w:tc>
          <w:tcPr>
            <w:tcW w:w="2839" w:type="dxa"/>
            <w:vAlign w:val="center"/>
          </w:tcPr>
          <w:p w:rsidR="00BD66B8" w:rsidRDefault="00185F02">
            <w:pPr>
              <w:widowControl/>
              <w:jc w:val="center"/>
              <w:textAlignment w:val="center"/>
              <w:rPr>
                <w:rFonts w:ascii="微软雅黑" w:hAnsi="微软雅黑" w:cs="宋体"/>
                <w:b/>
                <w:kern w:val="0"/>
                <w:sz w:val="21"/>
                <w:szCs w:val="21"/>
              </w:rPr>
            </w:pPr>
            <w:r>
              <w:rPr>
                <w:rFonts w:ascii="微软雅黑" w:hAnsi="微软雅黑" w:cs="宋体" w:hint="eastAsia"/>
                <w:b/>
                <w:kern w:val="0"/>
                <w:sz w:val="21"/>
                <w:szCs w:val="21"/>
              </w:rPr>
              <w:t>司法拍卖涉及款项</w:t>
            </w:r>
          </w:p>
        </w:tc>
        <w:tc>
          <w:tcPr>
            <w:tcW w:w="2843" w:type="dxa"/>
            <w:vAlign w:val="center"/>
          </w:tcPr>
          <w:p w:rsidR="00BD66B8" w:rsidRDefault="00185F02">
            <w:pPr>
              <w:widowControl/>
              <w:jc w:val="center"/>
              <w:textAlignment w:val="center"/>
              <w:rPr>
                <w:rFonts w:ascii="微软雅黑" w:hAnsi="微软雅黑" w:cs="宋体"/>
                <w:b/>
                <w:kern w:val="0"/>
                <w:sz w:val="21"/>
                <w:szCs w:val="21"/>
              </w:rPr>
            </w:pPr>
            <w:r>
              <w:rPr>
                <w:rFonts w:ascii="微软雅黑" w:hAnsi="微软雅黑" w:cs="宋体" w:hint="eastAsia"/>
                <w:b/>
                <w:kern w:val="0"/>
                <w:sz w:val="21"/>
                <w:szCs w:val="21"/>
              </w:rPr>
              <w:t>竞买人需交款项</w:t>
            </w:r>
          </w:p>
        </w:tc>
        <w:tc>
          <w:tcPr>
            <w:tcW w:w="2840" w:type="dxa"/>
            <w:vAlign w:val="center"/>
          </w:tcPr>
          <w:p w:rsidR="00BD66B8" w:rsidRDefault="00185F02">
            <w:pPr>
              <w:widowControl/>
              <w:jc w:val="center"/>
              <w:textAlignment w:val="center"/>
              <w:rPr>
                <w:rFonts w:ascii="微软雅黑" w:hAnsi="微软雅黑" w:cs="宋体"/>
                <w:b/>
                <w:kern w:val="0"/>
                <w:sz w:val="21"/>
                <w:szCs w:val="21"/>
              </w:rPr>
            </w:pPr>
            <w:r>
              <w:rPr>
                <w:rFonts w:ascii="微软雅黑" w:hAnsi="微软雅黑" w:cs="宋体" w:hint="eastAsia"/>
                <w:b/>
                <w:kern w:val="0"/>
                <w:sz w:val="21"/>
                <w:szCs w:val="21"/>
              </w:rPr>
              <w:t>缴纳时间</w:t>
            </w:r>
          </w:p>
        </w:tc>
      </w:tr>
      <w:tr w:rsidR="00BD66B8">
        <w:trPr>
          <w:trHeight w:val="23"/>
          <w:jc w:val="center"/>
        </w:trPr>
        <w:tc>
          <w:tcPr>
            <w:tcW w:w="2839" w:type="dxa"/>
            <w:vAlign w:val="center"/>
          </w:tcPr>
          <w:p w:rsidR="00BD66B8" w:rsidRDefault="00185F02">
            <w:pPr>
              <w:widowControl/>
              <w:jc w:val="center"/>
              <w:textAlignment w:val="center"/>
              <w:rPr>
                <w:rFonts w:ascii="微软雅黑" w:hAnsi="微软雅黑" w:cs="宋体"/>
                <w:bCs/>
                <w:kern w:val="0"/>
                <w:sz w:val="21"/>
                <w:szCs w:val="21"/>
              </w:rPr>
            </w:pPr>
            <w:r>
              <w:rPr>
                <w:rFonts w:ascii="微软雅黑" w:hAnsi="微软雅黑" w:cs="宋体" w:hint="eastAsia"/>
                <w:bCs/>
                <w:kern w:val="0"/>
                <w:sz w:val="21"/>
                <w:szCs w:val="21"/>
              </w:rPr>
              <w:lastRenderedPageBreak/>
              <w:t>保证金</w:t>
            </w:r>
          </w:p>
        </w:tc>
        <w:tc>
          <w:tcPr>
            <w:tcW w:w="2843" w:type="dxa"/>
            <w:vAlign w:val="center"/>
          </w:tcPr>
          <w:p w:rsidR="00BD66B8" w:rsidRDefault="00185F02">
            <w:pPr>
              <w:widowControl/>
              <w:jc w:val="center"/>
              <w:textAlignment w:val="center"/>
              <w:rPr>
                <w:rFonts w:ascii="微软雅黑" w:hAnsi="微软雅黑" w:cs="宋体"/>
                <w:bCs/>
                <w:kern w:val="0"/>
                <w:szCs w:val="18"/>
              </w:rPr>
            </w:pPr>
            <w:r>
              <w:rPr>
                <w:rFonts w:ascii="微软雅黑" w:hAnsi="微软雅黑" w:cs="宋体"/>
                <w:bCs/>
                <w:kern w:val="0"/>
                <w:szCs w:val="18"/>
              </w:rPr>
              <w:t>√</w:t>
            </w:r>
          </w:p>
        </w:tc>
        <w:tc>
          <w:tcPr>
            <w:tcW w:w="2840" w:type="dxa"/>
            <w:vAlign w:val="center"/>
          </w:tcPr>
          <w:p w:rsidR="00BD66B8" w:rsidRDefault="00BD66B8">
            <w:pPr>
              <w:widowControl/>
              <w:jc w:val="center"/>
              <w:textAlignment w:val="center"/>
              <w:rPr>
                <w:rFonts w:ascii="微软雅黑" w:hAnsi="微软雅黑" w:cs="宋体"/>
                <w:bCs/>
                <w:kern w:val="0"/>
                <w:szCs w:val="18"/>
              </w:rPr>
            </w:pPr>
          </w:p>
        </w:tc>
      </w:tr>
      <w:tr w:rsidR="00BD66B8">
        <w:trPr>
          <w:trHeight w:val="23"/>
          <w:jc w:val="center"/>
        </w:trPr>
        <w:tc>
          <w:tcPr>
            <w:tcW w:w="2839" w:type="dxa"/>
            <w:vAlign w:val="center"/>
          </w:tcPr>
          <w:p w:rsidR="00BD66B8" w:rsidRDefault="00185F02">
            <w:pPr>
              <w:widowControl/>
              <w:jc w:val="center"/>
              <w:textAlignment w:val="center"/>
              <w:rPr>
                <w:rFonts w:ascii="微软雅黑" w:hAnsi="微软雅黑" w:cs="宋体"/>
                <w:bCs/>
                <w:kern w:val="0"/>
                <w:sz w:val="21"/>
                <w:szCs w:val="21"/>
              </w:rPr>
            </w:pPr>
            <w:r>
              <w:rPr>
                <w:rFonts w:ascii="微软雅黑" w:hAnsi="微软雅黑" w:cs="宋体" w:hint="eastAsia"/>
                <w:bCs/>
                <w:kern w:val="0"/>
                <w:sz w:val="21"/>
                <w:szCs w:val="21"/>
              </w:rPr>
              <w:t>尾款</w:t>
            </w:r>
          </w:p>
        </w:tc>
        <w:tc>
          <w:tcPr>
            <w:tcW w:w="2843" w:type="dxa"/>
            <w:vAlign w:val="center"/>
          </w:tcPr>
          <w:p w:rsidR="00BD66B8" w:rsidRDefault="00185F02">
            <w:pPr>
              <w:widowControl/>
              <w:jc w:val="center"/>
              <w:textAlignment w:val="center"/>
              <w:rPr>
                <w:rFonts w:ascii="微软雅黑" w:hAnsi="微软雅黑" w:cs="宋体"/>
                <w:bCs/>
                <w:kern w:val="0"/>
                <w:szCs w:val="18"/>
              </w:rPr>
            </w:pPr>
            <w:r>
              <w:rPr>
                <w:rFonts w:ascii="微软雅黑" w:hAnsi="微软雅黑" w:cs="宋体" w:hint="eastAsia"/>
                <w:bCs/>
                <w:kern w:val="0"/>
                <w:szCs w:val="18"/>
              </w:rPr>
              <w:t>√</w:t>
            </w:r>
          </w:p>
        </w:tc>
        <w:tc>
          <w:tcPr>
            <w:tcW w:w="2840" w:type="dxa"/>
            <w:vAlign w:val="center"/>
          </w:tcPr>
          <w:p w:rsidR="00BD66B8" w:rsidRDefault="00BD66B8">
            <w:pPr>
              <w:widowControl/>
              <w:jc w:val="center"/>
              <w:textAlignment w:val="center"/>
              <w:rPr>
                <w:rFonts w:ascii="微软雅黑" w:hAnsi="微软雅黑" w:cs="宋体"/>
                <w:bCs/>
                <w:kern w:val="0"/>
                <w:szCs w:val="18"/>
              </w:rPr>
            </w:pPr>
          </w:p>
        </w:tc>
      </w:tr>
      <w:tr w:rsidR="00BD66B8">
        <w:trPr>
          <w:trHeight w:val="23"/>
          <w:jc w:val="center"/>
        </w:trPr>
        <w:tc>
          <w:tcPr>
            <w:tcW w:w="2839" w:type="dxa"/>
            <w:vAlign w:val="center"/>
          </w:tcPr>
          <w:p w:rsidR="00BD66B8" w:rsidRDefault="00185F02">
            <w:pPr>
              <w:widowControl/>
              <w:jc w:val="center"/>
              <w:textAlignment w:val="center"/>
              <w:rPr>
                <w:rFonts w:ascii="微软雅黑" w:hAnsi="微软雅黑" w:cs="宋体"/>
                <w:bCs/>
                <w:kern w:val="0"/>
                <w:sz w:val="21"/>
                <w:szCs w:val="21"/>
              </w:rPr>
            </w:pPr>
            <w:r>
              <w:rPr>
                <w:rFonts w:ascii="微软雅黑" w:hAnsi="微软雅黑" w:cs="宋体" w:hint="eastAsia"/>
                <w:bCs/>
                <w:kern w:val="0"/>
                <w:sz w:val="21"/>
                <w:szCs w:val="21"/>
              </w:rPr>
              <w:t>卖方税费</w:t>
            </w:r>
          </w:p>
        </w:tc>
        <w:tc>
          <w:tcPr>
            <w:tcW w:w="2843" w:type="dxa"/>
            <w:vAlign w:val="center"/>
          </w:tcPr>
          <w:p w:rsidR="00BD66B8" w:rsidRDefault="00185F02">
            <w:pPr>
              <w:widowControl/>
              <w:jc w:val="center"/>
              <w:textAlignment w:val="center"/>
              <w:rPr>
                <w:rFonts w:ascii="微软雅黑" w:hAnsi="微软雅黑" w:cs="宋体"/>
                <w:bCs/>
                <w:kern w:val="0"/>
                <w:szCs w:val="18"/>
              </w:rPr>
            </w:pPr>
            <w:r>
              <w:rPr>
                <w:rFonts w:ascii="微软雅黑" w:hAnsi="微软雅黑" w:cs="宋体" w:hint="eastAsia"/>
                <w:bCs/>
                <w:kern w:val="0"/>
                <w:szCs w:val="18"/>
              </w:rPr>
              <w:t>√</w:t>
            </w:r>
          </w:p>
        </w:tc>
        <w:tc>
          <w:tcPr>
            <w:tcW w:w="2840" w:type="dxa"/>
            <w:vAlign w:val="center"/>
          </w:tcPr>
          <w:p w:rsidR="00BD66B8" w:rsidRDefault="00185F02">
            <w:pPr>
              <w:widowControl/>
              <w:jc w:val="center"/>
              <w:textAlignment w:val="center"/>
              <w:rPr>
                <w:rFonts w:ascii="微软雅黑" w:hAnsi="微软雅黑" w:cs="宋体"/>
                <w:bCs/>
                <w:kern w:val="0"/>
                <w:szCs w:val="18"/>
              </w:rPr>
            </w:pPr>
            <w:r>
              <w:rPr>
                <w:rFonts w:ascii="微软雅黑" w:hAnsi="微软雅黑" w:cs="宋体" w:hint="eastAsia"/>
                <w:bCs/>
                <w:kern w:val="0"/>
                <w:szCs w:val="18"/>
              </w:rPr>
              <w:t>办理过户交割时</w:t>
            </w:r>
          </w:p>
        </w:tc>
      </w:tr>
      <w:tr w:rsidR="00BD66B8">
        <w:trPr>
          <w:trHeight w:val="23"/>
          <w:jc w:val="center"/>
        </w:trPr>
        <w:tc>
          <w:tcPr>
            <w:tcW w:w="2839" w:type="dxa"/>
            <w:vAlign w:val="center"/>
          </w:tcPr>
          <w:p w:rsidR="00BD66B8" w:rsidRDefault="00185F02">
            <w:pPr>
              <w:widowControl/>
              <w:jc w:val="center"/>
              <w:textAlignment w:val="center"/>
              <w:rPr>
                <w:rFonts w:ascii="微软雅黑" w:hAnsi="微软雅黑" w:cs="宋体"/>
                <w:bCs/>
                <w:kern w:val="0"/>
                <w:sz w:val="21"/>
                <w:szCs w:val="21"/>
              </w:rPr>
            </w:pPr>
            <w:r>
              <w:rPr>
                <w:rFonts w:ascii="微软雅黑" w:hAnsi="微软雅黑" w:cs="宋体" w:hint="eastAsia"/>
                <w:bCs/>
                <w:kern w:val="0"/>
                <w:sz w:val="21"/>
                <w:szCs w:val="21"/>
              </w:rPr>
              <w:t>买方税费</w:t>
            </w:r>
          </w:p>
        </w:tc>
        <w:tc>
          <w:tcPr>
            <w:tcW w:w="2843" w:type="dxa"/>
            <w:vAlign w:val="center"/>
          </w:tcPr>
          <w:p w:rsidR="00BD66B8" w:rsidRDefault="00185F02">
            <w:pPr>
              <w:widowControl/>
              <w:jc w:val="center"/>
              <w:textAlignment w:val="center"/>
              <w:rPr>
                <w:rFonts w:ascii="微软雅黑" w:hAnsi="微软雅黑" w:cs="宋体"/>
                <w:bCs/>
                <w:kern w:val="0"/>
                <w:szCs w:val="18"/>
              </w:rPr>
            </w:pPr>
            <w:r>
              <w:rPr>
                <w:rFonts w:ascii="微软雅黑" w:hAnsi="微软雅黑" w:cs="宋体" w:hint="eastAsia"/>
                <w:bCs/>
                <w:kern w:val="0"/>
                <w:szCs w:val="18"/>
              </w:rPr>
              <w:t>√</w:t>
            </w:r>
          </w:p>
        </w:tc>
        <w:tc>
          <w:tcPr>
            <w:tcW w:w="2840" w:type="dxa"/>
            <w:vAlign w:val="center"/>
          </w:tcPr>
          <w:p w:rsidR="00BD66B8" w:rsidRDefault="00185F02">
            <w:pPr>
              <w:widowControl/>
              <w:jc w:val="center"/>
              <w:textAlignment w:val="center"/>
              <w:rPr>
                <w:rFonts w:ascii="微软雅黑" w:hAnsi="微软雅黑" w:cs="宋体"/>
                <w:bCs/>
                <w:kern w:val="0"/>
                <w:szCs w:val="18"/>
              </w:rPr>
            </w:pPr>
            <w:r>
              <w:rPr>
                <w:rFonts w:ascii="微软雅黑" w:hAnsi="微软雅黑" w:cs="宋体" w:hint="eastAsia"/>
                <w:bCs/>
                <w:kern w:val="0"/>
                <w:szCs w:val="18"/>
              </w:rPr>
              <w:t>办理过户交割时</w:t>
            </w:r>
          </w:p>
        </w:tc>
      </w:tr>
      <w:tr w:rsidR="00BD66B8">
        <w:trPr>
          <w:trHeight w:val="23"/>
          <w:jc w:val="center"/>
        </w:trPr>
        <w:tc>
          <w:tcPr>
            <w:tcW w:w="2839" w:type="dxa"/>
            <w:vAlign w:val="center"/>
          </w:tcPr>
          <w:p w:rsidR="00BD66B8" w:rsidRDefault="00185F02">
            <w:pPr>
              <w:widowControl/>
              <w:jc w:val="center"/>
              <w:textAlignment w:val="center"/>
              <w:rPr>
                <w:rFonts w:ascii="微软雅黑" w:hAnsi="微软雅黑" w:cs="宋体"/>
                <w:bCs/>
                <w:kern w:val="0"/>
                <w:sz w:val="21"/>
                <w:szCs w:val="21"/>
              </w:rPr>
            </w:pPr>
            <w:r>
              <w:rPr>
                <w:rFonts w:ascii="微软雅黑" w:hAnsi="微软雅黑" w:cs="宋体" w:hint="eastAsia"/>
                <w:bCs/>
                <w:kern w:val="0"/>
                <w:sz w:val="21"/>
                <w:szCs w:val="21"/>
              </w:rPr>
              <w:t>土地出让金</w:t>
            </w:r>
          </w:p>
        </w:tc>
        <w:tc>
          <w:tcPr>
            <w:tcW w:w="2843" w:type="dxa"/>
            <w:vAlign w:val="center"/>
          </w:tcPr>
          <w:p w:rsidR="00BD66B8" w:rsidRDefault="00185F02">
            <w:pPr>
              <w:widowControl/>
              <w:jc w:val="center"/>
              <w:textAlignment w:val="center"/>
              <w:rPr>
                <w:rFonts w:ascii="微软雅黑" w:hAnsi="微软雅黑" w:cs="宋体"/>
                <w:bCs/>
                <w:kern w:val="0"/>
                <w:szCs w:val="18"/>
              </w:rPr>
            </w:pPr>
            <w:r>
              <w:rPr>
                <w:rFonts w:ascii="微软雅黑" w:hAnsi="微软雅黑" w:cs="宋体" w:hint="eastAsia"/>
                <w:bCs/>
                <w:kern w:val="0"/>
                <w:szCs w:val="18"/>
              </w:rPr>
              <w:t>√</w:t>
            </w:r>
          </w:p>
        </w:tc>
        <w:tc>
          <w:tcPr>
            <w:tcW w:w="2840" w:type="dxa"/>
            <w:vAlign w:val="center"/>
          </w:tcPr>
          <w:p w:rsidR="00BD66B8" w:rsidRDefault="00BD66B8">
            <w:pPr>
              <w:widowControl/>
              <w:jc w:val="center"/>
              <w:textAlignment w:val="center"/>
              <w:rPr>
                <w:rFonts w:ascii="微软雅黑" w:hAnsi="微软雅黑" w:cs="宋体"/>
                <w:bCs/>
                <w:kern w:val="0"/>
                <w:szCs w:val="18"/>
              </w:rPr>
            </w:pPr>
          </w:p>
        </w:tc>
      </w:tr>
      <w:tr w:rsidR="00BD66B8">
        <w:trPr>
          <w:trHeight w:val="23"/>
          <w:jc w:val="center"/>
        </w:trPr>
        <w:tc>
          <w:tcPr>
            <w:tcW w:w="2839" w:type="dxa"/>
            <w:vAlign w:val="center"/>
          </w:tcPr>
          <w:p w:rsidR="00BD66B8" w:rsidRDefault="00185F02">
            <w:pPr>
              <w:widowControl/>
              <w:jc w:val="center"/>
              <w:textAlignment w:val="center"/>
              <w:rPr>
                <w:rFonts w:ascii="微软雅黑" w:hAnsi="微软雅黑" w:cs="宋体"/>
                <w:bCs/>
                <w:kern w:val="0"/>
                <w:sz w:val="21"/>
                <w:szCs w:val="21"/>
              </w:rPr>
            </w:pPr>
            <w:r>
              <w:rPr>
                <w:rFonts w:ascii="微软雅黑" w:hAnsi="微软雅黑" w:cs="宋体" w:hint="eastAsia"/>
                <w:bCs/>
                <w:kern w:val="0"/>
                <w:sz w:val="21"/>
                <w:szCs w:val="21"/>
              </w:rPr>
              <w:t>水、电、煤气、物业欠费</w:t>
            </w:r>
          </w:p>
        </w:tc>
        <w:tc>
          <w:tcPr>
            <w:tcW w:w="2843" w:type="dxa"/>
            <w:vAlign w:val="center"/>
          </w:tcPr>
          <w:p w:rsidR="00BD66B8" w:rsidRDefault="00185F02">
            <w:pPr>
              <w:widowControl/>
              <w:jc w:val="center"/>
              <w:textAlignment w:val="center"/>
              <w:rPr>
                <w:rFonts w:ascii="微软雅黑" w:hAnsi="微软雅黑" w:cs="宋体"/>
                <w:bCs/>
                <w:kern w:val="0"/>
                <w:szCs w:val="18"/>
              </w:rPr>
            </w:pPr>
            <w:r>
              <w:rPr>
                <w:rFonts w:ascii="微软雅黑" w:hAnsi="微软雅黑" w:cs="宋体" w:hint="eastAsia"/>
                <w:bCs/>
                <w:kern w:val="0"/>
                <w:szCs w:val="18"/>
              </w:rPr>
              <w:t>√</w:t>
            </w:r>
          </w:p>
        </w:tc>
        <w:tc>
          <w:tcPr>
            <w:tcW w:w="2840" w:type="dxa"/>
            <w:vAlign w:val="center"/>
          </w:tcPr>
          <w:p w:rsidR="00BD66B8" w:rsidRDefault="00185F02">
            <w:pPr>
              <w:widowControl/>
              <w:jc w:val="center"/>
              <w:textAlignment w:val="center"/>
              <w:rPr>
                <w:rFonts w:ascii="微软雅黑" w:hAnsi="微软雅黑" w:cs="宋体"/>
                <w:bCs/>
                <w:kern w:val="0"/>
                <w:szCs w:val="18"/>
              </w:rPr>
            </w:pPr>
            <w:r>
              <w:rPr>
                <w:rFonts w:ascii="微软雅黑" w:hAnsi="微软雅黑" w:cs="宋体" w:hint="eastAsia"/>
                <w:bCs/>
                <w:kern w:val="0"/>
                <w:szCs w:val="18"/>
              </w:rPr>
              <w:t>办理过户交割时</w:t>
            </w:r>
          </w:p>
        </w:tc>
      </w:tr>
    </w:tbl>
    <w:p w:rsidR="00BD66B8" w:rsidRDefault="00185F02">
      <w:pPr>
        <w:pStyle w:val="2"/>
      </w:pPr>
      <w:bookmarkStart w:id="15" w:name="_Toc4105"/>
      <w:bookmarkStart w:id="16" w:name="_Toc14351"/>
      <w:r>
        <w:rPr>
          <w:rFonts w:hint="eastAsia"/>
        </w:rPr>
        <w:t>2.2</w:t>
      </w:r>
      <w:r>
        <w:rPr>
          <w:rFonts w:hint="eastAsia"/>
        </w:rPr>
        <w:t>税费测算</w:t>
      </w:r>
      <w:bookmarkEnd w:id="15"/>
      <w:bookmarkEnd w:id="16"/>
    </w:p>
    <w:p w:rsidR="00BD66B8" w:rsidRDefault="00185F02">
      <w:pPr>
        <w:ind w:firstLine="480"/>
        <w:rPr>
          <w:rFonts w:ascii="微软雅黑" w:hAnsi="微软雅黑"/>
          <w:color w:val="FF0000"/>
          <w:sz w:val="24"/>
        </w:rPr>
      </w:pPr>
      <w:r>
        <w:rPr>
          <w:rFonts w:ascii="微软雅黑" w:hAnsi="微软雅黑" w:hint="eastAsia"/>
          <w:color w:val="FF0000"/>
          <w:sz w:val="24"/>
        </w:rPr>
        <w:t>假设以评估价为基准X，权证登记日期为购买日期计算年数Y（注：二手房以权证登记日期起计算时可能会少算年数；原房屋所有人购买的是</w:t>
      </w:r>
      <w:proofErr w:type="gramStart"/>
      <w:r>
        <w:rPr>
          <w:rFonts w:ascii="微软雅黑" w:hAnsi="微软雅黑" w:hint="eastAsia"/>
          <w:color w:val="FF0000"/>
          <w:sz w:val="24"/>
        </w:rPr>
        <w:t>一手房</w:t>
      </w:r>
      <w:proofErr w:type="gramEnd"/>
      <w:r>
        <w:rPr>
          <w:rFonts w:ascii="微软雅黑" w:hAnsi="微软雅黑" w:hint="eastAsia"/>
          <w:color w:val="FF0000"/>
          <w:sz w:val="24"/>
        </w:rPr>
        <w:t>的，以房屋预告登记日期起计算算满几年），假设本房以该年度本区域平均房价为购入价Z（存在交易时间提前几年的情况，购入价格差异较大）：</w:t>
      </w:r>
    </w:p>
    <w:p w:rsidR="00BD66B8" w:rsidRDefault="00185F02">
      <w:pPr>
        <w:ind w:firstLine="480"/>
        <w:rPr>
          <w:rFonts w:ascii="微软雅黑" w:hAnsi="微软雅黑"/>
          <w:color w:val="FF0000"/>
          <w:sz w:val="24"/>
        </w:rPr>
      </w:pPr>
      <w:r>
        <w:rPr>
          <w:rFonts w:ascii="微软雅黑" w:hAnsi="微软雅黑" w:hint="eastAsia"/>
          <w:color w:val="FF0000"/>
          <w:sz w:val="24"/>
        </w:rPr>
        <w:t>本房屋最低税费：</w:t>
      </w:r>
    </w:p>
    <w:p w:rsidR="00BD66B8" w:rsidRDefault="00185F02">
      <w:pPr>
        <w:ind w:firstLine="480"/>
        <w:rPr>
          <w:rFonts w:ascii="微软雅黑" w:hAnsi="微软雅黑"/>
          <w:color w:val="FF0000"/>
          <w:sz w:val="24"/>
        </w:rPr>
      </w:pPr>
      <w:r>
        <w:rPr>
          <w:rFonts w:ascii="微软雅黑" w:hAnsi="微软雅黑" w:hint="eastAsia"/>
          <w:color w:val="FF0000"/>
          <w:sz w:val="24"/>
        </w:rPr>
        <w:t>本房屋最高税费：</w:t>
      </w:r>
    </w:p>
    <w:p w:rsidR="00BD66B8" w:rsidRDefault="00185F02">
      <w:pPr>
        <w:ind w:firstLine="480"/>
        <w:rPr>
          <w:rFonts w:ascii="微软雅黑" w:hAnsi="微软雅黑"/>
          <w:b/>
          <w:bCs/>
          <w:color w:val="A36C3F"/>
          <w:kern w:val="0"/>
          <w:sz w:val="24"/>
        </w:rPr>
      </w:pPr>
      <w:r>
        <w:rPr>
          <w:rFonts w:ascii="微软雅黑" w:hAnsi="微软雅黑" w:hint="eastAsia"/>
          <w:color w:val="FF0000"/>
          <w:sz w:val="24"/>
        </w:rPr>
        <w:t>以上税收测算假设测算，因涉及个人隐私调查困难，数据仅供参考！</w:t>
      </w:r>
    </w:p>
    <w:p w:rsidR="00BD66B8" w:rsidRDefault="00185F02">
      <w:pPr>
        <w:pStyle w:val="2"/>
      </w:pPr>
      <w:bookmarkStart w:id="17" w:name="_Toc19263"/>
      <w:r>
        <w:rPr>
          <w:rFonts w:hint="eastAsia"/>
        </w:rPr>
        <w:t>2.3</w:t>
      </w:r>
      <w:r>
        <w:rPr>
          <w:rFonts w:hint="eastAsia"/>
        </w:rPr>
        <w:t>欠费情况调查</w:t>
      </w:r>
      <w:bookmarkEnd w:id="9"/>
      <w:bookmarkEnd w:id="17"/>
    </w:p>
    <w:p w:rsidR="00BD66B8" w:rsidRDefault="00185F02">
      <w:pPr>
        <w:ind w:firstLineChars="200" w:firstLine="480"/>
        <w:rPr>
          <w:rFonts w:ascii="微软雅黑" w:hAnsi="微软雅黑"/>
          <w:sz w:val="24"/>
        </w:rPr>
      </w:pPr>
      <w:r>
        <w:rPr>
          <w:rFonts w:ascii="微软雅黑" w:hAnsi="微软雅黑" w:hint="eastAsia"/>
          <w:sz w:val="24"/>
        </w:rPr>
        <w:t>该房屋截止x年x月x日拖欠水费xx元、电费xx元、煤气费xx元，拖欠</w:t>
      </w:r>
      <w:proofErr w:type="gramStart"/>
      <w:r>
        <w:rPr>
          <w:rFonts w:ascii="微软雅黑" w:hAnsi="微软雅黑" w:hint="eastAsia"/>
          <w:sz w:val="24"/>
        </w:rPr>
        <w:t>物业费</w:t>
      </w:r>
      <w:proofErr w:type="gramEnd"/>
      <w:r>
        <w:rPr>
          <w:rFonts w:ascii="微软雅黑" w:hAnsi="微软雅黑" w:hint="eastAsia"/>
          <w:sz w:val="24"/>
        </w:rPr>
        <w:t>xx元。具体拖欠金额可以</w:t>
      </w:r>
      <w:proofErr w:type="gramStart"/>
      <w:r>
        <w:rPr>
          <w:rFonts w:ascii="微软雅黑" w:hAnsi="微软雅黑" w:hint="eastAsia"/>
          <w:sz w:val="24"/>
        </w:rPr>
        <w:t>向如下</w:t>
      </w:r>
      <w:proofErr w:type="gramEnd"/>
      <w:r>
        <w:rPr>
          <w:rFonts w:ascii="微软雅黑" w:hAnsi="微软雅黑" w:hint="eastAsia"/>
          <w:sz w:val="24"/>
        </w:rPr>
        <w:t>相关部门和单位电话咨询进一步确认。根据法院拍卖公告，上述费用均需由买受人承担。</w:t>
      </w:r>
    </w:p>
    <w:p w:rsidR="00BD66B8" w:rsidRDefault="00185F02">
      <w:pPr>
        <w:ind w:firstLineChars="250" w:firstLine="600"/>
        <w:rPr>
          <w:rFonts w:ascii="微软雅黑" w:hAnsi="微软雅黑"/>
          <w:sz w:val="24"/>
        </w:rPr>
      </w:pPr>
      <w:r>
        <w:rPr>
          <w:rFonts w:ascii="微软雅黑" w:hAnsi="微软雅黑" w:hint="eastAsia"/>
          <w:sz w:val="24"/>
        </w:rPr>
        <w:t>自来水公司电话：0571-87826789</w:t>
      </w:r>
    </w:p>
    <w:p w:rsidR="00BD66B8" w:rsidRDefault="00185F02">
      <w:pPr>
        <w:rPr>
          <w:rFonts w:ascii="微软雅黑" w:hAnsi="微软雅黑"/>
          <w:sz w:val="24"/>
        </w:rPr>
      </w:pPr>
      <w:r>
        <w:rPr>
          <w:rFonts w:ascii="微软雅黑" w:hAnsi="微软雅黑" w:hint="eastAsia"/>
          <w:sz w:val="24"/>
        </w:rPr>
        <w:lastRenderedPageBreak/>
        <w:t xml:space="preserve">     供电公司电话：95598  </w:t>
      </w:r>
    </w:p>
    <w:p w:rsidR="00BD66B8" w:rsidRDefault="00185F02">
      <w:pPr>
        <w:ind w:firstLineChars="250" w:firstLine="600"/>
        <w:rPr>
          <w:rFonts w:ascii="微软雅黑" w:hAnsi="微软雅黑"/>
          <w:sz w:val="24"/>
        </w:rPr>
      </w:pPr>
      <w:r>
        <w:rPr>
          <w:rFonts w:ascii="微软雅黑" w:hAnsi="微软雅黑" w:hint="eastAsia"/>
          <w:sz w:val="24"/>
        </w:rPr>
        <w:t>电费查询网址：http://www.95598.cn/person/index.shtml</w:t>
      </w:r>
    </w:p>
    <w:p w:rsidR="00BD66B8" w:rsidRDefault="00185F02">
      <w:pPr>
        <w:rPr>
          <w:rFonts w:ascii="微软雅黑" w:hAnsi="微软雅黑"/>
          <w:sz w:val="24"/>
        </w:rPr>
      </w:pPr>
      <w:r>
        <w:rPr>
          <w:rFonts w:ascii="微软雅黑" w:hAnsi="微软雅黑" w:hint="eastAsia"/>
          <w:sz w:val="24"/>
        </w:rPr>
        <w:t xml:space="preserve">     天然气公司电话：0571-88828788</w:t>
      </w:r>
    </w:p>
    <w:p w:rsidR="00BD66B8" w:rsidRDefault="00185F02">
      <w:pPr>
        <w:rPr>
          <w:rFonts w:ascii="微软雅黑" w:hAnsi="微软雅黑"/>
          <w:sz w:val="24"/>
        </w:rPr>
      </w:pPr>
      <w:r>
        <w:rPr>
          <w:rFonts w:ascii="微软雅黑" w:hAnsi="微软雅黑" w:hint="eastAsia"/>
          <w:sz w:val="24"/>
        </w:rPr>
        <w:t xml:space="preserve">     物业公司电话：暂无</w:t>
      </w:r>
    </w:p>
    <w:p w:rsidR="00BD66B8" w:rsidRDefault="00185F02">
      <w:pPr>
        <w:pStyle w:val="1"/>
      </w:pPr>
      <w:bookmarkStart w:id="18" w:name="_Toc6225"/>
      <w:bookmarkStart w:id="19" w:name="_Toc8118"/>
      <w:bookmarkEnd w:id="0"/>
      <w:r>
        <w:rPr>
          <w:rFonts w:hint="eastAsia"/>
        </w:rPr>
        <w:t>风险提示和解决方案</w:t>
      </w:r>
      <w:bookmarkEnd w:id="18"/>
      <w:bookmarkEnd w:id="19"/>
    </w:p>
    <w:tbl>
      <w:tblPr>
        <w:tblW w:w="833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33"/>
      </w:tblGrid>
      <w:tr w:rsidR="00BD66B8">
        <w:trPr>
          <w:trHeight w:val="719"/>
        </w:trPr>
        <w:tc>
          <w:tcPr>
            <w:tcW w:w="8333" w:type="dxa"/>
            <w:tcBorders>
              <w:top w:val="single" w:sz="4" w:space="0" w:color="auto"/>
              <w:left w:val="single" w:sz="4" w:space="0" w:color="auto"/>
              <w:bottom w:val="single" w:sz="4" w:space="0" w:color="auto"/>
              <w:right w:val="single" w:sz="4" w:space="0" w:color="auto"/>
            </w:tcBorders>
          </w:tcPr>
          <w:p w:rsidR="00BD66B8" w:rsidRDefault="00185F02">
            <w:pPr>
              <w:numPr>
                <w:ilvl w:val="0"/>
                <w:numId w:val="3"/>
              </w:numPr>
              <w:rPr>
                <w:rFonts w:ascii="微软雅黑" w:hAnsi="微软雅黑"/>
                <w:b/>
                <w:bCs/>
                <w:sz w:val="24"/>
              </w:rPr>
            </w:pPr>
            <w:r>
              <w:rPr>
                <w:rFonts w:ascii="微软雅黑" w:hAnsi="微软雅黑" w:hint="eastAsia"/>
                <w:b/>
                <w:bCs/>
                <w:sz w:val="24"/>
              </w:rPr>
              <w:t>占有问题：</w:t>
            </w:r>
          </w:p>
          <w:p w:rsidR="00BD66B8" w:rsidRDefault="00185F02">
            <w:pPr>
              <w:pStyle w:val="ad"/>
              <w:ind w:left="539" w:firstLineChars="0" w:firstLine="0"/>
              <w:rPr>
                <w:rFonts w:ascii="微软雅黑" w:hAnsi="微软雅黑"/>
                <w:b/>
                <w:bCs/>
                <w:sz w:val="24"/>
              </w:rPr>
            </w:pPr>
            <w:r>
              <w:rPr>
                <w:rFonts w:ascii="微软雅黑" w:hAnsi="微软雅黑" w:hint="eastAsia"/>
                <w:b/>
                <w:bCs/>
                <w:sz w:val="24"/>
              </w:rPr>
              <w:t>1、该房屋查封前已对外出租，买受人过户后不能立刻入住。</w:t>
            </w:r>
          </w:p>
          <w:p w:rsidR="00BD66B8" w:rsidRDefault="00185F02">
            <w:pPr>
              <w:ind w:firstLineChars="200" w:firstLine="480"/>
              <w:rPr>
                <w:rFonts w:ascii="微软雅黑" w:hAnsi="微软雅黑"/>
                <w:sz w:val="24"/>
              </w:rPr>
            </w:pPr>
            <w:r>
              <w:rPr>
                <w:rFonts w:ascii="微软雅黑" w:hAnsi="微软雅黑" w:hint="eastAsia"/>
                <w:sz w:val="24"/>
              </w:rPr>
              <w:t>解决方案：买受人可与租户协商提前解除房屋租赁合同，或代替被执行人继续享受租金。</w:t>
            </w:r>
          </w:p>
          <w:p w:rsidR="00BD66B8" w:rsidRDefault="00185F02">
            <w:pPr>
              <w:ind w:firstLineChars="250" w:firstLine="600"/>
              <w:rPr>
                <w:rFonts w:ascii="微软雅黑" w:hAnsi="微软雅黑"/>
                <w:b/>
                <w:bCs/>
                <w:sz w:val="24"/>
              </w:rPr>
            </w:pPr>
            <w:r>
              <w:rPr>
                <w:rFonts w:ascii="微软雅黑" w:hAnsi="微软雅黑" w:hint="eastAsia"/>
                <w:b/>
                <w:bCs/>
                <w:sz w:val="24"/>
              </w:rPr>
              <w:t>2、该房屋目前尚未腾空，竞买人拍得后不能立即使用。</w:t>
            </w:r>
          </w:p>
          <w:p w:rsidR="00BD66B8" w:rsidRDefault="00185F02">
            <w:pPr>
              <w:ind w:firstLineChars="200" w:firstLine="480"/>
              <w:rPr>
                <w:rFonts w:ascii="微软雅黑" w:hAnsi="微软雅黑"/>
                <w:sz w:val="24"/>
              </w:rPr>
            </w:pPr>
            <w:r>
              <w:rPr>
                <w:rFonts w:ascii="微软雅黑" w:hAnsi="微软雅黑" w:hint="eastAsia"/>
                <w:sz w:val="24"/>
              </w:rPr>
              <w:t>解决方案：买受人可与现占有人协商解决，协商不成的可向房屋所在地法院起诉解决。</w:t>
            </w:r>
          </w:p>
          <w:p w:rsidR="00BD66B8" w:rsidRDefault="00185F02">
            <w:pPr>
              <w:numPr>
                <w:ilvl w:val="0"/>
                <w:numId w:val="3"/>
              </w:numPr>
              <w:rPr>
                <w:rFonts w:ascii="微软雅黑" w:hAnsi="微软雅黑"/>
                <w:b/>
                <w:bCs/>
                <w:sz w:val="24"/>
              </w:rPr>
            </w:pPr>
            <w:r>
              <w:rPr>
                <w:rFonts w:ascii="微软雅黑" w:hAnsi="微软雅黑" w:hint="eastAsia"/>
                <w:b/>
                <w:bCs/>
                <w:sz w:val="24"/>
              </w:rPr>
              <w:t>该房屋已抵押，竞买人拍得后不能立即办理过户。</w:t>
            </w:r>
          </w:p>
          <w:p w:rsidR="00BD66B8" w:rsidRDefault="00185F02">
            <w:pPr>
              <w:ind w:firstLineChars="200" w:firstLine="480"/>
              <w:rPr>
                <w:rFonts w:ascii="微软雅黑" w:hAnsi="微软雅黑"/>
                <w:sz w:val="24"/>
              </w:rPr>
            </w:pPr>
            <w:r>
              <w:rPr>
                <w:rFonts w:ascii="微软雅黑" w:hAnsi="微软雅黑" w:hint="eastAsia"/>
                <w:sz w:val="24"/>
              </w:rPr>
              <w:t>解决方案：竞买人拍得该房屋后，应先办理抵押撤销登记，再办理过户，也可委托律师代为办理。</w:t>
            </w:r>
          </w:p>
          <w:p w:rsidR="00BD66B8" w:rsidRDefault="00185F02">
            <w:pPr>
              <w:numPr>
                <w:ilvl w:val="0"/>
                <w:numId w:val="3"/>
              </w:numPr>
              <w:rPr>
                <w:rFonts w:ascii="微软雅黑" w:hAnsi="微软雅黑"/>
                <w:b/>
                <w:bCs/>
                <w:sz w:val="24"/>
              </w:rPr>
            </w:pPr>
            <w:r>
              <w:rPr>
                <w:rFonts w:ascii="微软雅黑" w:hAnsi="微软雅黑" w:hint="eastAsia"/>
                <w:b/>
                <w:bCs/>
                <w:sz w:val="24"/>
              </w:rPr>
              <w:t>税费问题</w:t>
            </w:r>
          </w:p>
          <w:p w:rsidR="00BD66B8" w:rsidRDefault="00185F02">
            <w:pPr>
              <w:pStyle w:val="ad"/>
              <w:numPr>
                <w:ilvl w:val="0"/>
                <w:numId w:val="4"/>
              </w:numPr>
              <w:ind w:firstLineChars="0"/>
              <w:rPr>
                <w:rFonts w:ascii="微软雅黑" w:hAnsi="微软雅黑"/>
                <w:b/>
                <w:bCs/>
                <w:sz w:val="24"/>
              </w:rPr>
            </w:pPr>
            <w:r>
              <w:rPr>
                <w:rFonts w:ascii="微软雅黑" w:hAnsi="微软雅黑" w:hint="eastAsia"/>
                <w:b/>
                <w:bCs/>
                <w:sz w:val="24"/>
              </w:rPr>
              <w:t>该房屋税费由买受人和出卖人双方承担，买受人须先行垫付出卖人应缴税款。</w:t>
            </w:r>
          </w:p>
          <w:p w:rsidR="00BD66B8" w:rsidRDefault="00185F02">
            <w:pPr>
              <w:ind w:firstLineChars="200" w:firstLine="480"/>
              <w:rPr>
                <w:rFonts w:ascii="微软雅黑" w:hAnsi="微软雅黑"/>
                <w:sz w:val="24"/>
              </w:rPr>
            </w:pPr>
            <w:r>
              <w:rPr>
                <w:rFonts w:ascii="微软雅黑" w:hAnsi="微软雅黑" w:hint="eastAsia"/>
                <w:sz w:val="24"/>
              </w:rPr>
              <w:t>解决方案：买受人先行垫付出卖人应缴税款后，应当自知道房屋解封之日</w:t>
            </w:r>
            <w:r>
              <w:rPr>
                <w:rFonts w:ascii="微软雅黑" w:hAnsi="微软雅黑" w:hint="eastAsia"/>
                <w:sz w:val="24"/>
              </w:rPr>
              <w:lastRenderedPageBreak/>
              <w:t>起30日内向法院申请退税。</w:t>
            </w:r>
          </w:p>
          <w:p w:rsidR="00BD66B8" w:rsidRDefault="00185F02">
            <w:pPr>
              <w:pStyle w:val="ad"/>
              <w:numPr>
                <w:ilvl w:val="0"/>
                <w:numId w:val="4"/>
              </w:numPr>
              <w:ind w:firstLineChars="0"/>
              <w:rPr>
                <w:rFonts w:ascii="微软雅黑" w:hAnsi="微软雅黑"/>
                <w:sz w:val="24"/>
              </w:rPr>
            </w:pPr>
            <w:r>
              <w:rPr>
                <w:rFonts w:ascii="微软雅黑" w:hAnsi="微软雅黑" w:hint="eastAsia"/>
                <w:b/>
                <w:bCs/>
                <w:sz w:val="24"/>
              </w:rPr>
              <w:t>该房屋买卖双方税费均由购买人承担。</w:t>
            </w:r>
          </w:p>
          <w:p w:rsidR="00BD66B8" w:rsidRDefault="00185F02">
            <w:pPr>
              <w:pStyle w:val="ad"/>
              <w:ind w:left="420" w:firstLineChars="0" w:firstLine="0"/>
              <w:rPr>
                <w:rFonts w:ascii="微软雅黑" w:hAnsi="微软雅黑"/>
                <w:sz w:val="24"/>
              </w:rPr>
            </w:pPr>
            <w:proofErr w:type="gramStart"/>
            <w:r>
              <w:rPr>
                <w:rFonts w:ascii="微软雅黑" w:hAnsi="微软雅黑" w:hint="eastAsia"/>
                <w:sz w:val="24"/>
              </w:rPr>
              <w:t>请合理</w:t>
            </w:r>
            <w:proofErr w:type="gramEnd"/>
            <w:r>
              <w:rPr>
                <w:rFonts w:ascii="微软雅黑" w:hAnsi="微软雅黑" w:hint="eastAsia"/>
                <w:sz w:val="24"/>
              </w:rPr>
              <w:t>计算成本（我们已对税费做了假设</w:t>
            </w:r>
            <w:proofErr w:type="gramStart"/>
            <w:r>
              <w:rPr>
                <w:rFonts w:ascii="微软雅黑" w:hAnsi="微软雅黑" w:hint="eastAsia"/>
                <w:sz w:val="24"/>
              </w:rPr>
              <w:t>性初</w:t>
            </w:r>
            <w:proofErr w:type="gramEnd"/>
            <w:r>
              <w:rPr>
                <w:rFonts w:ascii="微软雅黑" w:hAnsi="微软雅黑" w:hint="eastAsia"/>
                <w:sz w:val="24"/>
              </w:rPr>
              <w:t>步参考性测算，因数据不准确需购买人自行测算，详细政策及计算方式见附件）</w:t>
            </w:r>
          </w:p>
          <w:p w:rsidR="00BD66B8" w:rsidRDefault="00185F02">
            <w:pPr>
              <w:pStyle w:val="ad"/>
              <w:numPr>
                <w:ilvl w:val="0"/>
                <w:numId w:val="4"/>
              </w:numPr>
              <w:ind w:firstLineChars="0"/>
              <w:rPr>
                <w:rFonts w:ascii="微软雅黑" w:hAnsi="微软雅黑"/>
                <w:b/>
                <w:bCs/>
                <w:sz w:val="24"/>
              </w:rPr>
            </w:pPr>
            <w:r>
              <w:rPr>
                <w:rFonts w:ascii="微软雅黑" w:hAnsi="微软雅黑" w:hint="eastAsia"/>
                <w:b/>
                <w:bCs/>
                <w:sz w:val="24"/>
              </w:rPr>
              <w:t>该房屋为预售房，买受人须缴纳两次契税。</w:t>
            </w:r>
          </w:p>
          <w:p w:rsidR="00BD66B8" w:rsidRDefault="00185F02">
            <w:pPr>
              <w:ind w:firstLineChars="200" w:firstLine="480"/>
              <w:rPr>
                <w:rFonts w:ascii="微软雅黑" w:hAnsi="微软雅黑"/>
                <w:sz w:val="24"/>
              </w:rPr>
            </w:pPr>
            <w:r>
              <w:rPr>
                <w:rFonts w:ascii="微软雅黑" w:hAnsi="微软雅黑" w:hint="eastAsia"/>
                <w:sz w:val="24"/>
              </w:rPr>
              <w:t>解决方案：竞买人对该房屋的预售</w:t>
            </w:r>
            <w:proofErr w:type="gramStart"/>
            <w:r>
              <w:rPr>
                <w:rFonts w:ascii="微软雅黑" w:hAnsi="微软雅黑" w:hint="eastAsia"/>
                <w:sz w:val="24"/>
              </w:rPr>
              <w:t>房性质</w:t>
            </w:r>
            <w:proofErr w:type="gramEnd"/>
            <w:r>
              <w:rPr>
                <w:rFonts w:ascii="微软雅黑" w:hAnsi="微软雅黑" w:hint="eastAsia"/>
                <w:sz w:val="24"/>
              </w:rPr>
              <w:t>应引起高度注意，提前做好税费测算和资金准备。</w:t>
            </w:r>
          </w:p>
          <w:p w:rsidR="00BD66B8" w:rsidRDefault="00185F02">
            <w:pPr>
              <w:pStyle w:val="ad"/>
              <w:numPr>
                <w:ilvl w:val="0"/>
                <w:numId w:val="3"/>
              </w:numPr>
              <w:ind w:firstLineChars="0"/>
              <w:rPr>
                <w:rFonts w:ascii="微软雅黑" w:hAnsi="微软雅黑"/>
                <w:b/>
                <w:bCs/>
                <w:sz w:val="24"/>
              </w:rPr>
            </w:pPr>
            <w:r>
              <w:rPr>
                <w:rFonts w:ascii="微软雅黑" w:hAnsi="微软雅黑" w:hint="eastAsia"/>
                <w:b/>
                <w:bCs/>
                <w:sz w:val="24"/>
              </w:rPr>
              <w:t>划拨土地。</w:t>
            </w:r>
          </w:p>
          <w:p w:rsidR="00BD66B8" w:rsidRDefault="00185F02">
            <w:pPr>
              <w:ind w:firstLineChars="200" w:firstLine="480"/>
              <w:rPr>
                <w:rFonts w:ascii="微软雅黑" w:hAnsi="微软雅黑"/>
                <w:sz w:val="24"/>
              </w:rPr>
            </w:pPr>
            <w:r>
              <w:rPr>
                <w:rFonts w:ascii="微软雅黑" w:hAnsi="微软雅黑" w:hint="eastAsia"/>
                <w:sz w:val="24"/>
              </w:rPr>
              <w:t>该房屋所在土地为划拨用地，须由购买人补交土地出让金。</w:t>
            </w:r>
          </w:p>
          <w:p w:rsidR="00BD66B8" w:rsidRDefault="00185F02">
            <w:pPr>
              <w:pStyle w:val="ad"/>
              <w:numPr>
                <w:ilvl w:val="0"/>
                <w:numId w:val="3"/>
              </w:numPr>
              <w:ind w:firstLineChars="0"/>
              <w:rPr>
                <w:rFonts w:ascii="微软雅黑" w:hAnsi="微软雅黑"/>
                <w:sz w:val="24"/>
              </w:rPr>
            </w:pPr>
            <w:r>
              <w:rPr>
                <w:rFonts w:ascii="微软雅黑" w:hAnsi="微软雅黑" w:hint="eastAsia"/>
                <w:b/>
                <w:bCs/>
                <w:sz w:val="24"/>
              </w:rPr>
              <w:t>该房屋户籍登记及学籍使用情形不明。</w:t>
            </w:r>
          </w:p>
          <w:p w:rsidR="00BD66B8" w:rsidRDefault="00185F02">
            <w:pPr>
              <w:ind w:firstLineChars="200" w:firstLine="480"/>
              <w:rPr>
                <w:rFonts w:ascii="微软雅黑" w:hAnsi="微软雅黑"/>
                <w:sz w:val="24"/>
              </w:rPr>
            </w:pPr>
            <w:r>
              <w:rPr>
                <w:rFonts w:ascii="微软雅黑" w:hAnsi="微软雅黑" w:hint="eastAsia"/>
                <w:sz w:val="24"/>
              </w:rPr>
              <w:t>解决方案：由于户籍登记信息法院未做公示，若出现原户主不配合迁出情形，买受人可以依据新的产权证明向当地户籍登记机构申报立户登记。对该房屋的学籍使用情形，可以向房屋所在学区的学校了解。</w:t>
            </w:r>
          </w:p>
          <w:p w:rsidR="00BD66B8" w:rsidRDefault="00185F02">
            <w:pPr>
              <w:pStyle w:val="ad"/>
              <w:numPr>
                <w:ilvl w:val="0"/>
                <w:numId w:val="3"/>
              </w:numPr>
              <w:ind w:firstLineChars="0"/>
              <w:rPr>
                <w:rFonts w:ascii="微软雅黑" w:hAnsi="微软雅黑"/>
                <w:b/>
                <w:bCs/>
                <w:sz w:val="24"/>
              </w:rPr>
            </w:pPr>
            <w:r>
              <w:rPr>
                <w:rFonts w:ascii="微软雅黑" w:hAnsi="微软雅黑" w:hint="eastAsia"/>
                <w:b/>
                <w:bCs/>
                <w:sz w:val="24"/>
              </w:rPr>
              <w:t>水、电、煤及</w:t>
            </w:r>
            <w:proofErr w:type="gramStart"/>
            <w:r>
              <w:rPr>
                <w:rFonts w:ascii="微软雅黑" w:hAnsi="微软雅黑" w:hint="eastAsia"/>
                <w:b/>
                <w:bCs/>
                <w:sz w:val="24"/>
              </w:rPr>
              <w:t>物业费</w:t>
            </w:r>
            <w:proofErr w:type="gramEnd"/>
            <w:r>
              <w:rPr>
                <w:rFonts w:ascii="微软雅黑" w:hAnsi="微软雅黑" w:hint="eastAsia"/>
                <w:b/>
                <w:bCs/>
                <w:sz w:val="24"/>
              </w:rPr>
              <w:t>存在拖欠情况</w:t>
            </w:r>
          </w:p>
          <w:p w:rsidR="00BD66B8" w:rsidRDefault="00185F02">
            <w:pPr>
              <w:ind w:firstLineChars="200" w:firstLine="480"/>
              <w:rPr>
                <w:rFonts w:ascii="微软雅黑" w:hAnsi="微软雅黑"/>
                <w:sz w:val="24"/>
              </w:rPr>
            </w:pPr>
            <w:r>
              <w:rPr>
                <w:rFonts w:ascii="微软雅黑" w:hAnsi="微软雅黑" w:hint="eastAsia"/>
                <w:sz w:val="24"/>
              </w:rPr>
              <w:t>需买方承担，</w:t>
            </w:r>
            <w:proofErr w:type="gramStart"/>
            <w:r>
              <w:rPr>
                <w:rFonts w:ascii="微软雅黑" w:hAnsi="微软雅黑" w:hint="eastAsia"/>
                <w:sz w:val="24"/>
              </w:rPr>
              <w:t>请合理</w:t>
            </w:r>
            <w:proofErr w:type="gramEnd"/>
            <w:r>
              <w:rPr>
                <w:rFonts w:ascii="微软雅黑" w:hAnsi="微软雅黑" w:hint="eastAsia"/>
                <w:sz w:val="24"/>
              </w:rPr>
              <w:t>计算成本。</w:t>
            </w:r>
          </w:p>
          <w:p w:rsidR="00BD66B8" w:rsidRDefault="00185F02">
            <w:pPr>
              <w:numPr>
                <w:ilvl w:val="0"/>
                <w:numId w:val="5"/>
              </w:numPr>
              <w:rPr>
                <w:rFonts w:ascii="微软雅黑" w:hAnsi="微软雅黑" w:cs="微软雅黑"/>
                <w:kern w:val="0"/>
                <w:sz w:val="24"/>
                <w:shd w:val="clear" w:color="auto" w:fill="FFFFFF"/>
              </w:rPr>
            </w:pPr>
            <w:r>
              <w:rPr>
                <w:rFonts w:ascii="微软雅黑" w:hAnsi="微软雅黑" w:hint="eastAsia"/>
                <w:b/>
                <w:bCs/>
                <w:sz w:val="24"/>
              </w:rPr>
              <w:t>该房屋有优先购买权人</w:t>
            </w:r>
            <w:r>
              <w:rPr>
                <w:rFonts w:ascii="微软雅黑" w:hAnsi="微软雅黑" w:hint="eastAsia"/>
                <w:b/>
                <w:bCs/>
                <w:sz w:val="24"/>
                <w:u w:val="single"/>
              </w:rPr>
              <w:t>某某</w:t>
            </w:r>
            <w:r>
              <w:rPr>
                <w:rFonts w:ascii="微软雅黑" w:hAnsi="微软雅黑" w:hint="eastAsia"/>
                <w:b/>
                <w:bCs/>
                <w:sz w:val="24"/>
              </w:rPr>
              <w:t>（承租人，共有权人），同等出价下承租人可以优先获得该房屋。</w:t>
            </w:r>
          </w:p>
          <w:p w:rsidR="00BD66B8" w:rsidRDefault="00BD66B8">
            <w:pPr>
              <w:pStyle w:val="ad"/>
              <w:ind w:firstLine="480"/>
              <w:rPr>
                <w:rFonts w:ascii="微软雅黑" w:hAnsi="微软雅黑" w:cs="微软雅黑"/>
                <w:kern w:val="0"/>
                <w:sz w:val="24"/>
                <w:shd w:val="clear" w:color="auto" w:fill="FFFFFF"/>
              </w:rPr>
            </w:pPr>
          </w:p>
        </w:tc>
      </w:tr>
    </w:tbl>
    <w:p w:rsidR="00BD66B8" w:rsidRDefault="00185F02">
      <w:pPr>
        <w:pStyle w:val="1"/>
      </w:pPr>
      <w:bookmarkStart w:id="20" w:name="_Toc16882"/>
      <w:bookmarkStart w:id="21" w:name="_Toc12205"/>
      <w:r>
        <w:rPr>
          <w:rFonts w:hint="eastAsia"/>
        </w:rPr>
        <w:lastRenderedPageBreak/>
        <w:t>附</w:t>
      </w:r>
      <w:bookmarkEnd w:id="20"/>
      <w:r>
        <w:rPr>
          <w:rFonts w:hint="eastAsia"/>
        </w:rPr>
        <w:t>录</w:t>
      </w:r>
      <w:bookmarkEnd w:id="21"/>
    </w:p>
    <w:p w:rsidR="00BD66B8" w:rsidRDefault="00185F02">
      <w:pPr>
        <w:pStyle w:val="2"/>
      </w:pPr>
      <w:bookmarkStart w:id="22" w:name="_Toc25198"/>
      <w:bookmarkStart w:id="23" w:name="_Toc29030"/>
      <w:r>
        <w:rPr>
          <w:rFonts w:hint="eastAsia"/>
        </w:rPr>
        <w:t>4.1</w:t>
      </w:r>
      <w:r>
        <w:rPr>
          <w:rFonts w:hint="eastAsia"/>
        </w:rPr>
        <w:t>本地重要法规政策</w:t>
      </w:r>
      <w:bookmarkEnd w:id="22"/>
      <w:bookmarkEnd w:id="23"/>
    </w:p>
    <w:p w:rsidR="00BD66B8" w:rsidRDefault="00185F02">
      <w:pPr>
        <w:pStyle w:val="3"/>
      </w:pPr>
      <w:bookmarkStart w:id="24" w:name="_Toc31475"/>
      <w:bookmarkStart w:id="25" w:name="_Toc19019"/>
      <w:bookmarkStart w:id="26" w:name="_Toc11089"/>
      <w:bookmarkStart w:id="27" w:name="_Toc6850"/>
      <w:bookmarkStart w:id="28" w:name="_Toc7248"/>
      <w:bookmarkStart w:id="29" w:name="_Toc6165"/>
      <w:r>
        <w:rPr>
          <w:rFonts w:hint="eastAsia"/>
        </w:rPr>
        <w:t>4.1.1</w:t>
      </w:r>
      <w:r>
        <w:rPr>
          <w:rFonts w:hint="eastAsia"/>
        </w:rPr>
        <w:t>限购政策</w:t>
      </w:r>
      <w:bookmarkEnd w:id="24"/>
      <w:bookmarkEnd w:id="25"/>
      <w:bookmarkEnd w:id="26"/>
      <w:bookmarkEnd w:id="27"/>
      <w:bookmarkEnd w:id="28"/>
      <w:bookmarkEnd w:id="29"/>
    </w:p>
    <w:p w:rsidR="00BD66B8" w:rsidRDefault="00185F02">
      <w:pPr>
        <w:pStyle w:val="4"/>
        <w:rPr>
          <w:sz w:val="24"/>
        </w:rPr>
      </w:pPr>
      <w:bookmarkStart w:id="30" w:name="_Toc1863"/>
      <w:bookmarkStart w:id="31" w:name="_Toc21942"/>
      <w:bookmarkStart w:id="32" w:name="_Toc17793"/>
      <w:bookmarkStart w:id="33" w:name="_Toc19614"/>
      <w:r>
        <w:rPr>
          <w:rFonts w:hint="eastAsia"/>
          <w:sz w:val="24"/>
        </w:rPr>
        <w:t>提示</w:t>
      </w:r>
      <w:bookmarkEnd w:id="30"/>
      <w:bookmarkEnd w:id="31"/>
      <w:bookmarkEnd w:id="32"/>
      <w:bookmarkEnd w:id="33"/>
    </w:p>
    <w:tbl>
      <w:tblPr>
        <w:tblStyle w:val="ac"/>
        <w:tblW w:w="8400" w:type="dxa"/>
        <w:tblLayout w:type="fixed"/>
        <w:tblLook w:val="04A0" w:firstRow="1" w:lastRow="0" w:firstColumn="1" w:lastColumn="0" w:noHBand="0" w:noVBand="1"/>
      </w:tblPr>
      <w:tblGrid>
        <w:gridCol w:w="8400"/>
      </w:tblGrid>
      <w:tr w:rsidR="00BD66B8">
        <w:tc>
          <w:tcPr>
            <w:tcW w:w="8400" w:type="dxa"/>
            <w:tcBorders>
              <w:top w:val="single" w:sz="4" w:space="0" w:color="auto"/>
              <w:left w:val="single" w:sz="4" w:space="0" w:color="auto"/>
              <w:bottom w:val="single" w:sz="4" w:space="0" w:color="auto"/>
              <w:right w:val="single" w:sz="4" w:space="0" w:color="auto"/>
            </w:tcBorders>
          </w:tcPr>
          <w:p w:rsidR="00BD66B8" w:rsidRDefault="00185F02">
            <w:pPr>
              <w:rPr>
                <w:rFonts w:ascii="微软雅黑" w:hAnsi="微软雅黑" w:cs="宋体"/>
                <w:b/>
                <w:bCs/>
                <w:kern w:val="0"/>
                <w:sz w:val="21"/>
                <w:szCs w:val="21"/>
              </w:rPr>
            </w:pPr>
            <w:r>
              <w:rPr>
                <w:rFonts w:ascii="微软雅黑" w:hAnsi="微软雅黑" w:cs="宋体" w:hint="eastAsia"/>
                <w:b/>
                <w:bCs/>
                <w:kern w:val="0"/>
                <w:sz w:val="21"/>
                <w:szCs w:val="21"/>
              </w:rPr>
              <w:t>本标的物</w:t>
            </w:r>
            <w:proofErr w:type="gramStart"/>
            <w:r>
              <w:rPr>
                <w:rFonts w:ascii="微软雅黑" w:hAnsi="微软雅黑" w:cs="宋体" w:hint="eastAsia"/>
                <w:b/>
                <w:bCs/>
                <w:kern w:val="0"/>
                <w:sz w:val="21"/>
                <w:szCs w:val="21"/>
              </w:rPr>
              <w:t>系法院</w:t>
            </w:r>
            <w:proofErr w:type="gramEnd"/>
            <w:r>
              <w:rPr>
                <w:rFonts w:ascii="微软雅黑" w:hAnsi="微软雅黑" w:cs="宋体" w:hint="eastAsia"/>
                <w:b/>
                <w:bCs/>
                <w:kern w:val="0"/>
                <w:sz w:val="21"/>
                <w:szCs w:val="21"/>
              </w:rPr>
              <w:t>执行处置送拍，竞买成功将出具《执行裁定书》，因此不受限购政策限制。</w:t>
            </w:r>
          </w:p>
        </w:tc>
      </w:tr>
    </w:tbl>
    <w:p w:rsidR="00BD66B8" w:rsidRDefault="00BD66B8">
      <w:pPr>
        <w:rPr>
          <w:rFonts w:ascii="微软雅黑" w:hAnsi="微软雅黑"/>
        </w:rPr>
      </w:pPr>
    </w:p>
    <w:p w:rsidR="00BD66B8" w:rsidRDefault="00185F02">
      <w:pPr>
        <w:rPr>
          <w:rFonts w:ascii="微软雅黑" w:hAnsi="微软雅黑"/>
          <w:sz w:val="24"/>
        </w:rPr>
      </w:pPr>
      <w:r>
        <w:rPr>
          <w:rFonts w:ascii="微软雅黑" w:hAnsi="微软雅黑" w:hint="eastAsia"/>
          <w:sz w:val="24"/>
        </w:rPr>
        <w:t>如何理解“限购”？</w:t>
      </w:r>
    </w:p>
    <w:p w:rsidR="00BD66B8" w:rsidRDefault="00185F02">
      <w:pPr>
        <w:rPr>
          <w:rFonts w:ascii="微软雅黑" w:hAnsi="微软雅黑"/>
          <w:sz w:val="24"/>
        </w:rPr>
      </w:pPr>
      <w:r>
        <w:rPr>
          <w:rFonts w:ascii="微软雅黑" w:hAnsi="微软雅黑" w:hint="eastAsia"/>
          <w:sz w:val="24"/>
        </w:rPr>
        <w:t>杭州市住房保障与房产管理局</w:t>
      </w:r>
    </w:p>
    <w:p w:rsidR="00BD66B8" w:rsidRDefault="00185F02">
      <w:pPr>
        <w:rPr>
          <w:rFonts w:ascii="微软雅黑" w:hAnsi="微软雅黑"/>
          <w:sz w:val="24"/>
        </w:rPr>
      </w:pPr>
      <w:r>
        <w:rPr>
          <w:rFonts w:ascii="微软雅黑" w:hAnsi="微软雅黑" w:hint="eastAsia"/>
          <w:sz w:val="24"/>
        </w:rPr>
        <w:t>关于我市实施住房限购有关问答（2016年9月18日）</w:t>
      </w:r>
    </w:p>
    <w:p w:rsidR="00BD66B8" w:rsidRDefault="00185F02">
      <w:pPr>
        <w:rPr>
          <w:rFonts w:ascii="微软雅黑" w:hAnsi="微软雅黑"/>
          <w:sz w:val="24"/>
        </w:rPr>
      </w:pPr>
      <w:r>
        <w:rPr>
          <w:rFonts w:ascii="微软雅黑" w:hAnsi="微软雅黑" w:hint="eastAsia"/>
          <w:sz w:val="24"/>
        </w:rPr>
        <w:t>答：指限制居民家庭通过市场途径购买商品住房和二手住房（不包括非住宅），包括与他人共同购买，不包括因继承、赠与、交换、分割、房改、法院裁定等取得房屋。</w:t>
      </w:r>
    </w:p>
    <w:p w:rsidR="00BD66B8" w:rsidRDefault="00185F02">
      <w:pPr>
        <w:pStyle w:val="3"/>
      </w:pPr>
      <w:bookmarkStart w:id="34" w:name="_Toc2645"/>
      <w:bookmarkStart w:id="35" w:name="_Toc8760"/>
      <w:bookmarkStart w:id="36" w:name="_Toc15103"/>
      <w:bookmarkStart w:id="37" w:name="_Toc25861"/>
      <w:bookmarkStart w:id="38" w:name="_Toc1482"/>
      <w:bookmarkStart w:id="39" w:name="_Toc10516"/>
      <w:r>
        <w:rPr>
          <w:rFonts w:hint="eastAsia"/>
        </w:rPr>
        <w:t>4.1.2</w:t>
      </w:r>
      <w:r>
        <w:rPr>
          <w:rFonts w:hint="eastAsia"/>
        </w:rPr>
        <w:t>落户政策</w:t>
      </w:r>
      <w:bookmarkEnd w:id="34"/>
      <w:bookmarkEnd w:id="35"/>
      <w:bookmarkEnd w:id="36"/>
      <w:bookmarkEnd w:id="37"/>
      <w:bookmarkEnd w:id="38"/>
      <w:bookmarkEnd w:id="39"/>
    </w:p>
    <w:p w:rsidR="00BD66B8" w:rsidRDefault="00185F02">
      <w:pPr>
        <w:pStyle w:val="4"/>
        <w:rPr>
          <w:sz w:val="24"/>
        </w:rPr>
      </w:pPr>
      <w:bookmarkStart w:id="40" w:name="_Toc20893"/>
      <w:bookmarkStart w:id="41" w:name="_Toc13996"/>
      <w:bookmarkStart w:id="42" w:name="_Toc28986"/>
      <w:bookmarkStart w:id="43" w:name="_Toc5010"/>
      <w:bookmarkStart w:id="44" w:name="_Toc17614"/>
      <w:bookmarkStart w:id="45" w:name="_Toc2576"/>
      <w:r>
        <w:rPr>
          <w:rFonts w:hint="eastAsia"/>
          <w:sz w:val="24"/>
        </w:rPr>
        <w:t>提示</w:t>
      </w:r>
      <w:bookmarkEnd w:id="40"/>
      <w:bookmarkEnd w:id="41"/>
      <w:bookmarkEnd w:id="42"/>
      <w:bookmarkEnd w:id="43"/>
      <w:bookmarkEnd w:id="44"/>
      <w:bookmarkEnd w:id="45"/>
    </w:p>
    <w:tbl>
      <w:tblPr>
        <w:tblW w:w="8280"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0"/>
      </w:tblGrid>
      <w:tr w:rsidR="00BD66B8">
        <w:tc>
          <w:tcPr>
            <w:tcW w:w="8280" w:type="dxa"/>
            <w:tcBorders>
              <w:top w:val="single" w:sz="4" w:space="0" w:color="auto"/>
              <w:left w:val="single" w:sz="4" w:space="0" w:color="auto"/>
              <w:bottom w:val="single" w:sz="4" w:space="0" w:color="auto"/>
              <w:right w:val="single" w:sz="4" w:space="0" w:color="auto"/>
            </w:tcBorders>
          </w:tcPr>
          <w:p w:rsidR="00BD66B8" w:rsidRDefault="00185F02">
            <w:pPr>
              <w:rPr>
                <w:rFonts w:ascii="微软雅黑" w:hAnsi="微软雅黑" w:cs="宋体"/>
                <w:sz w:val="21"/>
                <w:szCs w:val="21"/>
              </w:rPr>
            </w:pPr>
            <w:r>
              <w:rPr>
                <w:rStyle w:val="aa"/>
                <w:rFonts w:ascii="微软雅黑" w:hAnsi="微软雅黑" w:hint="eastAsia"/>
                <w:sz w:val="21"/>
                <w:szCs w:val="21"/>
              </w:rPr>
              <w:t>购房不能直接在杭州市区直接落户，但竞拍成功且实际居住的，可获得30分的积分。</w:t>
            </w:r>
          </w:p>
        </w:tc>
      </w:tr>
    </w:tbl>
    <w:p w:rsidR="00BD66B8" w:rsidRDefault="00BD66B8">
      <w:pPr>
        <w:rPr>
          <w:rFonts w:ascii="微软雅黑" w:hAnsi="微软雅黑"/>
        </w:rPr>
      </w:pPr>
    </w:p>
    <w:p w:rsidR="00BD66B8" w:rsidRDefault="00185F02">
      <w:pPr>
        <w:rPr>
          <w:rFonts w:ascii="微软雅黑" w:hAnsi="微软雅黑"/>
          <w:sz w:val="24"/>
        </w:rPr>
      </w:pPr>
      <w:r>
        <w:rPr>
          <w:rFonts w:ascii="微软雅黑" w:hAnsi="微软雅黑" w:cs="宋体" w:hint="eastAsia"/>
          <w:sz w:val="24"/>
        </w:rPr>
        <w:t>《</w:t>
      </w:r>
      <w:r>
        <w:rPr>
          <w:rFonts w:ascii="微软雅黑" w:hAnsi="微软雅黑" w:hint="eastAsia"/>
          <w:sz w:val="24"/>
        </w:rPr>
        <w:t>关于暂停实施市区范围内购房入户的通知》</w:t>
      </w:r>
    </w:p>
    <w:p w:rsidR="00BD66B8" w:rsidRDefault="00185F02">
      <w:pPr>
        <w:rPr>
          <w:rFonts w:ascii="微软雅黑" w:hAnsi="微软雅黑"/>
          <w:sz w:val="24"/>
        </w:rPr>
      </w:pPr>
      <w:r>
        <w:rPr>
          <w:rFonts w:ascii="微软雅黑" w:hAnsi="微软雅黑" w:hint="eastAsia"/>
          <w:sz w:val="24"/>
        </w:rPr>
        <w:t>杭州市住房保障与房产管理局（2016年9月27日）</w:t>
      </w:r>
    </w:p>
    <w:p w:rsidR="00BD66B8" w:rsidRDefault="00185F02">
      <w:pPr>
        <w:rPr>
          <w:rFonts w:ascii="微软雅黑" w:hAnsi="微软雅黑"/>
          <w:sz w:val="24"/>
        </w:rPr>
      </w:pPr>
      <w:r>
        <w:rPr>
          <w:rFonts w:ascii="微软雅黑" w:hAnsi="微软雅黑" w:hint="eastAsia"/>
          <w:sz w:val="24"/>
        </w:rPr>
        <w:lastRenderedPageBreak/>
        <w:t>《杭州市居住证积分管理办法（试行）》(2018年元旦开始施行，具体细则还未出台)</w:t>
      </w:r>
    </w:p>
    <w:p w:rsidR="00BD66B8" w:rsidRDefault="00185F02">
      <w:pPr>
        <w:pStyle w:val="2"/>
      </w:pPr>
      <w:bookmarkStart w:id="46" w:name="_Toc21775"/>
      <w:bookmarkStart w:id="47" w:name="_Toc501738193"/>
      <w:bookmarkStart w:id="48" w:name="_Toc22807"/>
      <w:bookmarkStart w:id="49" w:name="_Toc17569"/>
      <w:bookmarkStart w:id="50" w:name="_Toc22065"/>
      <w:bookmarkStart w:id="51" w:name="_Toc25072"/>
      <w:r>
        <w:rPr>
          <w:rFonts w:hint="eastAsia"/>
        </w:rPr>
        <w:t>4.2</w:t>
      </w:r>
      <w:r>
        <w:rPr>
          <w:rFonts w:hint="eastAsia"/>
        </w:rPr>
        <w:t>交割流程介绍</w:t>
      </w:r>
      <w:bookmarkEnd w:id="46"/>
      <w:bookmarkEnd w:id="47"/>
      <w:bookmarkEnd w:id="48"/>
      <w:bookmarkEnd w:id="49"/>
      <w:bookmarkEnd w:id="50"/>
      <w:bookmarkEnd w:id="51"/>
    </w:p>
    <w:p w:rsidR="00BD66B8" w:rsidRDefault="00185F02">
      <w:pPr>
        <w:pStyle w:val="3"/>
      </w:pPr>
      <w:bookmarkStart w:id="52" w:name="_Toc21509"/>
      <w:bookmarkStart w:id="53" w:name="_Toc21039"/>
      <w:bookmarkStart w:id="54" w:name="_Toc26671"/>
      <w:bookmarkStart w:id="55" w:name="_Toc13841"/>
      <w:bookmarkStart w:id="56" w:name="_Toc4102"/>
      <w:r>
        <w:rPr>
          <w:rFonts w:hint="eastAsia"/>
        </w:rPr>
        <w:t>4.2.1</w:t>
      </w:r>
      <w:r>
        <w:rPr>
          <w:rFonts w:hint="eastAsia"/>
        </w:rPr>
        <w:t>框架流程</w:t>
      </w:r>
      <w:bookmarkEnd w:id="52"/>
      <w:bookmarkEnd w:id="53"/>
      <w:bookmarkEnd w:id="54"/>
      <w:bookmarkEnd w:id="55"/>
      <w:bookmarkEnd w:id="56"/>
    </w:p>
    <w:p w:rsidR="00BD66B8" w:rsidRDefault="00185F02">
      <w:pPr>
        <w:rPr>
          <w:rFonts w:ascii="微软雅黑" w:hAnsi="微软雅黑"/>
          <w:b/>
          <w:bCs/>
          <w:sz w:val="24"/>
        </w:rPr>
      </w:pPr>
      <w:r>
        <w:rPr>
          <w:rFonts w:ascii="微软雅黑" w:hAnsi="微软雅黑"/>
          <w:b/>
          <w:noProof/>
          <w:sz w:val="24"/>
        </w:rPr>
        <w:drawing>
          <wp:inline distT="0" distB="0" distL="0" distR="0">
            <wp:extent cx="5272405" cy="2171700"/>
            <wp:effectExtent l="0" t="0" r="0" b="0"/>
            <wp:docPr id="1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未命名文件"/>
                    <pic:cNvPicPr>
                      <a:picLocks noChangeAspect="1" noChangeArrowheads="1"/>
                    </pic:cNvPicPr>
                  </pic:nvPicPr>
                  <pic:blipFill>
                    <a:blip r:embed="rId13"/>
                    <a:srcRect/>
                    <a:stretch>
                      <a:fillRect/>
                    </a:stretch>
                  </pic:blipFill>
                  <pic:spPr>
                    <a:xfrm>
                      <a:off x="0" y="0"/>
                      <a:ext cx="5272405" cy="2171700"/>
                    </a:xfrm>
                    <a:prstGeom prst="rect">
                      <a:avLst/>
                    </a:prstGeom>
                    <a:noFill/>
                    <a:ln w="9525">
                      <a:noFill/>
                      <a:miter lim="800000"/>
                      <a:headEnd/>
                      <a:tailEnd/>
                    </a:ln>
                  </pic:spPr>
                </pic:pic>
              </a:graphicData>
            </a:graphic>
          </wp:inline>
        </w:drawing>
      </w:r>
    </w:p>
    <w:p w:rsidR="00BD66B8" w:rsidRDefault="00185F02">
      <w:pPr>
        <w:pStyle w:val="3"/>
      </w:pPr>
      <w:bookmarkStart w:id="57" w:name="_Toc7778"/>
      <w:bookmarkStart w:id="58" w:name="_Toc22231"/>
      <w:bookmarkStart w:id="59" w:name="_Toc1040"/>
      <w:bookmarkStart w:id="60" w:name="_Toc4490"/>
      <w:bookmarkStart w:id="61" w:name="_Toc12820"/>
      <w:r>
        <w:rPr>
          <w:rFonts w:hint="eastAsia"/>
        </w:rPr>
        <w:t>4.2.2</w:t>
      </w:r>
      <w:r>
        <w:rPr>
          <w:rFonts w:hint="eastAsia"/>
        </w:rPr>
        <w:t>细化流程</w:t>
      </w:r>
      <w:bookmarkEnd w:id="57"/>
      <w:bookmarkEnd w:id="58"/>
      <w:bookmarkEnd w:id="59"/>
      <w:bookmarkEnd w:id="60"/>
      <w:bookmarkEnd w:id="61"/>
    </w:p>
    <w:p w:rsidR="00BD66B8" w:rsidRDefault="00185F02">
      <w:pPr>
        <w:rPr>
          <w:rStyle w:val="aa"/>
          <w:sz w:val="24"/>
        </w:rPr>
      </w:pPr>
      <w:r>
        <w:rPr>
          <w:rStyle w:val="aa"/>
          <w:rFonts w:ascii="微软雅黑" w:hAnsi="微软雅黑" w:hint="eastAsia"/>
        </w:rPr>
        <w:t>（基于本标的情况）</w:t>
      </w:r>
    </w:p>
    <w:p w:rsidR="00BD66B8" w:rsidRDefault="00185F02">
      <w:r>
        <w:rPr>
          <w:rFonts w:ascii="微软雅黑" w:hAnsi="微软雅黑" w:hint="eastAsia"/>
          <w:sz w:val="24"/>
        </w:rPr>
        <w:t>1、法院解封（需资料：裁定书、协助执行通知书、法院解封人证件）；2、房产档案局查档（所需资料：裁定书、协助执行书、拍卖成交确认书、身份证、户口本）；3、解除银行抵押（所需资料：裁定书、协助执行书、银行结清证明或法院注明强制注销、买受人身份证）；4、向住房保障局提交过户资料、受理房产证（所需资料：产权证原件及复印件、裁定书、协助执行通知书、拍卖成交确认书、司法委托</w:t>
      </w:r>
      <w:proofErr w:type="gramStart"/>
      <w:r>
        <w:rPr>
          <w:rFonts w:ascii="微软雅黑" w:hAnsi="微软雅黑" w:hint="eastAsia"/>
          <w:sz w:val="24"/>
        </w:rPr>
        <w:t>拍卖书或淘宝</w:t>
      </w:r>
      <w:proofErr w:type="gramEnd"/>
      <w:r>
        <w:rPr>
          <w:rFonts w:ascii="微软雅黑" w:hAnsi="微软雅黑" w:hint="eastAsia"/>
          <w:sz w:val="24"/>
        </w:rPr>
        <w:t>拍卖公告、买受人身份证、户口本、结婚证、查档证明）。</w:t>
      </w:r>
      <w:bookmarkStart w:id="62" w:name="_Toc501738194"/>
    </w:p>
    <w:p w:rsidR="00BD66B8" w:rsidRDefault="00185F02">
      <w:pPr>
        <w:pStyle w:val="2"/>
      </w:pPr>
      <w:bookmarkStart w:id="63" w:name="_Toc9010"/>
      <w:bookmarkStart w:id="64" w:name="_Toc17544"/>
      <w:bookmarkStart w:id="65" w:name="_Toc26681"/>
      <w:bookmarkStart w:id="66" w:name="_Toc32134"/>
      <w:bookmarkStart w:id="67" w:name="_Toc7844"/>
      <w:r>
        <w:rPr>
          <w:rFonts w:hint="eastAsia"/>
        </w:rPr>
        <w:lastRenderedPageBreak/>
        <w:t>4.3</w:t>
      </w:r>
      <w:r>
        <w:rPr>
          <w:rFonts w:hint="eastAsia"/>
        </w:rPr>
        <w:t>交割税费</w:t>
      </w:r>
      <w:bookmarkEnd w:id="62"/>
      <w:bookmarkEnd w:id="63"/>
      <w:bookmarkEnd w:id="64"/>
      <w:bookmarkEnd w:id="65"/>
      <w:r>
        <w:rPr>
          <w:rFonts w:hint="eastAsia"/>
        </w:rPr>
        <w:t>政策</w:t>
      </w:r>
      <w:bookmarkEnd w:id="66"/>
      <w:bookmarkEnd w:id="67"/>
    </w:p>
    <w:p w:rsidR="00BD66B8" w:rsidRDefault="00185F02">
      <w:pPr>
        <w:pStyle w:val="3"/>
      </w:pPr>
      <w:bookmarkStart w:id="68" w:name="_Hlt501374774"/>
      <w:bookmarkStart w:id="69" w:name="_Toc24134"/>
      <w:bookmarkStart w:id="70" w:name="_Toc12107"/>
      <w:bookmarkStart w:id="71" w:name="_Toc982"/>
      <w:bookmarkStart w:id="72" w:name="_Toc29199"/>
      <w:bookmarkStart w:id="73" w:name="_Toc6585"/>
      <w:r>
        <w:rPr>
          <w:rFonts w:hint="eastAsia"/>
        </w:rPr>
        <w:t>3.3.1</w:t>
      </w:r>
      <w:r>
        <w:rPr>
          <w:rFonts w:hint="eastAsia"/>
        </w:rPr>
        <w:t>土地增值税</w:t>
      </w:r>
      <w:bookmarkEnd w:id="68"/>
      <w:r>
        <w:rPr>
          <w:rFonts w:hint="eastAsia"/>
        </w:rPr>
        <w:t>四级超率累进计算表</w:t>
      </w:r>
      <w:r>
        <w:rPr>
          <w:rFonts w:hint="eastAsia"/>
        </w:rPr>
        <w:t> </w:t>
      </w:r>
      <w:bookmarkEnd w:id="69"/>
      <w:bookmarkEnd w:id="70"/>
      <w:bookmarkEnd w:id="71"/>
      <w:bookmarkEnd w:id="72"/>
      <w:bookmarkEnd w:id="73"/>
    </w:p>
    <w:tbl>
      <w:tblPr>
        <w:tblW w:w="8288"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68"/>
        <w:gridCol w:w="4120"/>
      </w:tblGrid>
      <w:tr w:rsidR="00BD66B8">
        <w:tc>
          <w:tcPr>
            <w:tcW w:w="4168" w:type="dxa"/>
            <w:tcBorders>
              <w:top w:val="single" w:sz="4" w:space="0" w:color="auto"/>
              <w:left w:val="single" w:sz="4" w:space="0" w:color="auto"/>
              <w:bottom w:val="single" w:sz="4" w:space="0" w:color="auto"/>
              <w:right w:val="single" w:sz="4" w:space="0" w:color="auto"/>
            </w:tcBorders>
          </w:tcPr>
          <w:p w:rsidR="00BD66B8" w:rsidRDefault="00185F02">
            <w:r>
              <w:rPr>
                <w:rFonts w:hint="eastAsia"/>
              </w:rPr>
              <w:t>增值额与扣除项目的比率</w:t>
            </w:r>
          </w:p>
        </w:tc>
        <w:tc>
          <w:tcPr>
            <w:tcW w:w="4120" w:type="dxa"/>
            <w:tcBorders>
              <w:top w:val="single" w:sz="4" w:space="0" w:color="auto"/>
              <w:left w:val="single" w:sz="4" w:space="0" w:color="auto"/>
              <w:bottom w:val="single" w:sz="4" w:space="0" w:color="auto"/>
              <w:right w:val="single" w:sz="4" w:space="0" w:color="auto"/>
            </w:tcBorders>
          </w:tcPr>
          <w:p w:rsidR="00BD66B8" w:rsidRDefault="00185F02">
            <w:r>
              <w:rPr>
                <w:rFonts w:hint="eastAsia"/>
              </w:rPr>
              <w:t>应纳税额的计算</w:t>
            </w:r>
          </w:p>
        </w:tc>
      </w:tr>
      <w:tr w:rsidR="00BD66B8">
        <w:tc>
          <w:tcPr>
            <w:tcW w:w="4168" w:type="dxa"/>
            <w:tcBorders>
              <w:top w:val="single" w:sz="4" w:space="0" w:color="auto"/>
              <w:left w:val="single" w:sz="4" w:space="0" w:color="auto"/>
              <w:bottom w:val="single" w:sz="4" w:space="0" w:color="auto"/>
              <w:right w:val="single" w:sz="4" w:space="0" w:color="auto"/>
            </w:tcBorders>
          </w:tcPr>
          <w:p w:rsidR="00BD66B8" w:rsidRDefault="00185F02">
            <w:r>
              <w:rPr>
                <w:rFonts w:hint="eastAsia"/>
              </w:rPr>
              <w:t>比率≤</w:t>
            </w:r>
            <w:r>
              <w:rPr>
                <w:rFonts w:hint="eastAsia"/>
              </w:rPr>
              <w:t>50%</w:t>
            </w:r>
          </w:p>
        </w:tc>
        <w:tc>
          <w:tcPr>
            <w:tcW w:w="4120" w:type="dxa"/>
            <w:tcBorders>
              <w:top w:val="single" w:sz="4" w:space="0" w:color="auto"/>
              <w:left w:val="single" w:sz="4" w:space="0" w:color="auto"/>
              <w:bottom w:val="single" w:sz="4" w:space="0" w:color="auto"/>
              <w:right w:val="single" w:sz="4" w:space="0" w:color="auto"/>
            </w:tcBorders>
          </w:tcPr>
          <w:p w:rsidR="00BD66B8" w:rsidRDefault="00185F02">
            <w:r>
              <w:rPr>
                <w:rFonts w:hint="eastAsia"/>
              </w:rPr>
              <w:t>增值额×</w:t>
            </w:r>
            <w:r>
              <w:rPr>
                <w:rFonts w:hint="eastAsia"/>
              </w:rPr>
              <w:t>30%</w:t>
            </w:r>
          </w:p>
        </w:tc>
      </w:tr>
      <w:tr w:rsidR="00BD66B8">
        <w:tc>
          <w:tcPr>
            <w:tcW w:w="4168" w:type="dxa"/>
            <w:tcBorders>
              <w:top w:val="single" w:sz="4" w:space="0" w:color="auto"/>
              <w:left w:val="single" w:sz="4" w:space="0" w:color="auto"/>
              <w:bottom w:val="single" w:sz="4" w:space="0" w:color="auto"/>
              <w:right w:val="single" w:sz="4" w:space="0" w:color="auto"/>
            </w:tcBorders>
          </w:tcPr>
          <w:p w:rsidR="00BD66B8" w:rsidRDefault="00185F02">
            <w:r>
              <w:rPr>
                <w:rFonts w:hint="eastAsia"/>
              </w:rPr>
              <w:t>50%&lt;</w:t>
            </w:r>
            <w:r>
              <w:rPr>
                <w:rFonts w:hint="eastAsia"/>
              </w:rPr>
              <w:t>比率≤</w:t>
            </w:r>
            <w:r>
              <w:rPr>
                <w:rFonts w:hint="eastAsia"/>
              </w:rPr>
              <w:t>100%</w:t>
            </w:r>
          </w:p>
        </w:tc>
        <w:tc>
          <w:tcPr>
            <w:tcW w:w="4120" w:type="dxa"/>
            <w:tcBorders>
              <w:top w:val="single" w:sz="4" w:space="0" w:color="auto"/>
              <w:left w:val="single" w:sz="4" w:space="0" w:color="auto"/>
              <w:bottom w:val="single" w:sz="4" w:space="0" w:color="auto"/>
              <w:right w:val="single" w:sz="4" w:space="0" w:color="auto"/>
            </w:tcBorders>
          </w:tcPr>
          <w:p w:rsidR="00BD66B8" w:rsidRDefault="00185F02">
            <w:r>
              <w:rPr>
                <w:rFonts w:hint="eastAsia"/>
              </w:rPr>
              <w:t>增值额×</w:t>
            </w:r>
            <w:r>
              <w:rPr>
                <w:rFonts w:hint="eastAsia"/>
              </w:rPr>
              <w:t>40%-</w:t>
            </w:r>
            <w:r>
              <w:rPr>
                <w:rFonts w:hint="eastAsia"/>
              </w:rPr>
              <w:t>扣除额×</w:t>
            </w:r>
            <w:r>
              <w:rPr>
                <w:rFonts w:hint="eastAsia"/>
              </w:rPr>
              <w:t>5%</w:t>
            </w:r>
          </w:p>
        </w:tc>
      </w:tr>
      <w:tr w:rsidR="00BD66B8">
        <w:tc>
          <w:tcPr>
            <w:tcW w:w="4168" w:type="dxa"/>
            <w:tcBorders>
              <w:top w:val="single" w:sz="4" w:space="0" w:color="auto"/>
              <w:left w:val="single" w:sz="4" w:space="0" w:color="auto"/>
              <w:bottom w:val="single" w:sz="4" w:space="0" w:color="auto"/>
              <w:right w:val="single" w:sz="4" w:space="0" w:color="auto"/>
            </w:tcBorders>
          </w:tcPr>
          <w:p w:rsidR="00BD66B8" w:rsidRDefault="00185F02">
            <w:r>
              <w:rPr>
                <w:rFonts w:hint="eastAsia"/>
              </w:rPr>
              <w:t>100%&lt;</w:t>
            </w:r>
            <w:r>
              <w:rPr>
                <w:rFonts w:hint="eastAsia"/>
              </w:rPr>
              <w:t>比率≤</w:t>
            </w:r>
            <w:r>
              <w:rPr>
                <w:rFonts w:hint="eastAsia"/>
              </w:rPr>
              <w:t>200%</w:t>
            </w:r>
          </w:p>
        </w:tc>
        <w:tc>
          <w:tcPr>
            <w:tcW w:w="4120" w:type="dxa"/>
            <w:tcBorders>
              <w:top w:val="single" w:sz="4" w:space="0" w:color="auto"/>
              <w:left w:val="single" w:sz="4" w:space="0" w:color="auto"/>
              <w:bottom w:val="single" w:sz="4" w:space="0" w:color="auto"/>
              <w:right w:val="single" w:sz="4" w:space="0" w:color="auto"/>
            </w:tcBorders>
          </w:tcPr>
          <w:p w:rsidR="00BD66B8" w:rsidRDefault="00185F02">
            <w:r>
              <w:rPr>
                <w:rFonts w:hint="eastAsia"/>
              </w:rPr>
              <w:t>增值额×</w:t>
            </w:r>
            <w:r>
              <w:rPr>
                <w:rFonts w:hint="eastAsia"/>
              </w:rPr>
              <w:t>50%-</w:t>
            </w:r>
            <w:r>
              <w:rPr>
                <w:rFonts w:hint="eastAsia"/>
              </w:rPr>
              <w:t>扣除额×</w:t>
            </w:r>
            <w:r>
              <w:rPr>
                <w:rFonts w:hint="eastAsia"/>
              </w:rPr>
              <w:t>15%</w:t>
            </w:r>
          </w:p>
        </w:tc>
      </w:tr>
      <w:tr w:rsidR="00BD66B8">
        <w:tc>
          <w:tcPr>
            <w:tcW w:w="4168" w:type="dxa"/>
            <w:tcBorders>
              <w:top w:val="single" w:sz="4" w:space="0" w:color="auto"/>
              <w:left w:val="single" w:sz="4" w:space="0" w:color="auto"/>
              <w:bottom w:val="single" w:sz="4" w:space="0" w:color="auto"/>
              <w:right w:val="single" w:sz="4" w:space="0" w:color="auto"/>
            </w:tcBorders>
          </w:tcPr>
          <w:p w:rsidR="00BD66B8" w:rsidRDefault="00185F02">
            <w:r>
              <w:rPr>
                <w:rFonts w:hint="eastAsia"/>
              </w:rPr>
              <w:t>比率</w:t>
            </w:r>
            <w:r>
              <w:rPr>
                <w:rFonts w:hint="eastAsia"/>
              </w:rPr>
              <w:t>&gt;200%</w:t>
            </w:r>
          </w:p>
        </w:tc>
        <w:tc>
          <w:tcPr>
            <w:tcW w:w="4120" w:type="dxa"/>
            <w:tcBorders>
              <w:top w:val="single" w:sz="4" w:space="0" w:color="auto"/>
              <w:left w:val="single" w:sz="4" w:space="0" w:color="auto"/>
              <w:bottom w:val="single" w:sz="4" w:space="0" w:color="auto"/>
              <w:right w:val="single" w:sz="4" w:space="0" w:color="auto"/>
            </w:tcBorders>
          </w:tcPr>
          <w:p w:rsidR="00BD66B8" w:rsidRDefault="00185F02">
            <w:r>
              <w:rPr>
                <w:rFonts w:hint="eastAsia"/>
              </w:rPr>
              <w:t>增值额×</w:t>
            </w:r>
            <w:r>
              <w:rPr>
                <w:rFonts w:hint="eastAsia"/>
              </w:rPr>
              <w:t>60%-</w:t>
            </w:r>
            <w:r>
              <w:rPr>
                <w:rFonts w:hint="eastAsia"/>
              </w:rPr>
              <w:t>扣除额×</w:t>
            </w:r>
            <w:r>
              <w:rPr>
                <w:rFonts w:hint="eastAsia"/>
              </w:rPr>
              <w:t>35%</w:t>
            </w:r>
          </w:p>
        </w:tc>
      </w:tr>
      <w:tr w:rsidR="00BD66B8">
        <w:tc>
          <w:tcPr>
            <w:tcW w:w="8288" w:type="dxa"/>
            <w:gridSpan w:val="2"/>
            <w:tcBorders>
              <w:top w:val="single" w:sz="4" w:space="0" w:color="auto"/>
              <w:left w:val="single" w:sz="4" w:space="0" w:color="auto"/>
              <w:bottom w:val="single" w:sz="4" w:space="0" w:color="auto"/>
              <w:right w:val="single" w:sz="4" w:space="0" w:color="auto"/>
            </w:tcBorders>
          </w:tcPr>
          <w:p w:rsidR="00BD66B8" w:rsidRDefault="00185F02">
            <w:r>
              <w:rPr>
                <w:rFonts w:hint="eastAsia"/>
              </w:rPr>
              <w:t>当地相关部门咨询电话：</w:t>
            </w:r>
          </w:p>
        </w:tc>
      </w:tr>
    </w:tbl>
    <w:p w:rsidR="00BD66B8" w:rsidRDefault="00185F02">
      <w:pPr>
        <w:pStyle w:val="3"/>
      </w:pPr>
      <w:bookmarkStart w:id="74" w:name="_Toc31582"/>
      <w:bookmarkStart w:id="75" w:name="_Toc9727"/>
      <w:r>
        <w:rPr>
          <w:rFonts w:hint="eastAsia"/>
        </w:rPr>
        <w:t>3.3.2</w:t>
      </w:r>
      <w:r>
        <w:rPr>
          <w:rFonts w:hint="eastAsia"/>
        </w:rPr>
        <w:t>房产税费交易表</w:t>
      </w:r>
      <w:bookmarkEnd w:id="74"/>
      <w:bookmarkEnd w:id="75"/>
    </w:p>
    <w:tbl>
      <w:tblPr>
        <w:tblpPr w:leftFromText="180" w:rightFromText="180" w:vertAnchor="text" w:horzAnchor="page" w:tblpXSpec="center" w:tblpY="694"/>
        <w:tblOverlap w:val="never"/>
        <w:tblW w:w="8325" w:type="dxa"/>
        <w:jc w:val="center"/>
        <w:tblLayout w:type="fixed"/>
        <w:tblLook w:val="04A0" w:firstRow="1" w:lastRow="0" w:firstColumn="1" w:lastColumn="0" w:noHBand="0" w:noVBand="1"/>
      </w:tblPr>
      <w:tblGrid>
        <w:gridCol w:w="631"/>
        <w:gridCol w:w="685"/>
        <w:gridCol w:w="627"/>
        <w:gridCol w:w="1710"/>
        <w:gridCol w:w="886"/>
        <w:gridCol w:w="1043"/>
        <w:gridCol w:w="1211"/>
        <w:gridCol w:w="965"/>
        <w:gridCol w:w="567"/>
      </w:tblGrid>
      <w:tr w:rsidR="00BD66B8">
        <w:trPr>
          <w:trHeight w:val="403"/>
          <w:jc w:val="center"/>
        </w:trPr>
        <w:tc>
          <w:tcPr>
            <w:tcW w:w="631"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房屋</w:t>
            </w:r>
          </w:p>
          <w:p w:rsidR="00BD66B8" w:rsidRDefault="00185F02">
            <w:pPr>
              <w:jc w:val="center"/>
            </w:pPr>
            <w:r>
              <w:rPr>
                <w:rFonts w:hint="eastAsia"/>
              </w:rPr>
              <w:t>类型</w:t>
            </w:r>
          </w:p>
        </w:tc>
        <w:tc>
          <w:tcPr>
            <w:tcW w:w="685"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买方</w:t>
            </w:r>
          </w:p>
          <w:p w:rsidR="00BD66B8" w:rsidRDefault="00185F02">
            <w:pPr>
              <w:jc w:val="center"/>
            </w:pPr>
            <w:r>
              <w:rPr>
                <w:rFonts w:hint="eastAsia"/>
              </w:rPr>
              <w:t>身份</w:t>
            </w:r>
          </w:p>
        </w:tc>
        <w:tc>
          <w:tcPr>
            <w:tcW w:w="627"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房主</w:t>
            </w:r>
          </w:p>
          <w:p w:rsidR="00BD66B8" w:rsidRDefault="00185F02">
            <w:pPr>
              <w:jc w:val="center"/>
            </w:pPr>
            <w:r>
              <w:rPr>
                <w:rFonts w:hint="eastAsia"/>
              </w:rPr>
              <w:t>身份</w:t>
            </w:r>
          </w:p>
        </w:tc>
        <w:tc>
          <w:tcPr>
            <w:tcW w:w="2596" w:type="dxa"/>
            <w:gridSpan w:val="2"/>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买方需承担税费</w:t>
            </w:r>
          </w:p>
        </w:tc>
        <w:tc>
          <w:tcPr>
            <w:tcW w:w="3786" w:type="dxa"/>
            <w:gridSpan w:val="4"/>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出让方需承担税费</w:t>
            </w:r>
          </w:p>
        </w:tc>
      </w:tr>
      <w:tr w:rsidR="00BD66B8">
        <w:trPr>
          <w:trHeight w:val="403"/>
          <w:jc w:val="center"/>
        </w:trPr>
        <w:tc>
          <w:tcPr>
            <w:tcW w:w="631" w:type="dxa"/>
            <w:vMerge/>
            <w:tcBorders>
              <w:top w:val="single" w:sz="4" w:space="0" w:color="000000"/>
              <w:left w:val="single" w:sz="4" w:space="0" w:color="000000"/>
              <w:bottom w:val="single" w:sz="4" w:space="0" w:color="000000"/>
              <w:right w:val="single" w:sz="4" w:space="0" w:color="000000"/>
            </w:tcBorders>
            <w:vAlign w:val="center"/>
          </w:tcPr>
          <w:p w:rsidR="00BD66B8" w:rsidRDefault="00BD66B8">
            <w:pPr>
              <w:jc w:val="center"/>
            </w:pPr>
          </w:p>
        </w:tc>
        <w:tc>
          <w:tcPr>
            <w:tcW w:w="685" w:type="dxa"/>
            <w:vMerge/>
            <w:tcBorders>
              <w:top w:val="single" w:sz="4" w:space="0" w:color="000000"/>
              <w:left w:val="single" w:sz="4" w:space="0" w:color="000000"/>
              <w:bottom w:val="single" w:sz="4" w:space="0" w:color="000000"/>
              <w:right w:val="single" w:sz="4" w:space="0" w:color="000000"/>
            </w:tcBorders>
            <w:vAlign w:val="center"/>
          </w:tcPr>
          <w:p w:rsidR="00BD66B8" w:rsidRDefault="00BD66B8">
            <w:pPr>
              <w:jc w:val="center"/>
            </w:pPr>
          </w:p>
        </w:tc>
        <w:tc>
          <w:tcPr>
            <w:tcW w:w="627" w:type="dxa"/>
            <w:vMerge/>
            <w:tcBorders>
              <w:top w:val="single" w:sz="4" w:space="0" w:color="000000"/>
              <w:left w:val="single" w:sz="4" w:space="0" w:color="000000"/>
              <w:bottom w:val="single" w:sz="4" w:space="0" w:color="000000"/>
              <w:right w:val="single" w:sz="4" w:space="0" w:color="000000"/>
            </w:tcBorders>
            <w:vAlign w:val="center"/>
          </w:tcPr>
          <w:p w:rsidR="00BD66B8" w:rsidRDefault="00BD66B8">
            <w:pPr>
              <w:jc w:val="center"/>
            </w:pPr>
          </w:p>
        </w:tc>
        <w:tc>
          <w:tcPr>
            <w:tcW w:w="17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契税</w:t>
            </w:r>
          </w:p>
        </w:tc>
        <w:tc>
          <w:tcPr>
            <w:tcW w:w="88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印花税</w:t>
            </w:r>
          </w:p>
        </w:tc>
        <w:tc>
          <w:tcPr>
            <w:tcW w:w="10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增值税</w:t>
            </w:r>
          </w:p>
          <w:p w:rsidR="00BD66B8" w:rsidRDefault="00185F02">
            <w:pPr>
              <w:jc w:val="center"/>
            </w:pPr>
            <w:r>
              <w:rPr>
                <w:rFonts w:hint="eastAsia"/>
              </w:rPr>
              <w:t>及附加</w:t>
            </w:r>
          </w:p>
        </w:tc>
        <w:tc>
          <w:tcPr>
            <w:tcW w:w="12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个人所得税</w:t>
            </w:r>
          </w:p>
        </w:tc>
        <w:tc>
          <w:tcPr>
            <w:tcW w:w="96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土地增值税</w:t>
            </w:r>
          </w:p>
        </w:tc>
        <w:tc>
          <w:tcPr>
            <w:tcW w:w="5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印花税</w:t>
            </w:r>
          </w:p>
        </w:tc>
      </w:tr>
      <w:tr w:rsidR="00BD66B8">
        <w:trPr>
          <w:trHeight w:val="2653"/>
          <w:jc w:val="center"/>
        </w:trPr>
        <w:tc>
          <w:tcPr>
            <w:tcW w:w="631"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住宅</w:t>
            </w:r>
          </w:p>
        </w:tc>
        <w:tc>
          <w:tcPr>
            <w:tcW w:w="68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个人</w:t>
            </w:r>
          </w:p>
        </w:tc>
        <w:tc>
          <w:tcPr>
            <w:tcW w:w="62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个人</w:t>
            </w:r>
          </w:p>
        </w:tc>
        <w:tc>
          <w:tcPr>
            <w:tcW w:w="17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唯一住房：</w:t>
            </w:r>
          </w:p>
          <w:p w:rsidR="00BD66B8" w:rsidRDefault="00185F02">
            <w:r>
              <w:rPr>
                <w:rFonts w:hint="eastAsia"/>
              </w:rPr>
              <w:t>90m</w:t>
            </w:r>
            <w:r>
              <w:rPr>
                <w:rFonts w:hint="eastAsia"/>
              </w:rPr>
              <w:t>²及下；</w:t>
            </w:r>
            <w:r>
              <w:rPr>
                <w:rFonts w:hint="eastAsia"/>
              </w:rPr>
              <w:t>1%</w:t>
            </w:r>
          </w:p>
          <w:p w:rsidR="00BD66B8" w:rsidRDefault="00185F02">
            <w:r>
              <w:rPr>
                <w:rFonts w:hint="eastAsia"/>
              </w:rPr>
              <w:t>90m</w:t>
            </w:r>
            <w:r>
              <w:rPr>
                <w:rFonts w:hint="eastAsia"/>
              </w:rPr>
              <w:t>²以上</w:t>
            </w:r>
            <w:r>
              <w:rPr>
                <w:rFonts w:hint="eastAsia"/>
              </w:rPr>
              <w:t>:1.5%</w:t>
            </w:r>
          </w:p>
          <w:p w:rsidR="00BD66B8" w:rsidRDefault="00185F02">
            <w:r>
              <w:rPr>
                <w:rFonts w:hint="eastAsia"/>
              </w:rPr>
              <w:t>第二套改善性住房：</w:t>
            </w:r>
          </w:p>
          <w:p w:rsidR="00BD66B8" w:rsidRDefault="00185F02">
            <w:r>
              <w:rPr>
                <w:rFonts w:hint="eastAsia"/>
              </w:rPr>
              <w:t>90m</w:t>
            </w:r>
            <w:r>
              <w:rPr>
                <w:rFonts w:hint="eastAsia"/>
              </w:rPr>
              <w:t>²及下</w:t>
            </w:r>
            <w:r>
              <w:rPr>
                <w:rFonts w:hint="eastAsia"/>
              </w:rPr>
              <w:t xml:space="preserve">:1% </w:t>
            </w:r>
          </w:p>
          <w:p w:rsidR="00BD66B8" w:rsidRDefault="00185F02">
            <w:r>
              <w:rPr>
                <w:rFonts w:hint="eastAsia"/>
              </w:rPr>
              <w:t>90m</w:t>
            </w:r>
            <w:r>
              <w:rPr>
                <w:rFonts w:hint="eastAsia"/>
              </w:rPr>
              <w:t>²以上</w:t>
            </w:r>
            <w:r>
              <w:rPr>
                <w:rFonts w:hint="eastAsia"/>
              </w:rPr>
              <w:t xml:space="preserve">:2%              </w:t>
            </w:r>
            <w:r>
              <w:rPr>
                <w:rFonts w:hint="eastAsia"/>
              </w:rPr>
              <w:t>其他：</w:t>
            </w:r>
            <w:r>
              <w:rPr>
                <w:rFonts w:hint="eastAsia"/>
              </w:rPr>
              <w:t>3%</w:t>
            </w:r>
          </w:p>
          <w:p w:rsidR="00BD66B8" w:rsidRDefault="00185F02">
            <w:r>
              <w:rPr>
                <w:rFonts w:hint="eastAsia"/>
              </w:rPr>
              <w:t>（注：唯一住房是指买方购买的该房屋是其家庭的第一套房屋）</w:t>
            </w:r>
          </w:p>
        </w:tc>
        <w:tc>
          <w:tcPr>
            <w:tcW w:w="88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无</w:t>
            </w:r>
          </w:p>
        </w:tc>
        <w:tc>
          <w:tcPr>
            <w:tcW w:w="10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满两年，免征；</w:t>
            </w:r>
          </w:p>
          <w:p w:rsidR="00BD66B8" w:rsidRDefault="00185F02">
            <w:r>
              <w:rPr>
                <w:rFonts w:hint="eastAsia"/>
              </w:rPr>
              <w:t>2</w:t>
            </w:r>
            <w:r>
              <w:rPr>
                <w:rFonts w:hint="eastAsia"/>
              </w:rPr>
              <w:t>、未满，成交价全额</w:t>
            </w:r>
            <w:r>
              <w:rPr>
                <w:rFonts w:hint="eastAsia"/>
              </w:rPr>
              <w:t>5.6%</w:t>
            </w:r>
          </w:p>
          <w:p w:rsidR="00BD66B8" w:rsidRDefault="00185F02">
            <w:r>
              <w:rPr>
                <w:rFonts w:hint="eastAsia"/>
              </w:rPr>
              <w:t>（注：是否满两年自出让方办理房产证或缴纳契税之日起算）</w:t>
            </w:r>
          </w:p>
        </w:tc>
        <w:tc>
          <w:tcPr>
            <w:tcW w:w="12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1</w:t>
            </w:r>
            <w:r>
              <w:rPr>
                <w:rFonts w:hint="eastAsia"/>
              </w:rPr>
              <w:t>、满五年唯一住房；免征</w:t>
            </w:r>
          </w:p>
          <w:p w:rsidR="00BD66B8" w:rsidRDefault="00185F02">
            <w:r>
              <w:rPr>
                <w:rFonts w:hint="eastAsia"/>
              </w:rPr>
              <w:t>2</w:t>
            </w:r>
            <w:r>
              <w:rPr>
                <w:rFonts w:hint="eastAsia"/>
              </w:rPr>
              <w:t>、以上任</w:t>
            </w:r>
            <w:proofErr w:type="gramStart"/>
            <w:r>
              <w:rPr>
                <w:rFonts w:hint="eastAsia"/>
              </w:rPr>
              <w:t>一</w:t>
            </w:r>
            <w:proofErr w:type="gramEnd"/>
            <w:r>
              <w:rPr>
                <w:rFonts w:hint="eastAsia"/>
              </w:rPr>
              <w:t>条件不满足，</w:t>
            </w:r>
            <w:r>
              <w:rPr>
                <w:rFonts w:hint="eastAsia"/>
              </w:rPr>
              <w:t xml:space="preserve">                               </w:t>
            </w:r>
            <w:r>
              <w:rPr>
                <w:rFonts w:hint="eastAsia"/>
              </w:rPr>
              <w:t>差额</w:t>
            </w:r>
            <w:r>
              <w:rPr>
                <w:rFonts w:hint="eastAsia"/>
              </w:rPr>
              <w:t>20%</w:t>
            </w:r>
            <w:r>
              <w:rPr>
                <w:rFonts w:hint="eastAsia"/>
              </w:rPr>
              <w:t>或成交价全额</w:t>
            </w:r>
            <w:r>
              <w:rPr>
                <w:rFonts w:hint="eastAsia"/>
              </w:rPr>
              <w:t>1%</w:t>
            </w:r>
          </w:p>
          <w:p w:rsidR="00BD66B8" w:rsidRDefault="00185F02">
            <w:r>
              <w:rPr>
                <w:rFonts w:hint="eastAsia"/>
              </w:rPr>
              <w:t>（注：</w:t>
            </w:r>
            <w:r>
              <w:rPr>
                <w:rFonts w:hint="eastAsia"/>
              </w:rPr>
              <w:t>1</w:t>
            </w:r>
            <w:r>
              <w:rPr>
                <w:rFonts w:hint="eastAsia"/>
              </w:rPr>
              <w:t>、是否满</w:t>
            </w:r>
            <w:r>
              <w:rPr>
                <w:rFonts w:hint="eastAsia"/>
              </w:rPr>
              <w:t>5</w:t>
            </w:r>
            <w:r>
              <w:rPr>
                <w:rFonts w:hint="eastAsia"/>
              </w:rPr>
              <w:t>年自出让方房屋买卖合同签订之日起算；</w:t>
            </w:r>
            <w:r>
              <w:rPr>
                <w:rFonts w:hint="eastAsia"/>
              </w:rPr>
              <w:t>2</w:t>
            </w:r>
            <w:r>
              <w:rPr>
                <w:rFonts w:hint="eastAsia"/>
              </w:rPr>
              <w:t>、能提供完整、准确的房屋原值凭证的，按差额的</w:t>
            </w:r>
            <w:r>
              <w:rPr>
                <w:rFonts w:hint="eastAsia"/>
              </w:rPr>
              <w:t>20%</w:t>
            </w:r>
            <w:r>
              <w:rPr>
                <w:rFonts w:hint="eastAsia"/>
              </w:rPr>
              <w:t>计税，不能提供的，按成交价全额</w:t>
            </w:r>
            <w:r>
              <w:rPr>
                <w:rFonts w:hint="eastAsia"/>
              </w:rPr>
              <w:t>1%</w:t>
            </w:r>
            <w:r>
              <w:rPr>
                <w:rFonts w:hint="eastAsia"/>
              </w:rPr>
              <w:t>征税；</w:t>
            </w:r>
            <w:r>
              <w:rPr>
                <w:rFonts w:hint="eastAsia"/>
              </w:rPr>
              <w:t>3</w:t>
            </w:r>
            <w:r>
              <w:rPr>
                <w:rFonts w:hint="eastAsia"/>
              </w:rPr>
              <w:t>、预售</w:t>
            </w:r>
            <w:proofErr w:type="gramStart"/>
            <w:r>
              <w:rPr>
                <w:rFonts w:hint="eastAsia"/>
              </w:rPr>
              <w:t>房按照</w:t>
            </w:r>
            <w:proofErr w:type="gramEnd"/>
            <w:r>
              <w:rPr>
                <w:rFonts w:hint="eastAsia"/>
              </w:rPr>
              <w:t>差额的</w:t>
            </w:r>
            <w:r>
              <w:rPr>
                <w:rFonts w:hint="eastAsia"/>
              </w:rPr>
              <w:t>20%</w:t>
            </w:r>
            <w:r>
              <w:rPr>
                <w:rFonts w:hint="eastAsia"/>
              </w:rPr>
              <w:t>计税；</w:t>
            </w:r>
            <w:r>
              <w:rPr>
                <w:rFonts w:hint="eastAsia"/>
              </w:rPr>
              <w:t>4</w:t>
            </w:r>
            <w:r>
              <w:rPr>
                <w:rFonts w:hint="eastAsia"/>
              </w:rPr>
              <w:t>、唯一住房的</w:t>
            </w:r>
            <w:r>
              <w:rPr>
                <w:rFonts w:hint="eastAsia"/>
              </w:rPr>
              <w:lastRenderedPageBreak/>
              <w:t>认定范围为杭州主城区内。萧山、余杭、富阳等地“唯一住房”的认定标准请咨询当地住房管理部门。</w:t>
            </w:r>
            <w:r>
              <w:rPr>
                <w:rFonts w:hint="eastAsia"/>
              </w:rPr>
              <w:t>)</w:t>
            </w:r>
          </w:p>
        </w:tc>
        <w:tc>
          <w:tcPr>
            <w:tcW w:w="96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lastRenderedPageBreak/>
              <w:t>无</w:t>
            </w:r>
          </w:p>
        </w:tc>
        <w:tc>
          <w:tcPr>
            <w:tcW w:w="5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无</w:t>
            </w:r>
          </w:p>
        </w:tc>
      </w:tr>
      <w:tr w:rsidR="00BD66B8">
        <w:trPr>
          <w:trHeight w:val="2653"/>
          <w:jc w:val="center"/>
        </w:trPr>
        <w:tc>
          <w:tcPr>
            <w:tcW w:w="631" w:type="dxa"/>
            <w:vMerge/>
            <w:tcBorders>
              <w:top w:val="single" w:sz="4" w:space="0" w:color="000000"/>
              <w:left w:val="single" w:sz="4" w:space="0" w:color="000000"/>
              <w:bottom w:val="single" w:sz="4" w:space="0" w:color="000000"/>
              <w:right w:val="single" w:sz="4" w:space="0" w:color="000000"/>
            </w:tcBorders>
            <w:vAlign w:val="center"/>
          </w:tcPr>
          <w:p w:rsidR="00BD66B8" w:rsidRDefault="00BD66B8"/>
        </w:tc>
        <w:tc>
          <w:tcPr>
            <w:tcW w:w="68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个人</w:t>
            </w:r>
          </w:p>
        </w:tc>
        <w:tc>
          <w:tcPr>
            <w:tcW w:w="62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企业</w:t>
            </w:r>
          </w:p>
        </w:tc>
        <w:tc>
          <w:tcPr>
            <w:tcW w:w="17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1</w:t>
            </w:r>
            <w:r>
              <w:rPr>
                <w:rFonts w:hint="eastAsia"/>
              </w:rPr>
              <w:t>、唯一住房：</w:t>
            </w:r>
          </w:p>
          <w:p w:rsidR="00BD66B8" w:rsidRDefault="00185F02">
            <w:r>
              <w:rPr>
                <w:rFonts w:hint="eastAsia"/>
              </w:rPr>
              <w:t>90m</w:t>
            </w:r>
            <w:r>
              <w:rPr>
                <w:rFonts w:hint="eastAsia"/>
              </w:rPr>
              <w:t>²及下；</w:t>
            </w:r>
            <w:r>
              <w:rPr>
                <w:rFonts w:hint="eastAsia"/>
              </w:rPr>
              <w:t>1%</w:t>
            </w:r>
          </w:p>
          <w:p w:rsidR="00BD66B8" w:rsidRDefault="00185F02">
            <w:r>
              <w:rPr>
                <w:rFonts w:hint="eastAsia"/>
              </w:rPr>
              <w:t>90m</w:t>
            </w:r>
            <w:r>
              <w:rPr>
                <w:rFonts w:hint="eastAsia"/>
              </w:rPr>
              <w:t>²以上</w:t>
            </w:r>
            <w:r>
              <w:rPr>
                <w:rFonts w:hint="eastAsia"/>
              </w:rPr>
              <w:t>:1.5%</w:t>
            </w:r>
          </w:p>
          <w:p w:rsidR="00BD66B8" w:rsidRDefault="00185F02">
            <w:r>
              <w:rPr>
                <w:rFonts w:hint="eastAsia"/>
              </w:rPr>
              <w:t>2</w:t>
            </w:r>
            <w:r>
              <w:rPr>
                <w:rFonts w:hint="eastAsia"/>
              </w:rPr>
              <w:t>、第二套改善性住房：</w:t>
            </w:r>
          </w:p>
          <w:p w:rsidR="00BD66B8" w:rsidRDefault="00185F02">
            <w:r>
              <w:rPr>
                <w:rFonts w:hint="eastAsia"/>
              </w:rPr>
              <w:t>90m</w:t>
            </w:r>
            <w:r>
              <w:rPr>
                <w:rFonts w:hint="eastAsia"/>
              </w:rPr>
              <w:t>²及下</w:t>
            </w:r>
            <w:r>
              <w:rPr>
                <w:rFonts w:hint="eastAsia"/>
              </w:rPr>
              <w:t>:1%</w:t>
            </w:r>
          </w:p>
          <w:p w:rsidR="00BD66B8" w:rsidRDefault="00185F02">
            <w:r>
              <w:rPr>
                <w:rFonts w:hint="eastAsia"/>
              </w:rPr>
              <w:t>90m</w:t>
            </w:r>
            <w:r>
              <w:rPr>
                <w:rFonts w:hint="eastAsia"/>
              </w:rPr>
              <w:t>²以上</w:t>
            </w:r>
            <w:r>
              <w:rPr>
                <w:rFonts w:hint="eastAsia"/>
              </w:rPr>
              <w:t xml:space="preserve">:2%  </w:t>
            </w:r>
          </w:p>
          <w:p w:rsidR="00BD66B8" w:rsidRDefault="00185F02">
            <w:r>
              <w:rPr>
                <w:rFonts w:hint="eastAsia"/>
              </w:rPr>
              <w:t>其他：</w:t>
            </w:r>
            <w:r>
              <w:rPr>
                <w:rFonts w:hint="eastAsia"/>
              </w:rPr>
              <w:t>3%</w:t>
            </w:r>
          </w:p>
        </w:tc>
        <w:tc>
          <w:tcPr>
            <w:tcW w:w="88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无</w:t>
            </w:r>
          </w:p>
        </w:tc>
        <w:tc>
          <w:tcPr>
            <w:tcW w:w="10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差额</w:t>
            </w:r>
            <w:r>
              <w:rPr>
                <w:rFonts w:hint="eastAsia"/>
              </w:rPr>
              <w:t>5.6%</w:t>
            </w:r>
          </w:p>
        </w:tc>
        <w:tc>
          <w:tcPr>
            <w:tcW w:w="12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无</w:t>
            </w:r>
          </w:p>
        </w:tc>
        <w:tc>
          <w:tcPr>
            <w:tcW w:w="96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成交价</w:t>
            </w:r>
            <w:r>
              <w:rPr>
                <w:rFonts w:hint="eastAsia"/>
              </w:rPr>
              <w:t>*5%</w:t>
            </w:r>
            <w:r>
              <w:rPr>
                <w:rFonts w:hint="eastAsia"/>
              </w:rPr>
              <w:t>或（转让收入</w:t>
            </w:r>
            <w:r>
              <w:rPr>
                <w:rFonts w:hint="eastAsia"/>
              </w:rPr>
              <w:t>-</w:t>
            </w:r>
            <w:r>
              <w:rPr>
                <w:rFonts w:hint="eastAsia"/>
              </w:rPr>
              <w:t>扣除项目金额）</w:t>
            </w:r>
            <w:r>
              <w:rPr>
                <w:rFonts w:hint="eastAsia"/>
              </w:rPr>
              <w:t>*</w:t>
            </w:r>
            <w:r>
              <w:rPr>
                <w:rFonts w:hint="eastAsia"/>
              </w:rPr>
              <w:t>四级超额累进税率</w:t>
            </w:r>
          </w:p>
        </w:tc>
        <w:tc>
          <w:tcPr>
            <w:tcW w:w="5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0.05%</w:t>
            </w:r>
          </w:p>
        </w:tc>
      </w:tr>
      <w:tr w:rsidR="00BD66B8">
        <w:trPr>
          <w:trHeight w:val="2010"/>
          <w:jc w:val="center"/>
        </w:trPr>
        <w:tc>
          <w:tcPr>
            <w:tcW w:w="631" w:type="dxa"/>
            <w:vMerge/>
            <w:tcBorders>
              <w:top w:val="single" w:sz="4" w:space="0" w:color="000000"/>
              <w:left w:val="single" w:sz="4" w:space="0" w:color="000000"/>
              <w:bottom w:val="single" w:sz="4" w:space="0" w:color="000000"/>
              <w:right w:val="single" w:sz="4" w:space="0" w:color="000000"/>
            </w:tcBorders>
            <w:vAlign w:val="center"/>
          </w:tcPr>
          <w:p w:rsidR="00BD66B8" w:rsidRDefault="00BD66B8"/>
        </w:tc>
        <w:tc>
          <w:tcPr>
            <w:tcW w:w="68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企业</w:t>
            </w:r>
          </w:p>
        </w:tc>
        <w:tc>
          <w:tcPr>
            <w:tcW w:w="62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个人</w:t>
            </w:r>
          </w:p>
        </w:tc>
        <w:tc>
          <w:tcPr>
            <w:tcW w:w="17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3%</w:t>
            </w:r>
          </w:p>
        </w:tc>
        <w:tc>
          <w:tcPr>
            <w:tcW w:w="88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0.05%</w:t>
            </w:r>
          </w:p>
        </w:tc>
        <w:tc>
          <w:tcPr>
            <w:tcW w:w="10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1</w:t>
            </w:r>
            <w:r>
              <w:rPr>
                <w:rFonts w:hint="eastAsia"/>
              </w:rPr>
              <w:t>、满两年，免征；</w:t>
            </w:r>
          </w:p>
          <w:p w:rsidR="00BD66B8" w:rsidRDefault="00185F02">
            <w:r>
              <w:rPr>
                <w:rFonts w:hint="eastAsia"/>
              </w:rPr>
              <w:t>2</w:t>
            </w:r>
            <w:r>
              <w:rPr>
                <w:rFonts w:hint="eastAsia"/>
              </w:rPr>
              <w:t>、未满，成交价全额</w:t>
            </w:r>
            <w:r>
              <w:rPr>
                <w:rFonts w:hint="eastAsia"/>
              </w:rPr>
              <w:t>5.6%</w:t>
            </w:r>
          </w:p>
        </w:tc>
        <w:tc>
          <w:tcPr>
            <w:tcW w:w="12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1</w:t>
            </w:r>
            <w:r>
              <w:rPr>
                <w:rFonts w:hint="eastAsia"/>
              </w:rPr>
              <w:t>、满五年唯一住房；免征</w:t>
            </w:r>
          </w:p>
          <w:p w:rsidR="00BD66B8" w:rsidRDefault="00185F02">
            <w:r>
              <w:rPr>
                <w:rFonts w:hint="eastAsia"/>
              </w:rPr>
              <w:t>2</w:t>
            </w:r>
            <w:r>
              <w:rPr>
                <w:rFonts w:hint="eastAsia"/>
              </w:rPr>
              <w:t>、以上任</w:t>
            </w:r>
            <w:proofErr w:type="gramStart"/>
            <w:r>
              <w:rPr>
                <w:rFonts w:hint="eastAsia"/>
              </w:rPr>
              <w:t>一</w:t>
            </w:r>
            <w:proofErr w:type="gramEnd"/>
            <w:r>
              <w:rPr>
                <w:rFonts w:hint="eastAsia"/>
              </w:rPr>
              <w:t>条件不满足，</w:t>
            </w:r>
            <w:r>
              <w:rPr>
                <w:rFonts w:hint="eastAsia"/>
              </w:rPr>
              <w:t xml:space="preserve">                               </w:t>
            </w:r>
            <w:r>
              <w:rPr>
                <w:rFonts w:hint="eastAsia"/>
              </w:rPr>
              <w:t>差额</w:t>
            </w:r>
            <w:r>
              <w:rPr>
                <w:rFonts w:hint="eastAsia"/>
              </w:rPr>
              <w:t>20%</w:t>
            </w:r>
            <w:r>
              <w:rPr>
                <w:rFonts w:hint="eastAsia"/>
              </w:rPr>
              <w:t>或成交价全额</w:t>
            </w:r>
            <w:r>
              <w:rPr>
                <w:rFonts w:hint="eastAsia"/>
              </w:rPr>
              <w:t>1%</w:t>
            </w:r>
          </w:p>
        </w:tc>
        <w:tc>
          <w:tcPr>
            <w:tcW w:w="96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无</w:t>
            </w:r>
          </w:p>
        </w:tc>
        <w:tc>
          <w:tcPr>
            <w:tcW w:w="5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无</w:t>
            </w:r>
          </w:p>
        </w:tc>
      </w:tr>
      <w:tr w:rsidR="00BD66B8">
        <w:trPr>
          <w:trHeight w:val="1367"/>
          <w:jc w:val="center"/>
        </w:trPr>
        <w:tc>
          <w:tcPr>
            <w:tcW w:w="631" w:type="dxa"/>
            <w:vMerge/>
            <w:tcBorders>
              <w:top w:val="single" w:sz="4" w:space="0" w:color="000000"/>
              <w:left w:val="single" w:sz="4" w:space="0" w:color="000000"/>
              <w:bottom w:val="single" w:sz="4" w:space="0" w:color="000000"/>
              <w:right w:val="single" w:sz="4" w:space="0" w:color="000000"/>
            </w:tcBorders>
            <w:vAlign w:val="center"/>
          </w:tcPr>
          <w:p w:rsidR="00BD66B8" w:rsidRDefault="00BD66B8"/>
        </w:tc>
        <w:tc>
          <w:tcPr>
            <w:tcW w:w="68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企业</w:t>
            </w:r>
          </w:p>
        </w:tc>
        <w:tc>
          <w:tcPr>
            <w:tcW w:w="62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企业</w:t>
            </w:r>
          </w:p>
        </w:tc>
        <w:tc>
          <w:tcPr>
            <w:tcW w:w="17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3%</w:t>
            </w:r>
          </w:p>
        </w:tc>
        <w:tc>
          <w:tcPr>
            <w:tcW w:w="88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0.05%</w:t>
            </w:r>
          </w:p>
        </w:tc>
        <w:tc>
          <w:tcPr>
            <w:tcW w:w="10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差额</w:t>
            </w:r>
            <w:r>
              <w:rPr>
                <w:rFonts w:hint="eastAsia"/>
              </w:rPr>
              <w:t>5.6%</w:t>
            </w:r>
          </w:p>
        </w:tc>
        <w:tc>
          <w:tcPr>
            <w:tcW w:w="12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无</w:t>
            </w:r>
          </w:p>
        </w:tc>
        <w:tc>
          <w:tcPr>
            <w:tcW w:w="96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成交价</w:t>
            </w:r>
            <w:r>
              <w:rPr>
                <w:rFonts w:hint="eastAsia"/>
              </w:rPr>
              <w:t>*5%</w:t>
            </w:r>
            <w:r>
              <w:rPr>
                <w:rFonts w:hint="eastAsia"/>
              </w:rPr>
              <w:t>或（转让收入</w:t>
            </w:r>
            <w:r>
              <w:rPr>
                <w:rFonts w:hint="eastAsia"/>
              </w:rPr>
              <w:t>-</w:t>
            </w:r>
            <w:r>
              <w:rPr>
                <w:rFonts w:hint="eastAsia"/>
              </w:rPr>
              <w:t>扣除项目金额）</w:t>
            </w:r>
            <w:r>
              <w:rPr>
                <w:rFonts w:hint="eastAsia"/>
              </w:rPr>
              <w:t>*</w:t>
            </w:r>
            <w:r>
              <w:rPr>
                <w:rFonts w:hint="eastAsia"/>
              </w:rPr>
              <w:t>四级超额累进税率</w:t>
            </w:r>
          </w:p>
        </w:tc>
        <w:tc>
          <w:tcPr>
            <w:tcW w:w="5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0.05%</w:t>
            </w:r>
          </w:p>
        </w:tc>
      </w:tr>
      <w:tr w:rsidR="00BD66B8">
        <w:trPr>
          <w:trHeight w:val="1367"/>
          <w:jc w:val="center"/>
        </w:trPr>
        <w:tc>
          <w:tcPr>
            <w:tcW w:w="631"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非住宅</w:t>
            </w:r>
          </w:p>
        </w:tc>
        <w:tc>
          <w:tcPr>
            <w:tcW w:w="68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个人</w:t>
            </w:r>
          </w:p>
        </w:tc>
        <w:tc>
          <w:tcPr>
            <w:tcW w:w="62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个人</w:t>
            </w:r>
          </w:p>
        </w:tc>
        <w:tc>
          <w:tcPr>
            <w:tcW w:w="17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3%</w:t>
            </w:r>
          </w:p>
        </w:tc>
        <w:tc>
          <w:tcPr>
            <w:tcW w:w="88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0.05%</w:t>
            </w:r>
          </w:p>
        </w:tc>
        <w:tc>
          <w:tcPr>
            <w:tcW w:w="10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差额</w:t>
            </w:r>
            <w:r>
              <w:rPr>
                <w:rFonts w:hint="eastAsia"/>
              </w:rPr>
              <w:t>5.6%</w:t>
            </w:r>
          </w:p>
        </w:tc>
        <w:tc>
          <w:tcPr>
            <w:tcW w:w="12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差额</w:t>
            </w:r>
            <w:r>
              <w:rPr>
                <w:rFonts w:hint="eastAsia"/>
              </w:rPr>
              <w:t>20%</w:t>
            </w:r>
            <w:r>
              <w:rPr>
                <w:rFonts w:hint="eastAsia"/>
              </w:rPr>
              <w:t>或成交价全额</w:t>
            </w:r>
            <w:r>
              <w:rPr>
                <w:rFonts w:hint="eastAsia"/>
              </w:rPr>
              <w:t>1%</w:t>
            </w:r>
          </w:p>
        </w:tc>
        <w:tc>
          <w:tcPr>
            <w:tcW w:w="96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成交价</w:t>
            </w:r>
            <w:r>
              <w:rPr>
                <w:rFonts w:hint="eastAsia"/>
              </w:rPr>
              <w:t>*5%</w:t>
            </w:r>
            <w:r>
              <w:rPr>
                <w:rFonts w:hint="eastAsia"/>
              </w:rPr>
              <w:t>或（转让收入</w:t>
            </w:r>
            <w:r>
              <w:rPr>
                <w:rFonts w:hint="eastAsia"/>
              </w:rPr>
              <w:t>-</w:t>
            </w:r>
            <w:r>
              <w:rPr>
                <w:rFonts w:hint="eastAsia"/>
              </w:rPr>
              <w:t>扣除项目金额）</w:t>
            </w:r>
            <w:r>
              <w:rPr>
                <w:rFonts w:hint="eastAsia"/>
              </w:rPr>
              <w:t>*</w:t>
            </w:r>
            <w:r>
              <w:rPr>
                <w:rFonts w:hint="eastAsia"/>
              </w:rPr>
              <w:t>四级超额累进税率</w:t>
            </w:r>
          </w:p>
        </w:tc>
        <w:tc>
          <w:tcPr>
            <w:tcW w:w="5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0.05%</w:t>
            </w:r>
          </w:p>
        </w:tc>
      </w:tr>
      <w:tr w:rsidR="00BD66B8">
        <w:trPr>
          <w:trHeight w:val="1367"/>
          <w:jc w:val="center"/>
        </w:trPr>
        <w:tc>
          <w:tcPr>
            <w:tcW w:w="631" w:type="dxa"/>
            <w:vMerge/>
            <w:tcBorders>
              <w:top w:val="single" w:sz="4" w:space="0" w:color="000000"/>
              <w:left w:val="single" w:sz="4" w:space="0" w:color="000000"/>
              <w:bottom w:val="single" w:sz="4" w:space="0" w:color="000000"/>
              <w:right w:val="single" w:sz="4" w:space="0" w:color="000000"/>
            </w:tcBorders>
            <w:vAlign w:val="center"/>
          </w:tcPr>
          <w:p w:rsidR="00BD66B8" w:rsidRDefault="00BD66B8"/>
        </w:tc>
        <w:tc>
          <w:tcPr>
            <w:tcW w:w="68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个人</w:t>
            </w:r>
          </w:p>
        </w:tc>
        <w:tc>
          <w:tcPr>
            <w:tcW w:w="62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企业</w:t>
            </w:r>
          </w:p>
        </w:tc>
        <w:tc>
          <w:tcPr>
            <w:tcW w:w="17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3%</w:t>
            </w:r>
          </w:p>
        </w:tc>
        <w:tc>
          <w:tcPr>
            <w:tcW w:w="88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0.05%</w:t>
            </w:r>
          </w:p>
        </w:tc>
        <w:tc>
          <w:tcPr>
            <w:tcW w:w="10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差额</w:t>
            </w:r>
            <w:r>
              <w:rPr>
                <w:rFonts w:hint="eastAsia"/>
              </w:rPr>
              <w:t>5.6%</w:t>
            </w:r>
          </w:p>
        </w:tc>
        <w:tc>
          <w:tcPr>
            <w:tcW w:w="12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无</w:t>
            </w:r>
          </w:p>
        </w:tc>
        <w:tc>
          <w:tcPr>
            <w:tcW w:w="96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成交价</w:t>
            </w:r>
            <w:r>
              <w:rPr>
                <w:rFonts w:hint="eastAsia"/>
              </w:rPr>
              <w:t>*5%</w:t>
            </w:r>
            <w:r>
              <w:rPr>
                <w:rFonts w:hint="eastAsia"/>
              </w:rPr>
              <w:t>或（转让收入</w:t>
            </w:r>
            <w:r>
              <w:rPr>
                <w:rFonts w:hint="eastAsia"/>
              </w:rPr>
              <w:t>-</w:t>
            </w:r>
            <w:r>
              <w:rPr>
                <w:rFonts w:hint="eastAsia"/>
              </w:rPr>
              <w:t>扣除项目金额）</w:t>
            </w:r>
            <w:r>
              <w:rPr>
                <w:rFonts w:hint="eastAsia"/>
              </w:rPr>
              <w:t>*</w:t>
            </w:r>
            <w:r>
              <w:rPr>
                <w:rFonts w:hint="eastAsia"/>
              </w:rPr>
              <w:t>四级超额累进税率</w:t>
            </w:r>
          </w:p>
        </w:tc>
        <w:tc>
          <w:tcPr>
            <w:tcW w:w="5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0.05%</w:t>
            </w:r>
          </w:p>
        </w:tc>
      </w:tr>
      <w:tr w:rsidR="00BD66B8">
        <w:trPr>
          <w:trHeight w:val="1367"/>
          <w:jc w:val="center"/>
        </w:trPr>
        <w:tc>
          <w:tcPr>
            <w:tcW w:w="631" w:type="dxa"/>
            <w:vMerge/>
            <w:tcBorders>
              <w:top w:val="single" w:sz="4" w:space="0" w:color="000000"/>
              <w:left w:val="single" w:sz="4" w:space="0" w:color="000000"/>
              <w:bottom w:val="single" w:sz="4" w:space="0" w:color="000000"/>
              <w:right w:val="single" w:sz="4" w:space="0" w:color="000000"/>
            </w:tcBorders>
            <w:vAlign w:val="center"/>
          </w:tcPr>
          <w:p w:rsidR="00BD66B8" w:rsidRDefault="00BD66B8"/>
        </w:tc>
        <w:tc>
          <w:tcPr>
            <w:tcW w:w="68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企业</w:t>
            </w:r>
          </w:p>
        </w:tc>
        <w:tc>
          <w:tcPr>
            <w:tcW w:w="62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个人</w:t>
            </w:r>
          </w:p>
        </w:tc>
        <w:tc>
          <w:tcPr>
            <w:tcW w:w="17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3%</w:t>
            </w:r>
          </w:p>
        </w:tc>
        <w:tc>
          <w:tcPr>
            <w:tcW w:w="88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0.05%</w:t>
            </w:r>
          </w:p>
        </w:tc>
        <w:tc>
          <w:tcPr>
            <w:tcW w:w="10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差额</w:t>
            </w:r>
            <w:r>
              <w:rPr>
                <w:rFonts w:hint="eastAsia"/>
              </w:rPr>
              <w:t>5.6%</w:t>
            </w:r>
          </w:p>
        </w:tc>
        <w:tc>
          <w:tcPr>
            <w:tcW w:w="12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差额</w:t>
            </w:r>
            <w:r>
              <w:rPr>
                <w:rFonts w:hint="eastAsia"/>
              </w:rPr>
              <w:t>20%</w:t>
            </w:r>
            <w:r>
              <w:rPr>
                <w:rFonts w:hint="eastAsia"/>
              </w:rPr>
              <w:t>或成交价全额</w:t>
            </w:r>
            <w:r>
              <w:rPr>
                <w:rFonts w:hint="eastAsia"/>
              </w:rPr>
              <w:t>1%</w:t>
            </w:r>
          </w:p>
        </w:tc>
        <w:tc>
          <w:tcPr>
            <w:tcW w:w="96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成交价</w:t>
            </w:r>
            <w:r>
              <w:rPr>
                <w:rFonts w:hint="eastAsia"/>
              </w:rPr>
              <w:t>*5%</w:t>
            </w:r>
            <w:r>
              <w:rPr>
                <w:rFonts w:hint="eastAsia"/>
              </w:rPr>
              <w:t>或（转让收入</w:t>
            </w:r>
            <w:r>
              <w:rPr>
                <w:rFonts w:hint="eastAsia"/>
              </w:rPr>
              <w:t>-</w:t>
            </w:r>
            <w:r>
              <w:rPr>
                <w:rFonts w:hint="eastAsia"/>
              </w:rPr>
              <w:t>扣除项目金额）</w:t>
            </w:r>
            <w:r>
              <w:rPr>
                <w:rFonts w:hint="eastAsia"/>
              </w:rPr>
              <w:t>*</w:t>
            </w:r>
            <w:r>
              <w:rPr>
                <w:rFonts w:hint="eastAsia"/>
              </w:rPr>
              <w:t>四级超额累进税率</w:t>
            </w:r>
          </w:p>
        </w:tc>
        <w:tc>
          <w:tcPr>
            <w:tcW w:w="5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0.05%</w:t>
            </w:r>
          </w:p>
        </w:tc>
      </w:tr>
      <w:tr w:rsidR="00BD66B8">
        <w:trPr>
          <w:trHeight w:val="1388"/>
          <w:jc w:val="center"/>
        </w:trPr>
        <w:tc>
          <w:tcPr>
            <w:tcW w:w="631" w:type="dxa"/>
            <w:vMerge/>
            <w:tcBorders>
              <w:top w:val="single" w:sz="4" w:space="0" w:color="000000"/>
              <w:left w:val="single" w:sz="4" w:space="0" w:color="000000"/>
              <w:bottom w:val="single" w:sz="4" w:space="0" w:color="000000"/>
              <w:right w:val="single" w:sz="4" w:space="0" w:color="000000"/>
            </w:tcBorders>
            <w:vAlign w:val="center"/>
          </w:tcPr>
          <w:p w:rsidR="00BD66B8" w:rsidRDefault="00BD66B8"/>
        </w:tc>
        <w:tc>
          <w:tcPr>
            <w:tcW w:w="68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企业</w:t>
            </w:r>
          </w:p>
        </w:tc>
        <w:tc>
          <w:tcPr>
            <w:tcW w:w="62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pPr>
              <w:jc w:val="center"/>
            </w:pPr>
            <w:r>
              <w:rPr>
                <w:rFonts w:hint="eastAsia"/>
              </w:rPr>
              <w:t>企业</w:t>
            </w:r>
          </w:p>
        </w:tc>
        <w:tc>
          <w:tcPr>
            <w:tcW w:w="17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3%</w:t>
            </w:r>
          </w:p>
        </w:tc>
        <w:tc>
          <w:tcPr>
            <w:tcW w:w="88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0.05%</w:t>
            </w:r>
          </w:p>
        </w:tc>
        <w:tc>
          <w:tcPr>
            <w:tcW w:w="10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差额</w:t>
            </w:r>
            <w:r>
              <w:rPr>
                <w:rFonts w:hint="eastAsia"/>
              </w:rPr>
              <w:t>5.6%</w:t>
            </w:r>
          </w:p>
        </w:tc>
        <w:tc>
          <w:tcPr>
            <w:tcW w:w="121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无</w:t>
            </w:r>
          </w:p>
        </w:tc>
        <w:tc>
          <w:tcPr>
            <w:tcW w:w="96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成交价</w:t>
            </w:r>
            <w:r>
              <w:rPr>
                <w:rFonts w:hint="eastAsia"/>
              </w:rPr>
              <w:t>*5%</w:t>
            </w:r>
            <w:r>
              <w:rPr>
                <w:rFonts w:hint="eastAsia"/>
              </w:rPr>
              <w:t>或（转让收入</w:t>
            </w:r>
            <w:r>
              <w:rPr>
                <w:rFonts w:hint="eastAsia"/>
              </w:rPr>
              <w:t>-</w:t>
            </w:r>
            <w:r>
              <w:rPr>
                <w:rFonts w:hint="eastAsia"/>
              </w:rPr>
              <w:t>扣除项目金额）</w:t>
            </w:r>
            <w:r>
              <w:rPr>
                <w:rFonts w:hint="eastAsia"/>
              </w:rPr>
              <w:t>*</w:t>
            </w:r>
            <w:r>
              <w:rPr>
                <w:rFonts w:hint="eastAsia"/>
              </w:rPr>
              <w:t>四级超额累进税率</w:t>
            </w:r>
          </w:p>
        </w:tc>
        <w:tc>
          <w:tcPr>
            <w:tcW w:w="56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D66B8" w:rsidRDefault="00185F02">
            <w:r>
              <w:rPr>
                <w:rFonts w:hint="eastAsia"/>
              </w:rPr>
              <w:t>0.05%</w:t>
            </w:r>
          </w:p>
        </w:tc>
      </w:tr>
    </w:tbl>
    <w:p w:rsidR="00BD66B8" w:rsidRDefault="00BD66B8"/>
    <w:p w:rsidR="00BD66B8" w:rsidRDefault="00BD66B8">
      <w:pPr>
        <w:rPr>
          <w:rFonts w:ascii="微软雅黑" w:hAnsi="微软雅黑"/>
          <w:sz w:val="24"/>
        </w:rPr>
      </w:pPr>
    </w:p>
    <w:p w:rsidR="00BD66B8" w:rsidRDefault="00BD66B8">
      <w:pPr>
        <w:spacing w:line="600" w:lineRule="exact"/>
        <w:rPr>
          <w:rFonts w:ascii="微软雅黑" w:hAnsi="微软雅黑"/>
          <w:b/>
          <w:bCs/>
          <w:sz w:val="24"/>
        </w:rPr>
      </w:pPr>
    </w:p>
    <w:p w:rsidR="00BD66B8" w:rsidRDefault="00BD66B8">
      <w:pPr>
        <w:ind w:firstLineChars="2450" w:firstLine="5880"/>
        <w:rPr>
          <w:rFonts w:ascii="微软雅黑" w:hAnsi="微软雅黑" w:cstheme="minorEastAsia"/>
          <w:sz w:val="24"/>
        </w:rPr>
      </w:pPr>
    </w:p>
    <w:p w:rsidR="00BD66B8" w:rsidRDefault="00185F02">
      <w:pPr>
        <w:jc w:val="center"/>
        <w:rPr>
          <w:rFonts w:ascii="微软雅黑" w:hAnsi="微软雅黑" w:cstheme="minorEastAsia"/>
          <w:sz w:val="24"/>
        </w:rPr>
      </w:pPr>
      <w:r>
        <w:rPr>
          <w:rFonts w:ascii="微软雅黑" w:hAnsi="微软雅黑" w:cstheme="minorEastAsia" w:hint="eastAsia"/>
          <w:sz w:val="24"/>
        </w:rPr>
        <w:t xml:space="preserve">                                                浙江胜可隆律师事务所</w:t>
      </w:r>
    </w:p>
    <w:p w:rsidR="00BD66B8" w:rsidRDefault="00185F02">
      <w:pPr>
        <w:jc w:val="right"/>
        <w:rPr>
          <w:rFonts w:ascii="微软雅黑" w:hAnsi="微软雅黑"/>
          <w:sz w:val="24"/>
        </w:rPr>
      </w:pPr>
      <w:r>
        <w:rPr>
          <w:rFonts w:ascii="微软雅黑" w:hAnsi="微软雅黑" w:cstheme="minorEastAsia" w:hint="eastAsia"/>
          <w:sz w:val="24"/>
        </w:rPr>
        <w:t>报告出具日期：2018年2月28日</w:t>
      </w:r>
    </w:p>
    <w:p w:rsidR="00BD66B8" w:rsidRDefault="00BD66B8">
      <w:pPr>
        <w:rPr>
          <w:rFonts w:ascii="微软雅黑" w:hAnsi="微软雅黑"/>
        </w:rPr>
      </w:pPr>
    </w:p>
    <w:p w:rsidR="00BD66B8" w:rsidRDefault="00BD66B8">
      <w:pPr>
        <w:rPr>
          <w:rFonts w:ascii="微软雅黑" w:hAnsi="微软雅黑"/>
        </w:rPr>
      </w:pPr>
    </w:p>
    <w:p w:rsidR="00BD66B8" w:rsidRDefault="00BD66B8"/>
    <w:sectPr w:rsidR="00BD66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DF4" w:rsidRDefault="00B60DF4">
      <w:r>
        <w:separator/>
      </w:r>
    </w:p>
  </w:endnote>
  <w:endnote w:type="continuationSeparator" w:id="0">
    <w:p w:rsidR="00B60DF4" w:rsidRDefault="00B6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20000287" w:usb1="288F0000" w:usb2="00000016" w:usb3="00000000" w:csb0="0016019D"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6B8" w:rsidRDefault="00185F02">
    <w:pPr>
      <w:pStyle w:val="a5"/>
      <w:jc w:val="cente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0</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t>4</w:t>
      </w:r>
    </w:fldSimple>
    <w:r>
      <w:rPr>
        <w:rFonts w:hint="eastAsia"/>
      </w:rPr>
      <w:t xml:space="preserve">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DF4" w:rsidRDefault="00B60DF4">
      <w:r>
        <w:separator/>
      </w:r>
    </w:p>
  </w:footnote>
  <w:footnote w:type="continuationSeparator" w:id="0">
    <w:p w:rsidR="00B60DF4" w:rsidRDefault="00B60D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6B8" w:rsidRDefault="00B60DF4">
    <w:pPr>
      <w:pStyle w:val="a7"/>
      <w:jc w:val="left"/>
    </w:pPr>
    <w:r>
      <w:pict>
        <v:shapetype id="_x0000_t202" coordsize="21600,21600" o:spt="202" path="m,l,21600r21600,l21600,xe">
          <v:stroke joinstyle="miter"/>
          <v:path gradientshapeok="t" o:connecttype="rect"/>
        </v:shapetype>
        <v:shape id="_x0000_s3073" type="#_x0000_t202" style="position:absolute;margin-left:250.8pt;margin-top:10.2pt;width:160.6pt;height:43.1pt;z-index:251658240;mso-width-relative:page;mso-height-relative:page" stroked="f">
          <v:textbox>
            <w:txbxContent>
              <w:p w:rsidR="00BD66B8" w:rsidRDefault="00185F02">
                <w:pPr>
                  <w:ind w:firstLineChars="400" w:firstLine="840"/>
                  <w:rPr>
                    <w:b/>
                    <w:bCs/>
                    <w:sz w:val="21"/>
                    <w:szCs w:val="21"/>
                  </w:rPr>
                </w:pPr>
                <w:r>
                  <w:rPr>
                    <w:rFonts w:hint="eastAsia"/>
                    <w:b/>
                    <w:bCs/>
                    <w:sz w:val="21"/>
                    <w:szCs w:val="21"/>
                  </w:rPr>
                  <w:t>本报告内容仅供参考！</w:t>
                </w:r>
              </w:p>
              <w:p w:rsidR="00BD66B8" w:rsidRDefault="00185F02">
                <w:pPr>
                  <w:rPr>
                    <w:b/>
                    <w:bCs/>
                    <w:sz w:val="21"/>
                    <w:szCs w:val="21"/>
                  </w:rPr>
                </w:pPr>
                <w:r>
                  <w:rPr>
                    <w:rFonts w:hint="eastAsia"/>
                    <w:b/>
                    <w:bCs/>
                    <w:sz w:val="21"/>
                    <w:szCs w:val="21"/>
                  </w:rPr>
                  <w:t>未经付费购买，不得进行传播！</w:t>
                </w:r>
              </w:p>
            </w:txbxContent>
          </v:textbox>
        </v:shape>
      </w:pic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707" o:spid="_x0000_s3074" type="#_x0000_t136" style="position:absolute;margin-left:0;margin-top:0;width:504.1pt;height:83.15pt;rotation:-45;z-index:-251656192;mso-position-horizontal:center;mso-position-horizontal-relative:margin;mso-position-vertical:center;mso-position-vertical-relative:margin;mso-width-relative:page;mso-height-relative:page" fillcolor="silver" stroked="f">
          <v:fill opacity="30146f"/>
          <v:textpath style="font-family:&quot;微软雅黑&quot;" trim="t" fitpath="t" string="版权所有严禁外传"/>
          <o:lock v:ext="edit" aspectratio="t"/>
          <w10:wrap anchorx="margin" anchory="margin"/>
        </v:shape>
      </w:pict>
    </w:r>
    <w:r w:rsidR="00185F02">
      <w:rPr>
        <w:noProof/>
      </w:rPr>
      <w:drawing>
        <wp:anchor distT="0" distB="0" distL="114300" distR="114300" simplePos="0" relativeHeight="251659264" behindDoc="1" locked="0" layoutInCell="1" allowOverlap="1">
          <wp:simplePos x="0" y="0"/>
          <wp:positionH relativeFrom="margin">
            <wp:posOffset>4383405</wp:posOffset>
          </wp:positionH>
          <wp:positionV relativeFrom="margin">
            <wp:posOffset>3794760</wp:posOffset>
          </wp:positionV>
          <wp:extent cx="1577340" cy="1546225"/>
          <wp:effectExtent l="0" t="0" r="3810" b="15875"/>
          <wp:wrapNone/>
          <wp:docPr id="2" name="WordPictureWatermark36300" descr="印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36300" descr="印章"/>
                  <pic:cNvPicPr>
                    <a:picLocks noChangeAspect="1"/>
                  </pic:cNvPicPr>
                </pic:nvPicPr>
                <pic:blipFill>
                  <a:blip r:embed="rId1">
                    <a:lum bright="69998" contrast="-70001"/>
                  </a:blip>
                  <a:stretch>
                    <a:fillRect/>
                  </a:stretch>
                </pic:blipFill>
                <pic:spPr>
                  <a:xfrm>
                    <a:off x="0" y="0"/>
                    <a:ext cx="1577340" cy="1546225"/>
                  </a:xfrm>
                  <a:prstGeom prst="rect">
                    <a:avLst/>
                  </a:prstGeom>
                  <a:noFill/>
                  <a:ln w="9525">
                    <a:noFill/>
                  </a:ln>
                </pic:spPr>
              </pic:pic>
            </a:graphicData>
          </a:graphic>
        </wp:anchor>
      </w:drawing>
    </w:r>
    <w:r w:rsidR="00185F02">
      <w:rPr>
        <w:rFonts w:hint="eastAsia"/>
        <w:noProof/>
      </w:rPr>
      <w:drawing>
        <wp:inline distT="0" distB="0" distL="114300" distR="114300">
          <wp:extent cx="2286000" cy="774065"/>
          <wp:effectExtent l="0" t="0" r="0" b="6985"/>
          <wp:docPr id="8" name="图片 8" descr="页眉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页眉logo"/>
                  <pic:cNvPicPr>
                    <a:picLocks noChangeAspect="1"/>
                  </pic:cNvPicPr>
                </pic:nvPicPr>
                <pic:blipFill>
                  <a:blip r:embed="rId2"/>
                  <a:stretch>
                    <a:fillRect/>
                  </a:stretch>
                </pic:blipFill>
                <pic:spPr>
                  <a:xfrm>
                    <a:off x="0" y="0"/>
                    <a:ext cx="2286000" cy="774065"/>
                  </a:xfrm>
                  <a:prstGeom prst="rect">
                    <a:avLst/>
                  </a:prstGeom>
                  <a:noFill/>
                  <a:ln w="9525">
                    <a:noFill/>
                  </a:ln>
                </pic:spPr>
              </pic:pic>
            </a:graphicData>
          </a:graphic>
        </wp:inline>
      </w:drawing>
    </w:r>
    <w:r w:rsidR="00185F02">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658FB5"/>
    <w:multiLevelType w:val="singleLevel"/>
    <w:tmpl w:val="BA658FB5"/>
    <w:lvl w:ilvl="0">
      <w:start w:val="1"/>
      <w:numFmt w:val="bullet"/>
      <w:lvlText w:val=""/>
      <w:lvlJc w:val="left"/>
      <w:pPr>
        <w:ind w:left="420" w:hanging="420"/>
      </w:pPr>
      <w:rPr>
        <w:rFonts w:ascii="Wingdings" w:hAnsi="Wingdings" w:hint="default"/>
      </w:rPr>
    </w:lvl>
  </w:abstractNum>
  <w:abstractNum w:abstractNumId="1" w15:restartNumberingAfterBreak="0">
    <w:nsid w:val="CEC38D62"/>
    <w:multiLevelType w:val="multilevel"/>
    <w:tmpl w:val="CEC38D62"/>
    <w:lvl w:ilvl="0">
      <w:start w:val="1"/>
      <w:numFmt w:val="chineseCounting"/>
      <w:pStyle w:val="1"/>
      <w:lvlText w:val="%1、"/>
      <w:lvlJc w:val="left"/>
      <w:pPr>
        <w:ind w:left="420" w:hanging="420"/>
      </w:pPr>
      <w:rPr>
        <w:rFonts w:ascii="宋体" w:eastAsia="微软雅黑" w:hAnsi="宋体" w:cs="宋体" w:hint="eastAsia"/>
        <w:b/>
      </w:rPr>
    </w:lvl>
    <w:lvl w:ilvl="1">
      <w:start w:val="1"/>
      <w:numFmt w:val="bullet"/>
      <w:lvlText w:val=""/>
      <w:lvlJc w:val="left"/>
      <w:pPr>
        <w:ind w:left="840" w:hanging="420"/>
      </w:pPr>
      <w:rPr>
        <w:rFonts w:ascii="宋体" w:eastAsia="宋体" w:hAnsi="宋体" w:cs="宋体" w:hint="eastAsia"/>
      </w:rPr>
    </w:lvl>
    <w:lvl w:ilvl="2">
      <w:start w:val="1"/>
      <w:numFmt w:val="bullet"/>
      <w:lvlText w:val=""/>
      <w:lvlJc w:val="left"/>
      <w:pPr>
        <w:ind w:left="1260" w:hanging="420"/>
      </w:pPr>
      <w:rPr>
        <w:rFonts w:ascii="宋体" w:eastAsia="宋体" w:hAnsi="宋体" w:cs="宋体" w:hint="eastAsia"/>
      </w:rPr>
    </w:lvl>
    <w:lvl w:ilvl="3">
      <w:start w:val="1"/>
      <w:numFmt w:val="bullet"/>
      <w:lvlText w:val=""/>
      <w:lvlJc w:val="left"/>
      <w:pPr>
        <w:ind w:left="1680" w:hanging="420"/>
      </w:pPr>
      <w:rPr>
        <w:rFonts w:ascii="宋体" w:eastAsia="宋体" w:hAnsi="宋体" w:cs="宋体" w:hint="eastAsia"/>
      </w:rPr>
    </w:lvl>
    <w:lvl w:ilvl="4">
      <w:start w:val="1"/>
      <w:numFmt w:val="bullet"/>
      <w:lvlText w:val=""/>
      <w:lvlJc w:val="left"/>
      <w:pPr>
        <w:ind w:left="2100" w:hanging="420"/>
      </w:pPr>
      <w:rPr>
        <w:rFonts w:ascii="宋体" w:eastAsia="宋体" w:hAnsi="宋体" w:cs="宋体" w:hint="eastAsia"/>
      </w:rPr>
    </w:lvl>
    <w:lvl w:ilvl="5">
      <w:start w:val="1"/>
      <w:numFmt w:val="bullet"/>
      <w:lvlText w:val=""/>
      <w:lvlJc w:val="left"/>
      <w:pPr>
        <w:ind w:left="2520" w:hanging="420"/>
      </w:pPr>
      <w:rPr>
        <w:rFonts w:ascii="宋体" w:eastAsia="宋体" w:hAnsi="宋体" w:cs="宋体" w:hint="eastAsia"/>
      </w:rPr>
    </w:lvl>
    <w:lvl w:ilvl="6">
      <w:start w:val="1"/>
      <w:numFmt w:val="bullet"/>
      <w:lvlText w:val=""/>
      <w:lvlJc w:val="left"/>
      <w:pPr>
        <w:ind w:left="2940" w:hanging="420"/>
      </w:pPr>
      <w:rPr>
        <w:rFonts w:ascii="宋体" w:eastAsia="宋体" w:hAnsi="宋体" w:cs="宋体" w:hint="eastAsia"/>
      </w:rPr>
    </w:lvl>
    <w:lvl w:ilvl="7">
      <w:start w:val="1"/>
      <w:numFmt w:val="bullet"/>
      <w:lvlText w:val=""/>
      <w:lvlJc w:val="left"/>
      <w:pPr>
        <w:ind w:left="3360" w:hanging="420"/>
      </w:pPr>
      <w:rPr>
        <w:rFonts w:ascii="宋体" w:eastAsia="宋体" w:hAnsi="宋体" w:cs="宋体" w:hint="eastAsia"/>
      </w:rPr>
    </w:lvl>
    <w:lvl w:ilvl="8">
      <w:start w:val="1"/>
      <w:numFmt w:val="bullet"/>
      <w:lvlText w:val=""/>
      <w:lvlJc w:val="left"/>
      <w:pPr>
        <w:ind w:left="3780" w:hanging="420"/>
      </w:pPr>
      <w:rPr>
        <w:rFonts w:ascii="宋体" w:eastAsia="宋体" w:hAnsi="宋体" w:cs="宋体" w:hint="eastAsia"/>
      </w:rPr>
    </w:lvl>
  </w:abstractNum>
  <w:abstractNum w:abstractNumId="2" w15:restartNumberingAfterBreak="0">
    <w:nsid w:val="49C70F12"/>
    <w:multiLevelType w:val="multilevel"/>
    <w:tmpl w:val="49C70F12"/>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5A3D3B82"/>
    <w:multiLevelType w:val="singleLevel"/>
    <w:tmpl w:val="5A3D3B82"/>
    <w:lvl w:ilvl="0">
      <w:start w:val="1"/>
      <w:numFmt w:val="bullet"/>
      <w:lvlText w:val=""/>
      <w:lvlJc w:val="left"/>
      <w:pPr>
        <w:ind w:left="420" w:hanging="420"/>
      </w:pPr>
      <w:rPr>
        <w:rFonts w:ascii="Wingdings" w:hAnsi="Wingdings" w:hint="default"/>
      </w:rPr>
    </w:lvl>
  </w:abstractNum>
  <w:abstractNum w:abstractNumId="4" w15:restartNumberingAfterBreak="0">
    <w:nsid w:val="5A3EA6CC"/>
    <w:multiLevelType w:val="multilevel"/>
    <w:tmpl w:val="5A3EA6CC"/>
    <w:lvl w:ilvl="0">
      <w:start w:val="1"/>
      <w:numFmt w:val="bullet"/>
      <w:pStyle w:val="2"/>
      <w:lvlText w:val=""/>
      <w:lvlJc w:val="left"/>
      <w:pPr>
        <w:ind w:left="425" w:hanging="425"/>
      </w:pPr>
      <w:rPr>
        <w:rFonts w:ascii="Wingdings" w:eastAsia="宋体" w:hAnsi="Wingdings" w:cs="Wingdings" w:hint="default"/>
      </w:rPr>
    </w:lvl>
    <w:lvl w:ilvl="1">
      <w:start w:val="1"/>
      <w:numFmt w:val="decimal"/>
      <w:lvlText w:val=".%2."/>
      <w:lvlJc w:val="left"/>
      <w:pPr>
        <w:ind w:left="567" w:hanging="567"/>
      </w:pPr>
      <w:rPr>
        <w:rFonts w:ascii="宋体" w:eastAsia="宋体" w:hAnsi="宋体" w:cs="宋体" w:hint="eastAsia"/>
      </w:rPr>
    </w:lvl>
    <w:lvl w:ilvl="2">
      <w:start w:val="1"/>
      <w:numFmt w:val="bullet"/>
      <w:pStyle w:val="3"/>
      <w:lvlText w:val=""/>
      <w:lvlJc w:val="left"/>
      <w:pPr>
        <w:ind w:left="709" w:hanging="709"/>
      </w:pPr>
      <w:rPr>
        <w:rFonts w:ascii="Wingdings" w:hAnsi="Wingdings" w:cs="Wingdings" w:hint="default"/>
      </w:rPr>
    </w:lvl>
    <w:lvl w:ilvl="3">
      <w:start w:val="1"/>
      <w:numFmt w:val="decimal"/>
      <w:lvlText w:val=".%2..%4."/>
      <w:lvlJc w:val="left"/>
      <w:pPr>
        <w:ind w:left="850" w:hanging="850"/>
      </w:pPr>
    </w:lvl>
    <w:lvl w:ilvl="4">
      <w:start w:val="1"/>
      <w:numFmt w:val="decimal"/>
      <w:lvlText w:val=".%2..%4.%5."/>
      <w:lvlJc w:val="left"/>
      <w:pPr>
        <w:ind w:left="991" w:hanging="991"/>
      </w:pPr>
    </w:lvl>
    <w:lvl w:ilvl="5">
      <w:start w:val="1"/>
      <w:numFmt w:val="decimal"/>
      <w:lvlText w:val=".%2..%4.%5.%6."/>
      <w:lvlJc w:val="left"/>
      <w:pPr>
        <w:ind w:left="1134" w:hanging="1134"/>
      </w:pPr>
    </w:lvl>
    <w:lvl w:ilvl="6">
      <w:start w:val="1"/>
      <w:numFmt w:val="decimal"/>
      <w:lvlText w:val=".%2..%4.%5.%6.%7."/>
      <w:lvlJc w:val="left"/>
      <w:pPr>
        <w:ind w:left="1275" w:hanging="1275"/>
      </w:pPr>
    </w:lvl>
    <w:lvl w:ilvl="7">
      <w:start w:val="1"/>
      <w:numFmt w:val="decimal"/>
      <w:lvlText w:val=".%2..%4.%5.%6.%7.%8."/>
      <w:lvlJc w:val="left"/>
      <w:pPr>
        <w:ind w:left="1418" w:hanging="1418"/>
      </w:pPr>
    </w:lvl>
    <w:lvl w:ilvl="8">
      <w:start w:val="1"/>
      <w:numFmt w:val="decimal"/>
      <w:lvlText w:val=".%2..%4.%5.%6.%7.%8.%9."/>
      <w:lvlJc w:val="left"/>
      <w:pPr>
        <w:ind w:left="1558" w:hanging="1558"/>
      </w:pPr>
    </w:lvl>
  </w:abstractNum>
  <w:num w:numId="1">
    <w:abstractNumId w:val="1"/>
  </w:num>
  <w:num w:numId="2">
    <w:abstractNumId w:val="4"/>
    <w:lvlOverride w:ilvl="1">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formsDesign/>
  <w:defaultTabStop w:val="420"/>
  <w:drawingGridVerticalSpacing w:val="156"/>
  <w:noPunctuationKerning/>
  <w:characterSpacingControl w:val="compressPunctuation"/>
  <w:hdrShapeDefaults>
    <o:shapedefaults v:ext="edit" spidmax="3075"/>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00015289"/>
    <w:rsid w:val="00172A27"/>
    <w:rsid w:val="00185F02"/>
    <w:rsid w:val="004B1C09"/>
    <w:rsid w:val="004C1D8A"/>
    <w:rsid w:val="005B5748"/>
    <w:rsid w:val="0062299F"/>
    <w:rsid w:val="00677508"/>
    <w:rsid w:val="006802C8"/>
    <w:rsid w:val="00717598"/>
    <w:rsid w:val="007262DA"/>
    <w:rsid w:val="007B693A"/>
    <w:rsid w:val="007D0845"/>
    <w:rsid w:val="0082507E"/>
    <w:rsid w:val="009A4773"/>
    <w:rsid w:val="009E1188"/>
    <w:rsid w:val="009F604D"/>
    <w:rsid w:val="00AA42E7"/>
    <w:rsid w:val="00B60DF4"/>
    <w:rsid w:val="00BB68FA"/>
    <w:rsid w:val="00BD66B8"/>
    <w:rsid w:val="00C046C0"/>
    <w:rsid w:val="00CE21C4"/>
    <w:rsid w:val="00EF250F"/>
    <w:rsid w:val="00F12DB4"/>
    <w:rsid w:val="01DA46BA"/>
    <w:rsid w:val="02B1284A"/>
    <w:rsid w:val="02BA7573"/>
    <w:rsid w:val="04554C01"/>
    <w:rsid w:val="04A061D8"/>
    <w:rsid w:val="08D878D1"/>
    <w:rsid w:val="0A652B06"/>
    <w:rsid w:val="0BAA05F1"/>
    <w:rsid w:val="0C3E5BD7"/>
    <w:rsid w:val="11BE2053"/>
    <w:rsid w:val="14713DD5"/>
    <w:rsid w:val="149551ED"/>
    <w:rsid w:val="19D62AD8"/>
    <w:rsid w:val="1D1E58ED"/>
    <w:rsid w:val="209A7CC5"/>
    <w:rsid w:val="21AD6494"/>
    <w:rsid w:val="21E46048"/>
    <w:rsid w:val="22CD5CD2"/>
    <w:rsid w:val="23495943"/>
    <w:rsid w:val="238B48BF"/>
    <w:rsid w:val="23E85F5E"/>
    <w:rsid w:val="25124C02"/>
    <w:rsid w:val="271571C4"/>
    <w:rsid w:val="288F150D"/>
    <w:rsid w:val="297D2DFB"/>
    <w:rsid w:val="2B6925F8"/>
    <w:rsid w:val="2E5F48A8"/>
    <w:rsid w:val="2E7E14F7"/>
    <w:rsid w:val="30692A70"/>
    <w:rsid w:val="30777919"/>
    <w:rsid w:val="317E1614"/>
    <w:rsid w:val="348600B5"/>
    <w:rsid w:val="37436CF8"/>
    <w:rsid w:val="3B4A4809"/>
    <w:rsid w:val="3BEF6FF4"/>
    <w:rsid w:val="3C5B1504"/>
    <w:rsid w:val="3DCD0ED5"/>
    <w:rsid w:val="3E78381B"/>
    <w:rsid w:val="3FBD5049"/>
    <w:rsid w:val="44B96721"/>
    <w:rsid w:val="455F25B0"/>
    <w:rsid w:val="46643C54"/>
    <w:rsid w:val="473E72C3"/>
    <w:rsid w:val="48F11805"/>
    <w:rsid w:val="4AFC02F0"/>
    <w:rsid w:val="4B7522C1"/>
    <w:rsid w:val="4D7E1869"/>
    <w:rsid w:val="4E593222"/>
    <w:rsid w:val="4F466E20"/>
    <w:rsid w:val="52197615"/>
    <w:rsid w:val="52372B19"/>
    <w:rsid w:val="58DA6050"/>
    <w:rsid w:val="593C64EF"/>
    <w:rsid w:val="5A7F582C"/>
    <w:rsid w:val="5D1C27CC"/>
    <w:rsid w:val="5F4207BE"/>
    <w:rsid w:val="62D475B0"/>
    <w:rsid w:val="69FB1931"/>
    <w:rsid w:val="6D3B78A3"/>
    <w:rsid w:val="701E06C0"/>
    <w:rsid w:val="70984E59"/>
    <w:rsid w:val="7A0E46B5"/>
    <w:rsid w:val="7B754B73"/>
    <w:rsid w:val="7D681EBE"/>
    <w:rsid w:val="7FA76A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
    </o:shapelayout>
  </w:shapeDefaults>
  <w:decimalSymbol w:val="."/>
  <w:listSeparator w:val=","/>
  <w14:docId w14:val="4C7FBE5D"/>
  <w15:docId w15:val="{7DB9C0E5-0700-4023-8A8D-95F8A4DBE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0" w:unhideWhenUsed="1" w:qFormat="1"/>
    <w:lsdException w:name="toc 3" w:semiHidden="1" w:uiPriority="0"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eastAsia="微软雅黑" w:hAnsi="Calibri"/>
      <w:kern w:val="2"/>
      <w:sz w:val="18"/>
      <w:szCs w:val="24"/>
    </w:rPr>
  </w:style>
  <w:style w:type="paragraph" w:styleId="1">
    <w:name w:val="heading 1"/>
    <w:basedOn w:val="a"/>
    <w:next w:val="2"/>
    <w:link w:val="10"/>
    <w:qFormat/>
    <w:pPr>
      <w:keepNext/>
      <w:keepLines/>
      <w:numPr>
        <w:numId w:val="1"/>
      </w:numPr>
      <w:spacing w:before="340" w:after="330" w:line="576" w:lineRule="auto"/>
      <w:outlineLvl w:val="0"/>
    </w:pPr>
    <w:rPr>
      <w:b/>
      <w:bCs/>
      <w:color w:val="A36C3F"/>
      <w:kern w:val="44"/>
      <w:sz w:val="28"/>
      <w:szCs w:val="28"/>
    </w:rPr>
  </w:style>
  <w:style w:type="paragraph" w:styleId="2">
    <w:name w:val="heading 2"/>
    <w:basedOn w:val="1"/>
    <w:next w:val="a"/>
    <w:link w:val="20"/>
    <w:unhideWhenUsed/>
    <w:qFormat/>
    <w:pPr>
      <w:numPr>
        <w:numId w:val="2"/>
      </w:numPr>
      <w:spacing w:before="100" w:beforeAutospacing="1" w:after="100" w:afterAutospacing="1"/>
      <w:jc w:val="left"/>
      <w:outlineLvl w:val="1"/>
    </w:pPr>
    <w:rPr>
      <w:rFonts w:ascii="宋体" w:hAnsi="宋体"/>
      <w:kern w:val="0"/>
      <w:sz w:val="24"/>
      <w:szCs w:val="24"/>
    </w:rPr>
  </w:style>
  <w:style w:type="paragraph" w:styleId="3">
    <w:name w:val="heading 3"/>
    <w:basedOn w:val="2"/>
    <w:next w:val="a"/>
    <w:link w:val="30"/>
    <w:unhideWhenUsed/>
    <w:qFormat/>
    <w:pPr>
      <w:numPr>
        <w:ilvl w:val="2"/>
      </w:numPr>
      <w:tabs>
        <w:tab w:val="left" w:pos="840"/>
        <w:tab w:val="left" w:pos="1260"/>
      </w:tabs>
      <w:spacing w:before="260" w:beforeAutospacing="0" w:after="260" w:afterAutospacing="0" w:line="412" w:lineRule="auto"/>
      <w:ind w:left="839" w:hanging="420"/>
      <w:outlineLvl w:val="2"/>
    </w:pPr>
  </w:style>
  <w:style w:type="paragraph" w:styleId="4">
    <w:name w:val="heading 4"/>
    <w:basedOn w:val="3"/>
    <w:next w:val="a"/>
    <w:uiPriority w:val="9"/>
    <w:unhideWhenUsed/>
    <w:qFormat/>
    <w:pPr>
      <w:spacing w:line="372" w:lineRule="auto"/>
      <w:outlineLvl w:val="3"/>
    </w:pPr>
    <w:rPr>
      <w:rFonts w:ascii="Arial" w:hAnsi="Arial"/>
      <w:sz w:val="21"/>
    </w:rPr>
  </w:style>
  <w:style w:type="paragraph" w:styleId="5">
    <w:name w:val="heading 5"/>
    <w:basedOn w:val="a"/>
    <w:next w:val="a"/>
    <w:uiPriority w:val="9"/>
    <w:unhideWhenUsed/>
    <w:qFormat/>
    <w:pPr>
      <w:keepNext/>
      <w:keepLines/>
      <w:spacing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semiHidden/>
    <w:unhideWhenUsed/>
    <w:qFormat/>
    <w:pPr>
      <w:ind w:leftChars="400" w:left="840"/>
    </w:pPr>
  </w:style>
  <w:style w:type="paragraph" w:styleId="a3">
    <w:name w:val="Balloon Text"/>
    <w:basedOn w:val="a"/>
    <w:link w:val="a4"/>
    <w:uiPriority w:val="99"/>
    <w:semiHidden/>
    <w:unhideWhenUsed/>
    <w:qFormat/>
    <w:rPr>
      <w:szCs w:val="18"/>
    </w:rPr>
  </w:style>
  <w:style w:type="paragraph" w:styleId="a5">
    <w:name w:val="footer"/>
    <w:basedOn w:val="a"/>
    <w:link w:val="a6"/>
    <w:uiPriority w:val="99"/>
    <w:semiHidden/>
    <w:unhideWhenUsed/>
    <w:qFormat/>
    <w:pPr>
      <w:tabs>
        <w:tab w:val="center" w:pos="4153"/>
        <w:tab w:val="right" w:pos="8306"/>
      </w:tabs>
      <w:snapToGrid w:val="0"/>
      <w:jc w:val="left"/>
    </w:pPr>
    <w:rPr>
      <w:szCs w:val="18"/>
    </w:rPr>
  </w:style>
  <w:style w:type="paragraph" w:styleId="a7">
    <w:name w:val="header"/>
    <w:basedOn w:val="a"/>
    <w:link w:val="a8"/>
    <w:uiPriority w:val="99"/>
    <w:semiHidden/>
    <w:unhideWhenUsed/>
    <w:qFormat/>
    <w:pPr>
      <w:pBdr>
        <w:bottom w:val="single" w:sz="6" w:space="1" w:color="auto"/>
      </w:pBdr>
      <w:tabs>
        <w:tab w:val="center" w:pos="4153"/>
        <w:tab w:val="right" w:pos="8306"/>
      </w:tabs>
      <w:snapToGrid w:val="0"/>
      <w:jc w:val="center"/>
    </w:pPr>
    <w:rPr>
      <w:szCs w:val="18"/>
    </w:rPr>
  </w:style>
  <w:style w:type="paragraph" w:styleId="11">
    <w:name w:val="toc 1"/>
    <w:basedOn w:val="a"/>
    <w:next w:val="a"/>
    <w:uiPriority w:val="39"/>
    <w:semiHidden/>
    <w:unhideWhenUsed/>
    <w:qFormat/>
    <w:rPr>
      <w:rFonts w:asciiTheme="minorHAnsi" w:hAnsiTheme="minorHAnsi" w:cs="微软雅黑"/>
      <w:b/>
      <w:color w:val="262626" w:themeColor="text1" w:themeTint="D9"/>
      <w:sz w:val="28"/>
    </w:rPr>
  </w:style>
  <w:style w:type="paragraph" w:styleId="40">
    <w:name w:val="toc 4"/>
    <w:basedOn w:val="a"/>
    <w:next w:val="a"/>
    <w:uiPriority w:val="39"/>
    <w:semiHidden/>
    <w:unhideWhenUsed/>
    <w:qFormat/>
    <w:pPr>
      <w:ind w:leftChars="600" w:left="1260"/>
    </w:pPr>
  </w:style>
  <w:style w:type="paragraph" w:styleId="21">
    <w:name w:val="toc 2"/>
    <w:basedOn w:val="a"/>
    <w:next w:val="a"/>
    <w:semiHidden/>
    <w:unhideWhenUsed/>
    <w:qFormat/>
    <w:pPr>
      <w:ind w:leftChars="200" w:left="420"/>
    </w:pPr>
  </w:style>
  <w:style w:type="paragraph" w:styleId="a9">
    <w:name w:val="Normal (Web)"/>
    <w:basedOn w:val="a"/>
    <w:unhideWhenUsed/>
    <w:qFormat/>
    <w:pPr>
      <w:spacing w:before="100" w:beforeAutospacing="1" w:after="100" w:afterAutospacing="1"/>
      <w:jc w:val="left"/>
    </w:pPr>
    <w:rPr>
      <w:kern w:val="0"/>
      <w:sz w:val="24"/>
    </w:rPr>
  </w:style>
  <w:style w:type="character" w:styleId="aa">
    <w:name w:val="Strong"/>
    <w:qFormat/>
    <w:rPr>
      <w:b/>
    </w:rPr>
  </w:style>
  <w:style w:type="character" w:styleId="ab">
    <w:name w:val="Hyperlink"/>
    <w:basedOn w:val="a0"/>
    <w:semiHidden/>
    <w:unhideWhenUsed/>
    <w:qFormat/>
    <w:rPr>
      <w:color w:val="0000FF" w:themeColor="hyperlink"/>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semiHidden/>
    <w:qFormat/>
    <w:rPr>
      <w:rFonts w:ascii="宋体" w:eastAsia="宋体" w:hAnsi="宋体" w:cs="Times New Roman"/>
      <w:b/>
      <w:bCs/>
      <w:color w:val="A36C3F"/>
      <w:kern w:val="0"/>
      <w:sz w:val="24"/>
      <w:szCs w:val="24"/>
    </w:rPr>
  </w:style>
  <w:style w:type="character" w:customStyle="1" w:styleId="10">
    <w:name w:val="标题 1 字符"/>
    <w:basedOn w:val="a0"/>
    <w:link w:val="1"/>
    <w:qFormat/>
    <w:rPr>
      <w:rFonts w:ascii="Calibri" w:eastAsia="微软雅黑" w:hAnsi="Calibri" w:cs="Times New Roman"/>
      <w:b/>
      <w:bCs/>
      <w:color w:val="A36C3F"/>
      <w:kern w:val="44"/>
      <w:sz w:val="28"/>
      <w:szCs w:val="28"/>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character" w:customStyle="1" w:styleId="20">
    <w:name w:val="标题 2 字符"/>
    <w:basedOn w:val="a0"/>
    <w:link w:val="2"/>
    <w:qFormat/>
    <w:rPr>
      <w:rFonts w:ascii="宋体" w:eastAsia="微软雅黑" w:hAnsi="宋体" w:cs="Times New Roman"/>
      <w:b/>
      <w:bCs/>
      <w:color w:val="A36C3F"/>
      <w:kern w:val="0"/>
      <w:sz w:val="24"/>
      <w:szCs w:val="24"/>
    </w:rPr>
  </w:style>
  <w:style w:type="paragraph" w:styleId="ad">
    <w:name w:val="List Paragraph"/>
    <w:basedOn w:val="a"/>
    <w:uiPriority w:val="34"/>
    <w:qFormat/>
    <w:pPr>
      <w:ind w:firstLineChars="200" w:firstLine="420"/>
    </w:pPr>
  </w:style>
  <w:style w:type="paragraph" w:customStyle="1" w:styleId="ae">
    <w:name w:val="送拍机构："/>
    <w:basedOn w:val="a"/>
    <w:qFormat/>
    <w:rPr>
      <w:rFonts w:ascii="等线" w:eastAsia="等线 Light" w:hAnsi="等线" w:cs="宋体"/>
      <w:bCs/>
      <w:color w:val="A36C3F"/>
      <w:sz w:val="24"/>
    </w:rPr>
  </w:style>
  <w:style w:type="character" w:customStyle="1" w:styleId="Char">
    <w:name w:val="正文（表格） Char"/>
    <w:link w:val="af"/>
    <w:qFormat/>
    <w:locked/>
    <w:rPr>
      <w:rFonts w:ascii="Calibri" w:eastAsia="宋体" w:hAnsi="Calibri" w:cs="Times New Roman"/>
      <w:sz w:val="15"/>
      <w:szCs w:val="24"/>
    </w:rPr>
  </w:style>
  <w:style w:type="paragraph" w:customStyle="1" w:styleId="af">
    <w:name w:val="正文（表格）"/>
    <w:basedOn w:val="a"/>
    <w:link w:val="Char"/>
    <w:qFormat/>
    <w:rPr>
      <w:sz w:val="15"/>
    </w:rPr>
  </w:style>
  <w:style w:type="paragraph" w:customStyle="1" w:styleId="af0">
    <w:name w:val="重要提示"/>
    <w:basedOn w:val="a"/>
    <w:qFormat/>
    <w:rPr>
      <w:color w:val="4F81BD" w:themeColor="accent1"/>
    </w:rPr>
  </w:style>
  <w:style w:type="paragraph" w:customStyle="1" w:styleId="af1">
    <w:name w:val="房产类、债权类（报告类型）"/>
    <w:basedOn w:val="a"/>
    <w:qFormat/>
    <w:rPr>
      <w:b/>
      <w:sz w:val="32"/>
    </w:rPr>
  </w:style>
  <w:style w:type="character" w:customStyle="1" w:styleId="af2">
    <w:name w:val="标的物、送拍机构、时间和网站"/>
    <w:basedOn w:val="a0"/>
    <w:qFormat/>
    <w:rPr>
      <w:rFonts w:ascii="Times New Roman" w:eastAsia="宋体" w:hAnsi="Times New Roman" w:cs="Times New Roman" w:hint="default"/>
      <w:color w:val="3B3838"/>
      <w:sz w:val="24"/>
    </w:rPr>
  </w:style>
  <w:style w:type="character" w:customStyle="1" w:styleId="af3">
    <w:name w:val="律师独立调查报告"/>
    <w:basedOn w:val="a0"/>
    <w:qFormat/>
    <w:rPr>
      <w:rFonts w:ascii="Times New Roman" w:eastAsia="宋体" w:hAnsi="Times New Roman" w:cs="Times New Roman" w:hint="default"/>
      <w:b/>
      <w:color w:val="000000" w:themeColor="text1"/>
      <w:sz w:val="44"/>
    </w:rPr>
  </w:style>
  <w:style w:type="character" w:customStyle="1" w:styleId="af4">
    <w:name w:val="产品说明（封面）"/>
    <w:basedOn w:val="a0"/>
    <w:qFormat/>
    <w:rPr>
      <w:rFonts w:ascii="Times New Roman" w:eastAsia="宋体" w:hAnsi="Times New Roman" w:cs="Times New Roman" w:hint="default"/>
      <w:b/>
      <w:color w:val="A36C3F"/>
      <w:sz w:val="18"/>
    </w:rPr>
  </w:style>
  <w:style w:type="character" w:customStyle="1" w:styleId="a4">
    <w:name w:val="批注框文本 字符"/>
    <w:basedOn w:val="a0"/>
    <w:link w:val="a3"/>
    <w:uiPriority w:val="99"/>
    <w:semiHidden/>
    <w:qFormat/>
    <w:rPr>
      <w:rFonts w:ascii="Calibri" w:eastAsia="宋体" w:hAnsi="Calibri" w:cs="Times New Roman"/>
      <w:sz w:val="18"/>
      <w:szCs w:val="18"/>
    </w:rPr>
  </w:style>
  <w:style w:type="character" w:styleId="af5">
    <w:name w:val="Placeholder Text"/>
    <w:basedOn w:val="a0"/>
    <w:uiPriority w:val="99"/>
    <w:semiHidden/>
    <w:rsid w:val="007D08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常规"/>
          <w:gallery w:val="placeholder"/>
        </w:category>
        <w:types>
          <w:type w:val="bbPlcHdr"/>
        </w:types>
        <w:behaviors>
          <w:behavior w:val="content"/>
        </w:behaviors>
        <w:guid w:val="{3D83D385-2921-4D3B-808F-B4BDB96761BC}"/>
      </w:docPartPr>
      <w:docPartBody>
        <w:p w:rsidR="00E07FA5" w:rsidRDefault="006B25AC">
          <w:r w:rsidRPr="00746F4D">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20000287" w:usb1="288F0000" w:usb2="00000016" w:usb3="00000000" w:csb0="0016019D"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AC"/>
    <w:rsid w:val="000E0CC4"/>
    <w:rsid w:val="006B25AC"/>
    <w:rsid w:val="00910EA7"/>
    <w:rsid w:val="00E07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B25A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auctioningItemBean>
  <sellEnd>1970-01-18 22:22:40</sellEnd>
  <sellOrg>临安市人民法院</sellOrg>
  <sellStart>1970-01-18 22:21:14</sellStart>
  <title>临安区青山湖街道白水涧山庄1（1幢120）房产</title>
  <url>https://sf.taobao.com/sf_item/564770946719.htm</url>
  <valuation>305,800</valuation>
</auctioningItemBean>
</file>

<file path=customXml/item2.xml><?xml version="1.0" encoding="utf-8"?>
<s:customData xmlns="http://www.wps.cn/officeDocument/2013/wpsCustomData" xmlns:s="http://www.wps.cn/officeDocument/2013/wpsCustomData">
  <customSectProps>
    <customSectPr/>
    <customSectPr/>
  </customSectProps>
  <customShpExts>
    <customShpInfo spid="_x0000_s4097"/>
    <customShpInfo spid="_x0000_s4098"/>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00843-30FD-44F4-91BD-9A2D0A63C676}">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4DD873F-DA6F-46F2-B75B-E503DDE87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860</Words>
  <Characters>4906</Characters>
  <Application>Microsoft Office Word</Application>
  <DocSecurity>0</DocSecurity>
  <Lines>40</Lines>
  <Paragraphs>11</Paragraphs>
  <ScaleCrop>false</ScaleCrop>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andy wei</cp:lastModifiedBy>
  <cp:revision>7</cp:revision>
  <dcterms:created xsi:type="dcterms:W3CDTF">2018-02-28T06:01:00Z</dcterms:created>
  <dcterms:modified xsi:type="dcterms:W3CDTF">2018-03-08T14:39:00Z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