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2050"/>
          <w:sz w:val="52"/>
        </w:rPr>
        <w:t>极兔速递 · 全球业财中台项目</w:t>
      </w:r>
    </w:p>
    <w:p>
      <w:pPr>
        <w:jc w:val="center"/>
      </w:pPr>
      <w:r>
        <w:rPr>
          <w:color w:val="0078D4"/>
          <w:sz w:val="28"/>
        </w:rPr>
        <w:t>Dynamics 365 Finance &amp; Operations + 微软产品组合适配性分析</w:t>
      </w:r>
    </w:p>
    <w:p>
      <w:pPr>
        <w:jc w:val="center"/>
      </w:pPr>
      <w:r>
        <w:rPr>
          <w:color w:val="605E5C"/>
          <w:sz w:val="20"/>
        </w:rPr>
        <w:t>Microsoft Confidential — 2026 年 4 月 7 日  |  v2.0 含中肯评判</w:t>
      </w:r>
    </w:p>
    <w:p>
      <w:r>
        <w:br w:type="page"/>
      </w:r>
    </w:p>
    <w:p>
      <w:pPr>
        <w:pStyle w:val="Heading1"/>
      </w:pPr>
      <w:r>
        <w:rPr>
          <w:color w:val="002050"/>
        </w:rPr>
        <w:t>目录</w:t>
      </w:r>
    </w:p>
    <w:p>
      <w:r>
        <w:t>一、执行摘要与技术架构评估</w:t>
      </w:r>
    </w:p>
    <w:p>
      <w:r>
        <w:t>二、微软产品组合整体架构</w:t>
      </w:r>
    </w:p>
    <w:p>
      <w:r>
        <w:t>三、应收管理模块适配分析</w:t>
      </w:r>
    </w:p>
    <w:p>
      <w:r>
        <w:t>四、会计引擎适配分析</w:t>
      </w:r>
    </w:p>
    <w:p>
      <w:r>
        <w:t>五、分析引擎适配分析</w:t>
      </w:r>
    </w:p>
    <w:p>
      <w:r>
        <w:t>六、全球化能力分析</w:t>
      </w:r>
    </w:p>
    <w:p>
      <w:r>
        <w:t>七、AI Agent 与 MCP 集成</w:t>
      </w:r>
    </w:p>
    <w:p>
      <w:r>
        <w:t>八、完整适配矩阵</w:t>
      </w:r>
    </w:p>
    <w:p>
      <w:r>
        <w:t>九、差距与风险评估</w:t>
      </w:r>
    </w:p>
    <w:p>
      <w:r>
        <w:t>十、非微软技术栈分析</w:t>
      </w:r>
    </w:p>
    <w:p>
      <w:r>
        <w:t>十一、天象平台深度绑定 — 结构性障碍</w:t>
      </w:r>
    </w:p>
    <w:p>
      <w:r>
        <w:t>十二、海量订单性能 — ERP 定位的本质局限</w:t>
      </w:r>
    </w:p>
    <w:p>
      <w:r>
        <w:t>十三、物流快递行业适配 — D365 的短板</w:t>
      </w:r>
    </w:p>
    <w:p>
      <w:r>
        <w:t>十四、竞品对比 — 中肯竞争力分析</w:t>
      </w:r>
    </w:p>
    <w:p>
      <w:r>
        <w:t>十五、建议实施路线图</w:t>
      </w:r>
    </w:p>
    <w:p>
      <w:r>
        <w:t>十六、中肯评判 — 应标/不应标决策</w:t>
      </w:r>
    </w:p>
    <w:p>
      <w:r>
        <w:br w:type="page"/>
      </w:r>
    </w:p>
    <w:p>
      <w:pPr>
        <w:pStyle w:val="Heading1"/>
      </w:pPr>
      <w:r>
        <w:rPr>
          <w:color w:val="002050"/>
        </w:rPr>
        <w:t>一、执行摘要与技术架构评估</w:t>
      </w:r>
    </w:p>
    <w:p>
      <w:r>
        <w:t>极兔速递（J&amp;T Express）正在寻求建设全球业财中台，覆盖应收管理、会计引擎、分析引擎三大模块，服务于14+国家/地区，日峰值1亿票，年度300亿+。</w:t>
      </w:r>
    </w:p>
    <w:p>
      <w:pPr>
        <w:pStyle w:val="Heading2"/>
      </w:pPr>
      <w:r>
        <w:rPr>
          <w:color w:val="0078D4"/>
        </w:rPr>
        <w:t>功能适配度评分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50" w:val="clear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80"/>
            <w:shd w:fill="002050" w:val="clear"/>
          </w:tcPr>
          <w:p>
            <w:r>
              <w:rPr>
                <w:b/>
                <w:color w:val="FFFFFF"/>
                <w:sz w:val="18"/>
              </w:rPr>
              <w:t>适配度</w:t>
            </w:r>
          </w:p>
        </w:tc>
        <w:tc>
          <w:tcPr>
            <w:tcW w:type="dxa" w:w="2880"/>
            <w:shd w:fill="002050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应收管理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6项完全覆盖，4项部分覆盖（ISV/定制扩展）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会计引擎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9项完全覆盖，1项部分（超大批量需汇聚架构）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分析引擎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Power BI + Fabric + Synapse Link 组合方案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全球化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14国中13国有标准本地化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技术架构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4项不匹配（Java/源码/私有云/数据库）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综合适配度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功能强匹配，技术栈结构性冲突</w:t>
            </w:r>
          </w:p>
        </w:tc>
      </w:tr>
    </w:tbl>
    <w:p>
      <w:pPr>
        <w:pStyle w:val="Heading2"/>
      </w:pPr>
      <w:r>
        <w:rPr>
          <w:color w:val="0078D4"/>
        </w:rPr>
        <w:t>技术架构适配速览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RFP 技术要求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D365 能力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适配度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 Java + 微服务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.NET / X++ / Azure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✘ 不匹配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OData API 可互操作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MySQL/PolarDB/TiDB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SQL Database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✘ 不匹配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SaaS 底层固定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全量源代码交付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Extension 扩展模型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✘ 不匹配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不交付核心源码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私有云 K8s 部署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SaaS / 世纪互联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✘ 不匹配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不支持私有化部署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HDFS/Hive/Doris 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Synapse Link → Data Lake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◐ 部分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可桥接但非原生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HTTPS TLS1.2+ / RBAC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默认支持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● 完全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超越等保三级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弹性伸缩 / 容灾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Auto Scaling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● 完全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99.9%+</w:t>
            </w:r>
          </w:p>
        </w:tc>
      </w:tr>
    </w:tbl>
    <w:p>
      <w:r>
        <w:rPr>
          <w:b/>
          <w:color w:val="D13438"/>
        </w:rPr>
        <w:t>核心结论：</w:t>
      </w:r>
      <w:r>
        <w:t>10项技术要求中 3项完全、3项部分、4项不匹配。不匹配项为天象平台量身定制的硬指标。</w:t>
      </w:r>
    </w:p>
    <w:p>
      <w:r>
        <w:br w:type="page"/>
      </w:r>
    </w:p>
    <w:p>
      <w:pPr>
        <w:pStyle w:val="Heading1"/>
      </w:pPr>
      <w:r>
        <w:rPr>
          <w:color w:val="002050"/>
        </w:rPr>
        <w:t>十一、天象平台深度绑定 — 结构性障碍分析</w:t>
      </w:r>
    </w:p>
    <w:p>
      <w:r>
        <w:rPr>
          <w:b/>
          <w:color w:val="D13438"/>
        </w:rPr>
        <w:t>核心判断：</w:t>
      </w:r>
      <w:r>
        <w:t>RFP 技术标准并非通用供应商筛选标准，而是为天象平台生态量身定制的准入门槛。这意味着评审逻辑是"在天象平台上构建业财系统"，而非"选择最佳业财产品"。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天象平台要求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实质含义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D365可行性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客观评估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微服务 + 天象注册中心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系统以微服务注册到 Nacos/Consul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✘ 不可行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D365 是 SaaS 整体服务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前端适配天象组件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使用天象 UI 组件库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✘ 不可行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D365 有自己的 UI 框架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K8s + 天象集群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部署到私有 K8s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✘ 不可行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SaaS 不支持私有部署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天象监控 Prometheus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接入天象统一监控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◐ 有限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Monitor 可导出指标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天象大数据 HDFS/Doris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财务数据双向同步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◐ 桥接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Synapse Link → ETL 可实现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天象统一权限 IAM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接入天象自有权限体系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◐ 有限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Entra ID 可通过 SAML 联邦</w:t>
            </w:r>
          </w:p>
        </w:tc>
      </w:tr>
    </w:tbl>
    <w:p>
      <w:r>
        <w:t>结论：天象平台要求业财系统成为其"内部模块"，与 D365 独立 SaaS ERP 定位存在根本矛盾。即使功能完全满足，技术评审中也会严重失分。</w:t>
      </w:r>
    </w:p>
    <w:p>
      <w:r>
        <w:br w:type="page"/>
      </w:r>
    </w:p>
    <w:p>
      <w:pPr>
        <w:pStyle w:val="Heading1"/>
      </w:pPr>
      <w:r>
        <w:rPr>
          <w:color w:val="002050"/>
        </w:rPr>
        <w:t>十二、海量订单性能 — ERP 定位的本质局限</w:t>
      </w:r>
    </w:p>
    <w:p>
      <w:r>
        <w:rPr>
          <w:b/>
          <w:color w:val="D13438"/>
        </w:rPr>
        <w:t>直面事实：</w:t>
      </w:r>
      <w:r>
        <w:t>D365 F&amp;O 是企业级 ERP，不是高频交易处理引擎。日峰值1亿票对任何 ERP 都是巨大挑战。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极兔实际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D365 已验证上限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日峰值运单量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1亿票（双11更高）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百万级日交易量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✘ 数量级差距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年度凭证行数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1亿行（NCC汇聚后）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千万至亿级可行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◐ 汇聚后可行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年度单据量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1千万（NCC汇聚后）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千万级常见规模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● 可行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批量凭证过账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数十万笔/分钟级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Auto Scaling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◐ 需优化</w:t>
            </w:r>
          </w:p>
        </w:tc>
      </w:tr>
    </w:tbl>
    <w:p>
      <w:r>
        <w:t>关键认知：极兔 NCC 处理的也是汇聚后数据（1亿票→1千万单据），说明架构本身是 JMS 汇聚→财务系统模式。D365 在同等汇聚条件下处理能力不弱于用友 BIP，但双11峰值需要 Microsoft 专项支持。</w:t>
      </w:r>
    </w:p>
    <w:p>
      <w:r>
        <w:br w:type="page"/>
      </w:r>
    </w:p>
    <w:p>
      <w:pPr>
        <w:pStyle w:val="Heading1"/>
      </w:pPr>
      <w:r>
        <w:rPr>
          <w:color w:val="002050"/>
        </w:rPr>
        <w:t>十三、物流快递行业适配 — D365 的短板</w:t>
      </w:r>
    </w:p>
    <w:p>
      <w:r>
        <w:t>D365 Finance 在制造、零售、专业服务有丰富案例，但在快递物流行业（尤其中国/东南亚快递）标杆案例非常有限。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快递行业需求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D365 覆盖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用友 BIP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运单级别计费结算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无原生支持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已运行多年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D365 弱势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揽/转/运/派→凭证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需自建映射层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成熟事件模型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D365 弱势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单票成本归集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可变通但非设计目标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有专属模块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D365 弱势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代收货款(COD)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无原生模块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 COD 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D365 弱势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多国应收核算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原生强项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国际化较弱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D365 优势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全球税务合规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210+国家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中国有优势,全球弱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D365 优势</w:t>
            </w:r>
          </w:p>
        </w:tc>
      </w:tr>
    </w:tbl>
    <w:p>
      <w:r>
        <w:t>案例对比：D365 在中国/东南亚快递无可引用案例。用友有顺丰、中通等同行案例，金蝶有圆通。</w:t>
      </w:r>
    </w:p>
    <w:p>
      <w:r>
        <w:br w:type="page"/>
      </w:r>
    </w:p>
    <w:p>
      <w:pPr>
        <w:pStyle w:val="Heading1"/>
      </w:pPr>
      <w:r>
        <w:rPr>
          <w:color w:val="002050"/>
        </w:rPr>
        <w:t>十四、竞品对比 — 中肯竞争力分析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2050" w:val="clear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440"/>
            <w:shd w:fill="002050" w:val="clear"/>
          </w:tcPr>
          <w:p>
            <w:r>
              <w:rPr>
                <w:b/>
                <w:color w:val="FFFFFF"/>
                <w:sz w:val="18"/>
              </w:rPr>
              <w:t>D365</w:t>
            </w:r>
          </w:p>
        </w:tc>
        <w:tc>
          <w:tcPr>
            <w:tcW w:type="dxa" w:w="1440"/>
            <w:shd w:fill="002050" w:val="clear"/>
          </w:tcPr>
          <w:p>
            <w:r>
              <w:rPr>
                <w:b/>
                <w:color w:val="FFFFFF"/>
                <w:sz w:val="18"/>
              </w:rPr>
              <w:t>用友BIP</w:t>
            </w:r>
          </w:p>
        </w:tc>
        <w:tc>
          <w:tcPr>
            <w:tcW w:type="dxa" w:w="1440"/>
            <w:shd w:fill="002050" w:val="clear"/>
          </w:tcPr>
          <w:p>
            <w:r>
              <w:rPr>
                <w:b/>
                <w:color w:val="FFFFFF"/>
                <w:sz w:val="18"/>
              </w:rPr>
              <w:t>金蝶苍穹</w:t>
            </w:r>
          </w:p>
        </w:tc>
        <w:tc>
          <w:tcPr>
            <w:tcW w:type="dxa" w:w="1440"/>
            <w:shd w:fill="002050" w:val="clear"/>
          </w:tcPr>
          <w:p>
            <w:r>
              <w:rPr>
                <w:b/>
                <w:color w:val="FFFFFF"/>
                <w:sz w:val="18"/>
              </w:rPr>
              <w:t>SAP</w:t>
            </w:r>
          </w:p>
        </w:tc>
        <w:tc>
          <w:tcPr>
            <w:tcW w:type="dxa" w:w="1440"/>
            <w:shd w:fill="002050" w:val="clear"/>
          </w:tcPr>
          <w:p>
            <w:r>
              <w:rPr>
                <w:b/>
                <w:color w:val="FFFFFF"/>
                <w:sz w:val="18"/>
              </w:rPr>
              <w:t>权重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天象兼容性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快递行业功能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海量数据性能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全球化(14国)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源码交付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AI/Copilot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客户关系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加权综合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~4.2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~7.8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~6.2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~4.8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color w:val="D13438"/>
        </w:rPr>
        <w:t>竞争力诊断：</w:t>
      </w:r>
      <w:r>
        <w:t>在极兔评审维度下（天象兼容+快递行业+源码交付权重极高），D365综合竞争力排名最末。用友 BIP 在客户关系、行业理解、技术适配三个维度均占绝对优势。</w:t>
      </w:r>
    </w:p>
    <w:p>
      <w:r>
        <w:br w:type="page"/>
      </w:r>
    </w:p>
    <w:p>
      <w:pPr>
        <w:pStyle w:val="Heading1"/>
      </w:pPr>
      <w:r>
        <w:rPr>
          <w:color w:val="002050"/>
        </w:rPr>
        <w:t>十六、中肯评判 — 应标/不应标决策分析</w:t>
      </w:r>
    </w:p>
    <w:p>
      <w:pPr>
        <w:jc w:val="center"/>
      </w:pPr>
      <w:r>
        <w:rPr>
          <w:b/>
          <w:color w:val="D13438"/>
          <w:sz w:val="48"/>
        </w:rPr>
        <w:t>赢单概率评估：10~15%</w:t>
      </w:r>
    </w:p>
    <w:p>
      <w:pPr>
        <w:pStyle w:val="Heading2"/>
      </w:pPr>
      <w:r>
        <w:rPr>
          <w:color w:val="0078D4"/>
        </w:rPr>
        <w:t>三重结构性劣势</w:t>
      </w:r>
    </w:p>
    <w:p>
      <w:pPr>
        <w:pStyle w:val="ListBullet"/>
      </w:pPr>
      <w:r>
        <w:t>劣势1 — 技术架构淘汰风险：RFP 要求 Java/私有云/源码为强制项（"不满足任何一条应答无效"），D365 至少4条硬指标无法满足，可能初审即被淘汰。</w:t>
      </w:r>
    </w:p>
    <w:p>
      <w:pPr>
        <w:pStyle w:val="ListBullet"/>
      </w:pPr>
      <w:r>
        <w:t>劣势2 — 在位者壁垒：NCC 就是用友产品，用友对极兔业务理解深度、客户关系积累、行业案例（顺丰/中通）构成极高的 Incumbent Advantage。</w:t>
      </w:r>
    </w:p>
    <w:p>
      <w:pPr>
        <w:pStyle w:val="ListBullet"/>
      </w:pPr>
      <w:r>
        <w:t>劣势3 — 行业空白：D365 在中国/东南亚快递行业没有可引用的成功案例。</w:t>
      </w:r>
    </w:p>
    <w:p>
      <w:pPr>
        <w:pStyle w:val="Heading2"/>
      </w:pPr>
      <w:r>
        <w:rPr>
          <w:color w:val="0078D4"/>
        </w:rPr>
        <w:t>应标决策矩阵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资源投入</w:t>
            </w:r>
          </w:p>
        </w:tc>
        <w:tc>
          <w:tcPr>
            <w:tcW w:type="dxa" w:w="2160"/>
            <w:shd w:fill="002050" w:val="clear"/>
          </w:tcPr>
          <w:p>
            <w:r>
              <w:rPr>
                <w:b/>
                <w:color w:val="FFFFFF"/>
                <w:sz w:val="18"/>
              </w:rPr>
              <w:t>推荐度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A: 不应标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技术硬指标不可协商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 推荐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B: 战略接触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高层拜访,定位海外合规顾问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低(销售拜访)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★★★★★ 最推荐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C: 有条件应标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极兔愿单独考虑海外方案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中(1人月)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 有条件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D: 全量应标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极兔重新评估技术栈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高(2-3人月)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 不推荐</w:t>
            </w:r>
          </w:p>
        </w:tc>
      </w:tr>
    </w:tbl>
    <w:p>
      <w:pPr>
        <w:pStyle w:val="Heading2"/>
      </w:pPr>
      <w:r>
        <w:rPr>
          <w:color w:val="0078D4"/>
        </w:rPr>
        <w:t>最佳策略：选项 B — 战略接触</w:t>
      </w:r>
    </w:p>
    <w:p>
      <w:r>
        <w:t>不做无谓应标，利用此 RFP 机会建立高层关系。极兔正在全球化扩张，用友在巴西、中东、德国等市场的本地化能力薄弱。微软可定位为"海外财务合规与分析平台合作伙伴"，在用友拿下整体项目后作为海外本地化的补充方案进入 （D365 Finance for Global Subsidiaries + Power BI/Fabric for Global Analytics）。这是更现实、更可持续的切入点。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