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3" w:rsidRDefault="00AE5DC3" w:rsidP="00AE5DC3">
      <w:pPr>
        <w:jc w:val="center"/>
      </w:pPr>
      <w:r>
        <w:rPr>
          <w:noProof/>
          <w:lang w:eastAsia="fr-FR"/>
        </w:rPr>
        <w:drawing>
          <wp:inline distT="0" distB="0" distL="0" distR="0" wp14:anchorId="39C228F1">
            <wp:extent cx="1237615" cy="55499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7615" cy="554990"/>
                    </a:xfrm>
                    <a:prstGeom prst="rect">
                      <a:avLst/>
                    </a:prstGeom>
                    <a:noFill/>
                  </pic:spPr>
                </pic:pic>
              </a:graphicData>
            </a:graphic>
          </wp:inline>
        </w:drawing>
      </w:r>
    </w:p>
    <w:p w:rsidR="00F72790" w:rsidRDefault="00AE5DC3" w:rsidP="00AE5DC3">
      <w:pPr>
        <w:jc w:val="center"/>
        <w:rPr>
          <w:b/>
          <w:sz w:val="40"/>
          <w:szCs w:val="40"/>
        </w:rPr>
      </w:pPr>
      <w:r w:rsidRPr="00AE5DC3">
        <w:rPr>
          <w:b/>
          <w:sz w:val="40"/>
          <w:szCs w:val="40"/>
        </w:rPr>
        <w:t>INSTITUT SUPERIEUR DES SCIENCES ET TECHNOLOGIES DE MAHAJANGA</w:t>
      </w:r>
      <w:r w:rsidR="0091033D">
        <w:rPr>
          <w:b/>
          <w:sz w:val="40"/>
          <w:szCs w:val="40"/>
        </w:rPr>
        <w:t xml:space="preserve"> </w:t>
      </w:r>
    </w:p>
    <w:p w:rsidR="00AE5DC3" w:rsidRDefault="00AE5DC3" w:rsidP="00AE5DC3">
      <w:pPr>
        <w:pStyle w:val="Paragraphedeliste"/>
        <w:numPr>
          <w:ilvl w:val="0"/>
          <w:numId w:val="1"/>
        </w:numPr>
        <w:rPr>
          <w:b/>
          <w:u w:val="single"/>
        </w:rPr>
      </w:pPr>
      <w:r>
        <w:rPr>
          <w:b/>
          <w:u w:val="single"/>
        </w:rPr>
        <w:t>GENERALITES ET ACTIVITES DE L’ENTREPRISE</w:t>
      </w:r>
    </w:p>
    <w:p w:rsidR="00AE5DC3" w:rsidRDefault="00AE5DC3" w:rsidP="00AE5DC3">
      <w:pPr>
        <w:spacing w:after="332"/>
      </w:pPr>
      <w:r>
        <w:t xml:space="preserve">Depuis la création du Centre Universitaire Régional de Mahajanga en 1977 et aussi après la création des six Université de Madagascar en 1988, l’évolution de l’offre de formation a été relativement faible. Depuis l’année universitaire 2010/2011, un bon nombre d’offres de formations a été créé à l’Université de Mahajanga. L’institut Supérieur de Sciences et Technologies de Mahajanga en abrégé par ISSTM est l’un parmi des nouveau centre de formation de techniciens supérieurs de haut niveau au sein de cette Université. Cet institut est créé au cours de l’année universitaire 2011/2012. </w:t>
      </w:r>
    </w:p>
    <w:p w:rsidR="00AE5DC3" w:rsidRDefault="00AE5DC3" w:rsidP="00AE5DC3">
      <w:pPr>
        <w:spacing w:after="379"/>
      </w:pPr>
      <w: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AE5DC3" w:rsidRDefault="00AE5DC3" w:rsidP="00AE5DC3">
      <w:pPr>
        <w:spacing w:after="377"/>
      </w:pPr>
      <w:r>
        <w:t xml:space="preserve">Les étudiants sortant de l’ISSTM sont opérationnels dans les domaines du génie thermique, du génie industriel, du génie électrique, du génie civil et du génie informatique après avoir fini leur cursus. </w:t>
      </w:r>
    </w:p>
    <w:p w:rsidR="00AE5DC3" w:rsidRDefault="00AE5DC3" w:rsidP="00AE5DC3">
      <w:pPr>
        <w:spacing w:after="379"/>
      </w:pPr>
      <w:r>
        <w:t xml:space="preserve">Les contenus de ces formations scientifiques sont accompagnés d’une ouverture au sein des milieux professionnels garantie dans les visites d’imprégnations, les stages en entreprises et les interventions de professionnels dans les domaines spécialisés du programme. </w:t>
      </w:r>
    </w:p>
    <w:p w:rsidR="00AE5DC3" w:rsidRDefault="00AE5DC3" w:rsidP="00AE5DC3">
      <w:pPr>
        <w:spacing w:after="329"/>
      </w:pPr>
      <w:r>
        <w:t xml:space="preserve">Le diplôme de licence professionnel délivré par cet institut s’articule autour de quatre parcours : </w:t>
      </w:r>
    </w:p>
    <w:p w:rsidR="00AE5DC3" w:rsidRDefault="00AE5DC3" w:rsidP="00AE5DC3">
      <w:pPr>
        <w:numPr>
          <w:ilvl w:val="0"/>
          <w:numId w:val="2"/>
        </w:numPr>
        <w:spacing w:after="142" w:line="240" w:lineRule="auto"/>
        <w:ind w:hanging="360"/>
        <w:jc w:val="both"/>
      </w:pPr>
      <w:r>
        <w:t xml:space="preserve">GINF (Génie Informatique) ouvert dès la première année de formation ; </w:t>
      </w:r>
    </w:p>
    <w:p w:rsidR="00AE5DC3" w:rsidRDefault="00AE5DC3" w:rsidP="00AE5DC3">
      <w:pPr>
        <w:numPr>
          <w:ilvl w:val="0"/>
          <w:numId w:val="2"/>
        </w:numPr>
        <w:spacing w:after="142" w:line="354" w:lineRule="auto"/>
        <w:ind w:hanging="360"/>
        <w:jc w:val="both"/>
      </w:pPr>
      <w:r>
        <w:t xml:space="preserve">FGCI (Fondamentaux des Génies Civil et Industriel) cours de mise à niveau en première année de formation ; </w:t>
      </w:r>
    </w:p>
    <w:p w:rsidR="00AE5DC3" w:rsidRDefault="00AE5DC3" w:rsidP="00AE5DC3">
      <w:pPr>
        <w:numPr>
          <w:ilvl w:val="0"/>
          <w:numId w:val="2"/>
        </w:numPr>
        <w:spacing w:after="144" w:line="240" w:lineRule="auto"/>
        <w:ind w:hanging="360"/>
        <w:jc w:val="both"/>
      </w:pPr>
      <w:r>
        <w:t xml:space="preserve">GITE qui regroupe les trois spécialités : le Génie Industriel (GI), le Génie Thermique </w:t>
      </w:r>
    </w:p>
    <w:p w:rsidR="00AE5DC3" w:rsidRDefault="00AE5DC3" w:rsidP="00AE5DC3">
      <w:pPr>
        <w:spacing w:line="240" w:lineRule="auto"/>
        <w:ind w:left="730"/>
      </w:pPr>
      <w:r>
        <w:t xml:space="preserve">(GT) et le Génie Electrique (GE) ouvert en deuxième année ; </w:t>
      </w:r>
    </w:p>
    <w:p w:rsidR="00AE5DC3" w:rsidRDefault="00AE5DC3" w:rsidP="00AE5DC3">
      <w:pPr>
        <w:numPr>
          <w:ilvl w:val="0"/>
          <w:numId w:val="2"/>
        </w:numPr>
        <w:spacing w:after="148" w:line="246" w:lineRule="auto"/>
        <w:ind w:hanging="360"/>
        <w:jc w:val="both"/>
      </w:pPr>
      <w:r>
        <w:t xml:space="preserve">GCBTP (Génie Civil, Bâtiments et Travaux Publics) démarrant en deuxième année. </w:t>
      </w:r>
    </w:p>
    <w:p w:rsidR="00AE5DC3" w:rsidRDefault="00AE5DC3">
      <w:r>
        <w:br w:type="page"/>
      </w:r>
    </w:p>
    <w:p w:rsidR="00AE5DC3" w:rsidRDefault="000A6BFE" w:rsidP="000A6BFE">
      <w:pPr>
        <w:spacing w:after="148" w:line="246" w:lineRule="auto"/>
        <w:ind w:left="360"/>
        <w:jc w:val="both"/>
      </w:pPr>
      <w:r w:rsidRPr="000A6BFE">
        <w:lastRenderedPageBreak/>
        <w:t xml:space="preserve">La figure ci-dessous illustre l’organigramme de fonctionnement de l’ISSTM  </w:t>
      </w:r>
      <w:bookmarkStart w:id="0" w:name="_GoBack"/>
      <w:bookmarkEnd w:id="0"/>
    </w:p>
    <w:p w:rsidR="00AE5DC3" w:rsidRDefault="000A6BFE" w:rsidP="000A6BFE">
      <w:pPr>
        <w:spacing w:after="148" w:line="246" w:lineRule="auto"/>
        <w:ind w:left="360"/>
        <w:jc w:val="center"/>
      </w:pPr>
      <w:r w:rsidRPr="000A6BFE">
        <w:rPr>
          <w:noProof/>
          <w:lang w:eastAsia="fr-FR"/>
        </w:rPr>
        <w:drawing>
          <wp:inline distT="0" distB="0" distL="0" distR="0">
            <wp:extent cx="8184423" cy="3355876"/>
            <wp:effectExtent l="0" t="0" r="254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8190563" cy="3358393"/>
                    </a:xfrm>
                    <a:prstGeom prst="rect">
                      <a:avLst/>
                    </a:prstGeom>
                    <a:noFill/>
                    <a:ln>
                      <a:noFill/>
                    </a:ln>
                  </pic:spPr>
                </pic:pic>
              </a:graphicData>
            </a:graphic>
          </wp:inline>
        </w:drawing>
      </w:r>
      <w:r w:rsidR="00AE5DC3">
        <w:br w:type="page"/>
      </w:r>
    </w:p>
    <w:p w:rsidR="00AE5DC3" w:rsidRDefault="00AE5DC3" w:rsidP="00AE5DC3">
      <w:pPr>
        <w:numPr>
          <w:ilvl w:val="0"/>
          <w:numId w:val="2"/>
        </w:numPr>
        <w:spacing w:after="148" w:line="246" w:lineRule="auto"/>
        <w:ind w:hanging="360"/>
        <w:jc w:val="both"/>
      </w:pPr>
    </w:p>
    <w:p w:rsidR="00AE5DC3" w:rsidRDefault="00AE5DC3" w:rsidP="00AE5DC3">
      <w:pPr>
        <w:pStyle w:val="Paragraphedeliste"/>
        <w:numPr>
          <w:ilvl w:val="0"/>
          <w:numId w:val="1"/>
        </w:numPr>
        <w:rPr>
          <w:b/>
          <w:u w:val="single"/>
        </w:rPr>
      </w:pPr>
      <w:r w:rsidRPr="00AE5DC3">
        <w:rPr>
          <w:b/>
          <w:u w:val="single"/>
        </w:rPr>
        <w:t>ANALYSE DE L’ETAT EXISTANTE</w:t>
      </w:r>
      <w:r w:rsidR="0091033D">
        <w:rPr>
          <w:b/>
          <w:u w:val="single"/>
        </w:rPr>
        <w:t xml:space="preserve"> (GINF)</w:t>
      </w:r>
    </w:p>
    <w:p w:rsidR="0086606B" w:rsidRDefault="0086606B" w:rsidP="0086606B">
      <w:pPr>
        <w:pStyle w:val="Paragraphedeliste"/>
        <w:rPr>
          <w:b/>
          <w:u w:val="single"/>
        </w:rPr>
      </w:pPr>
    </w:p>
    <w:p w:rsidR="00AE5DC3" w:rsidRDefault="0091033D" w:rsidP="0091033D">
      <w:pPr>
        <w:pStyle w:val="Paragraphedeliste"/>
        <w:numPr>
          <w:ilvl w:val="0"/>
          <w:numId w:val="5"/>
        </w:numPr>
        <w:rPr>
          <w:sz w:val="24"/>
          <w:szCs w:val="24"/>
        </w:rPr>
      </w:pPr>
      <w:r w:rsidRPr="0091033D">
        <w:rPr>
          <w:sz w:val="24"/>
          <w:szCs w:val="24"/>
        </w:rPr>
        <w:t>L’établissement n’assure la formation des élève que jusqu’on 3eme année ou LICENSE</w:t>
      </w:r>
      <w:r>
        <w:rPr>
          <w:sz w:val="24"/>
          <w:szCs w:val="24"/>
        </w:rPr>
        <w:t xml:space="preserve">, cette </w:t>
      </w:r>
      <w:r w:rsidR="0086606B">
        <w:rPr>
          <w:sz w:val="24"/>
          <w:szCs w:val="24"/>
        </w:rPr>
        <w:t>problématique</w:t>
      </w:r>
      <w:r>
        <w:rPr>
          <w:sz w:val="24"/>
          <w:szCs w:val="24"/>
        </w:rPr>
        <w:t xml:space="preserve"> pousse l’</w:t>
      </w:r>
      <w:r w:rsidR="0086606B">
        <w:rPr>
          <w:sz w:val="24"/>
          <w:szCs w:val="24"/>
        </w:rPr>
        <w:t>établissement</w:t>
      </w:r>
      <w:r>
        <w:rPr>
          <w:sz w:val="24"/>
          <w:szCs w:val="24"/>
        </w:rPr>
        <w:t xml:space="preserve"> </w:t>
      </w:r>
      <w:r w:rsidR="0086606B">
        <w:rPr>
          <w:sz w:val="24"/>
          <w:szCs w:val="24"/>
        </w:rPr>
        <w:t>à</w:t>
      </w:r>
      <w:r>
        <w:rPr>
          <w:sz w:val="24"/>
          <w:szCs w:val="24"/>
        </w:rPr>
        <w:t xml:space="preserve"> faire des </w:t>
      </w:r>
      <w:r w:rsidR="0086606B">
        <w:rPr>
          <w:sz w:val="24"/>
          <w:szCs w:val="24"/>
        </w:rPr>
        <w:t>partenariats avec d’autre établissement</w:t>
      </w:r>
    </w:p>
    <w:p w:rsidR="0091033D" w:rsidRDefault="0086606B" w:rsidP="0091033D">
      <w:pPr>
        <w:pStyle w:val="Paragraphedeliste"/>
        <w:numPr>
          <w:ilvl w:val="0"/>
          <w:numId w:val="5"/>
        </w:numPr>
        <w:rPr>
          <w:sz w:val="24"/>
          <w:szCs w:val="24"/>
        </w:rPr>
      </w:pPr>
      <w:r>
        <w:rPr>
          <w:sz w:val="24"/>
          <w:szCs w:val="24"/>
        </w:rPr>
        <w:t>L’infrastructure délabrée</w:t>
      </w:r>
    </w:p>
    <w:p w:rsidR="0086606B" w:rsidRDefault="0086606B" w:rsidP="0091033D">
      <w:pPr>
        <w:pStyle w:val="Paragraphedeliste"/>
        <w:numPr>
          <w:ilvl w:val="0"/>
          <w:numId w:val="5"/>
        </w:numPr>
        <w:rPr>
          <w:sz w:val="24"/>
          <w:szCs w:val="24"/>
        </w:rPr>
      </w:pPr>
      <w:r>
        <w:rPr>
          <w:sz w:val="24"/>
          <w:szCs w:val="24"/>
        </w:rPr>
        <w:t>Manque d’équipement</w:t>
      </w:r>
    </w:p>
    <w:p w:rsidR="0086606B" w:rsidRDefault="0086606B" w:rsidP="0086606B">
      <w:pPr>
        <w:pStyle w:val="Paragraphedeliste"/>
        <w:rPr>
          <w:sz w:val="24"/>
          <w:szCs w:val="24"/>
        </w:rPr>
      </w:pPr>
    </w:p>
    <w:p w:rsidR="0086606B" w:rsidRDefault="0086606B" w:rsidP="0086606B">
      <w:pPr>
        <w:pStyle w:val="Paragraphedeliste"/>
        <w:numPr>
          <w:ilvl w:val="0"/>
          <w:numId w:val="1"/>
        </w:numPr>
        <w:spacing w:line="259" w:lineRule="auto"/>
        <w:rPr>
          <w:b/>
          <w:u w:val="single"/>
        </w:rPr>
      </w:pPr>
      <w:r w:rsidRPr="004E7493">
        <w:rPr>
          <w:b/>
          <w:u w:val="single"/>
        </w:rPr>
        <w:t>SUGGESTIONS ET RECOMMANDATION</w:t>
      </w:r>
    </w:p>
    <w:p w:rsidR="0086606B" w:rsidRPr="0086606B" w:rsidRDefault="0086606B" w:rsidP="0086606B">
      <w:pPr>
        <w:pStyle w:val="Paragraphedeliste"/>
        <w:rPr>
          <w:sz w:val="24"/>
          <w:szCs w:val="24"/>
        </w:rPr>
      </w:pPr>
    </w:p>
    <w:p w:rsidR="0086606B" w:rsidRDefault="0086606B" w:rsidP="0086606B">
      <w:pPr>
        <w:pStyle w:val="Paragraphedeliste"/>
        <w:numPr>
          <w:ilvl w:val="0"/>
          <w:numId w:val="8"/>
        </w:numPr>
        <w:rPr>
          <w:sz w:val="24"/>
          <w:szCs w:val="24"/>
        </w:rPr>
      </w:pPr>
      <w:r>
        <w:rPr>
          <w:sz w:val="24"/>
          <w:szCs w:val="24"/>
        </w:rPr>
        <w:t>Mise en place d’un system pédagogique qui permettra une formation complète</w:t>
      </w:r>
    </w:p>
    <w:p w:rsidR="0086606B" w:rsidRDefault="0086606B" w:rsidP="0086606B">
      <w:pPr>
        <w:pStyle w:val="Paragraphedeliste"/>
        <w:numPr>
          <w:ilvl w:val="0"/>
          <w:numId w:val="8"/>
        </w:numPr>
        <w:rPr>
          <w:sz w:val="24"/>
          <w:szCs w:val="24"/>
        </w:rPr>
      </w:pPr>
      <w:r>
        <w:rPr>
          <w:sz w:val="24"/>
          <w:szCs w:val="24"/>
        </w:rPr>
        <w:t>Réaménagement des lieux</w:t>
      </w:r>
    </w:p>
    <w:p w:rsidR="0086606B" w:rsidRDefault="0086606B" w:rsidP="0086606B">
      <w:pPr>
        <w:pStyle w:val="Paragraphedeliste"/>
        <w:numPr>
          <w:ilvl w:val="0"/>
          <w:numId w:val="8"/>
        </w:numPr>
        <w:rPr>
          <w:sz w:val="24"/>
          <w:szCs w:val="24"/>
        </w:rPr>
      </w:pPr>
      <w:r>
        <w:rPr>
          <w:sz w:val="24"/>
          <w:szCs w:val="24"/>
        </w:rPr>
        <w:t>Partenariat avec des entreprises spécialisées dans le domaine de l’informatique</w:t>
      </w:r>
    </w:p>
    <w:p w:rsidR="0086606B" w:rsidRPr="0086606B" w:rsidRDefault="0086606B" w:rsidP="0086606B">
      <w:pPr>
        <w:pStyle w:val="Paragraphedeliste"/>
        <w:numPr>
          <w:ilvl w:val="0"/>
          <w:numId w:val="8"/>
        </w:numPr>
        <w:rPr>
          <w:sz w:val="24"/>
          <w:szCs w:val="24"/>
        </w:rPr>
      </w:pPr>
      <w:r>
        <w:rPr>
          <w:sz w:val="24"/>
          <w:szCs w:val="24"/>
        </w:rPr>
        <w:t>Demande de prise en charge de l’Etats</w:t>
      </w:r>
    </w:p>
    <w:sectPr w:rsidR="0086606B" w:rsidRPr="00866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3770"/>
    <w:multiLevelType w:val="hybridMultilevel"/>
    <w:tmpl w:val="1346B2F8"/>
    <w:lvl w:ilvl="0" w:tplc="040C0013">
      <w:start w:val="1"/>
      <w:numFmt w:val="upp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E45AE958">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6BA8AF4">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EC2421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71849A4">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9CAD3EE">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DF2827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D580630">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05ADB62">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16D0561D"/>
    <w:multiLevelType w:val="hybridMultilevel"/>
    <w:tmpl w:val="A38CD7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464D21"/>
    <w:multiLevelType w:val="hybridMultilevel"/>
    <w:tmpl w:val="5C56E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AB512C"/>
    <w:multiLevelType w:val="hybridMultilevel"/>
    <w:tmpl w:val="AFE0BBC0"/>
    <w:lvl w:ilvl="0" w:tplc="641CE3F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45AE958">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6BA8AF4">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EC2421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71849A4">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9CAD3EE">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DF2827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D580630">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05ADB62">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4">
    <w:nsid w:val="41DC57A0"/>
    <w:multiLevelType w:val="hybridMultilevel"/>
    <w:tmpl w:val="6C2C762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nsid w:val="48EB12AC"/>
    <w:multiLevelType w:val="hybridMultilevel"/>
    <w:tmpl w:val="05A85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D66683"/>
    <w:multiLevelType w:val="hybridMultilevel"/>
    <w:tmpl w:val="EDE40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4"/>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C3"/>
    <w:rsid w:val="000A6BFE"/>
    <w:rsid w:val="00337354"/>
    <w:rsid w:val="00816CFE"/>
    <w:rsid w:val="0086606B"/>
    <w:rsid w:val="0091033D"/>
    <w:rsid w:val="00AE5D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08430-E9CA-4831-9198-DAD962AF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DC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11272">
      <w:bodyDiv w:val="1"/>
      <w:marLeft w:val="0"/>
      <w:marRight w:val="0"/>
      <w:marTop w:val="0"/>
      <w:marBottom w:val="0"/>
      <w:divBdr>
        <w:top w:val="none" w:sz="0" w:space="0" w:color="auto"/>
        <w:left w:val="none" w:sz="0" w:space="0" w:color="auto"/>
        <w:bottom w:val="none" w:sz="0" w:space="0" w:color="auto"/>
        <w:right w:val="none" w:sz="0" w:space="0" w:color="auto"/>
      </w:divBdr>
    </w:div>
    <w:div w:id="184604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2018-12-20T17:01:00Z</dcterms:created>
  <dcterms:modified xsi:type="dcterms:W3CDTF">2019-01-24T16:38:00Z</dcterms:modified>
</cp:coreProperties>
</file>