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123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onx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239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Arial" w:hAnsi="Arial"/>
          <w:b/>
          <w:i w:val="0"/>
          <w:color w:val="2E75B6"/>
          <w:sz w:val="28"/>
        </w:rPr>
        <w:t>ANÁLISIS FINANCIERO</w:t>
      </w:r>
    </w:p>
    <w:p>
      <w:pPr>
        <w:jc w:val="center"/>
      </w:pPr>
      <w:r>
        <w:rPr>
          <w:rFonts w:ascii="Arial" w:hAnsi="Arial"/>
          <w:b/>
          <w:i w:val="0"/>
          <w:color w:val="2E75B6"/>
          <w:sz w:val="56"/>
        </w:rPr>
        <w:t>PROYECCIÓN 2027</w:t>
      </w:r>
    </w:p>
    <w:p/>
    <w:p>
      <w:pPr>
        <w:jc w:val="center"/>
      </w:pPr>
      <w:r>
        <w:rPr>
          <w:rFonts w:ascii="Arial" w:hAnsi="Arial"/>
          <w:i/>
          <w:color w:val="475569"/>
          <w:sz w:val="28"/>
        </w:rPr>
        <w:t>Matriz extendida · Escenarios operador · Punto de equilibrio LP</w:t>
      </w:r>
    </w:p>
    <w:p/>
    <w:p/>
    <w:p/>
    <w:p>
      <w:pPr>
        <w:jc w:val="center"/>
      </w:pPr>
      <w:r>
        <w:rPr>
          <w:rFonts w:ascii="Arial" w:hAnsi="Arial"/>
          <w:b w:val="0"/>
          <w:i w:val="0"/>
          <w:color w:val="475569"/>
          <w:sz w:val="20"/>
        </w:rPr>
        <w:t>Preparado por</w:t>
      </w:r>
    </w:p>
    <w:p>
      <w:pPr>
        <w:jc w:val="center"/>
      </w:pPr>
      <w:r>
        <w:rPr>
          <w:rFonts w:ascii="Arial" w:hAnsi="Arial"/>
          <w:b/>
          <w:i w:val="0"/>
          <w:color w:val="0F172A"/>
          <w:sz w:val="24"/>
        </w:rPr>
        <w:t>Andrés Browne</w:t>
      </w:r>
    </w:p>
    <w:p>
      <w:pPr>
        <w:jc w:val="center"/>
      </w:pPr>
      <w:r>
        <w:rPr>
          <w:rFonts w:ascii="Arial" w:hAnsi="Arial"/>
          <w:b w:val="0"/>
          <w:i w:val="0"/>
          <w:color w:val="475569"/>
          <w:sz w:val="20"/>
        </w:rPr>
        <w:t>Gerencia Finanzas + Supply Chain</w:t>
      </w:r>
    </w:p>
    <w:p/>
    <w:p>
      <w:pPr>
        <w:jc w:val="center"/>
      </w:pPr>
      <w:r>
        <w:rPr>
          <w:rFonts w:ascii="Arial" w:hAnsi="Arial"/>
          <w:b w:val="0"/>
          <w:i w:val="0"/>
          <w:color w:val="475569"/>
          <w:sz w:val="20"/>
        </w:rPr>
        <w:t>Para presentación al Directorio</w:t>
      </w:r>
    </w:p>
    <w:p>
      <w:pPr>
        <w:jc w:val="center"/>
      </w:pPr>
      <w:r>
        <w:rPr>
          <w:rFonts w:ascii="Arial" w:hAnsi="Arial"/>
          <w:b w:val="0"/>
          <w:i w:val="0"/>
          <w:color w:val="475569"/>
          <w:sz w:val="20"/>
        </w:rPr>
        <w:t>Mayo 2026 · Versión 3 (correcciones)</w:t>
      </w:r>
    </w:p>
    <w:p>
      <w:r>
        <w:br w:type="page"/>
      </w:r>
    </w:p>
    <w:p>
      <w:pPr>
        <w:spacing w:before="0" w:after="200"/>
      </w:pPr>
      <w:r>
        <w:rPr>
          <w:rFonts w:ascii="Arial" w:hAnsi="Arial"/>
          <w:b/>
          <w:color w:val="2E75B6"/>
          <w:sz w:val="44"/>
        </w:rPr>
        <w:t>ÍNDICE</w:t>
      </w:r>
    </w:p>
    <w:p>
      <w:r>
        <w:rPr>
          <w:rFonts w:ascii="Arial" w:hAnsi="Arial"/>
          <w:b/>
          <w:color w:val="2E75B6"/>
          <w:sz w:val="22"/>
        </w:rPr>
        <w:t xml:space="preserve">1.    </w:t>
      </w:r>
      <w:r>
        <w:rPr>
          <w:rFonts w:ascii="Arial" w:hAnsi="Arial"/>
          <w:color w:val="0F172A"/>
          <w:sz w:val="22"/>
        </w:rPr>
        <w:t>Resumen Ejecutivo</w:t>
      </w:r>
    </w:p>
    <w:p>
      <w:r>
        <w:rPr>
          <w:rFonts w:ascii="Arial" w:hAnsi="Arial"/>
          <w:b/>
          <w:color w:val="2E75B6"/>
          <w:sz w:val="22"/>
        </w:rPr>
        <w:t xml:space="preserve">2.    </w:t>
      </w:r>
      <w:r>
        <w:rPr>
          <w:rFonts w:ascii="Arial" w:hAnsi="Arial"/>
          <w:color w:val="0F172A"/>
          <w:sz w:val="22"/>
        </w:rPr>
        <w:t>Cierre Proyectado 2026</w:t>
      </w:r>
    </w:p>
    <w:p>
      <w:r>
        <w:rPr>
          <w:rFonts w:ascii="Arial" w:hAnsi="Arial"/>
          <w:b/>
          <w:color w:val="2E75B6"/>
          <w:sz w:val="22"/>
        </w:rPr>
        <w:t xml:space="preserve">3.    </w:t>
      </w:r>
      <w:r>
        <w:rPr>
          <w:rFonts w:ascii="Arial" w:hAnsi="Arial"/>
          <w:color w:val="0F172A"/>
          <w:sz w:val="22"/>
        </w:rPr>
        <w:t>Marco 2027 — Restricciones, supuestos, inventario y deuda</w:t>
      </w:r>
    </w:p>
    <w:p>
      <w:r>
        <w:rPr>
          <w:rFonts w:ascii="Arial" w:hAnsi="Arial"/>
          <w:b/>
          <w:color w:val="2E75B6"/>
          <w:sz w:val="22"/>
        </w:rPr>
        <w:t xml:space="preserve">4.    </w:t>
      </w:r>
      <w:r>
        <w:rPr>
          <w:rFonts w:ascii="Arial" w:hAnsi="Arial"/>
          <w:color w:val="0F172A"/>
          <w:sz w:val="22"/>
        </w:rPr>
        <w:t>Análisis Ácido Estático 2027</w:t>
      </w:r>
    </w:p>
    <w:p>
      <w:r>
        <w:rPr>
          <w:rFonts w:ascii="Arial" w:hAnsi="Arial"/>
          <w:b/>
          <w:color w:val="2E75B6"/>
          <w:sz w:val="22"/>
        </w:rPr>
        <w:t xml:space="preserve">5.    </w:t>
      </w:r>
      <w:r>
        <w:rPr>
          <w:rFonts w:ascii="Arial" w:hAnsi="Arial"/>
          <w:color w:val="0F172A"/>
          <w:sz w:val="22"/>
        </w:rPr>
        <w:t>Escenario 1: Margen Frontal y rentabilidad canales digitales</w:t>
      </w:r>
    </w:p>
    <w:p>
      <w:r>
        <w:rPr>
          <w:rFonts w:ascii="Arial" w:hAnsi="Arial"/>
          <w:b/>
          <w:color w:val="2E75B6"/>
          <w:sz w:val="22"/>
        </w:rPr>
        <w:t xml:space="preserve">6.    </w:t>
      </w:r>
      <w:r>
        <w:rPr>
          <w:rFonts w:ascii="Arial" w:hAnsi="Arial"/>
          <w:color w:val="0F172A"/>
          <w:sz w:val="22"/>
        </w:rPr>
        <w:t>Escenario 2: GAV y Costo Operativo — Análisis completo operador</w:t>
      </w:r>
    </w:p>
    <w:p>
      <w:r>
        <w:rPr>
          <w:rFonts w:ascii="Arial" w:hAnsi="Arial"/>
          <w:b/>
          <w:color w:val="2E75B6"/>
          <w:sz w:val="22"/>
        </w:rPr>
        <w:t xml:space="preserve">7.    </w:t>
      </w:r>
      <w:r>
        <w:rPr>
          <w:rFonts w:ascii="Arial" w:hAnsi="Arial"/>
          <w:color w:val="0F172A"/>
          <w:sz w:val="22"/>
        </w:rPr>
        <w:t>Matriz extendida de escenarios — MC 27% → 33%</w:t>
      </w:r>
    </w:p>
    <w:p>
      <w:r>
        <w:rPr>
          <w:rFonts w:ascii="Arial" w:hAnsi="Arial"/>
          <w:b/>
          <w:color w:val="2E75B6"/>
          <w:sz w:val="22"/>
        </w:rPr>
        <w:t xml:space="preserve">8.    </w:t>
      </w:r>
      <w:r>
        <w:rPr>
          <w:rFonts w:ascii="Arial" w:hAnsi="Arial"/>
          <w:color w:val="0F172A"/>
          <w:sz w:val="22"/>
        </w:rPr>
        <w:t>Sensibilidad ±20% sobre 2026</w:t>
      </w:r>
    </w:p>
    <w:p>
      <w:r>
        <w:rPr>
          <w:rFonts w:ascii="Arial" w:hAnsi="Arial"/>
          <w:b/>
          <w:color w:val="2E75B6"/>
          <w:sz w:val="22"/>
        </w:rPr>
        <w:t xml:space="preserve">9.    </w:t>
      </w:r>
      <w:r>
        <w:rPr>
          <w:rFonts w:ascii="Arial" w:hAnsi="Arial"/>
          <w:color w:val="0F172A"/>
          <w:sz w:val="22"/>
        </w:rPr>
        <w:t>Plan de Contingencia: ajustes desde lejano al core</w:t>
      </w:r>
    </w:p>
    <w:p>
      <w:r>
        <w:rPr>
          <w:rFonts w:ascii="Arial" w:hAnsi="Arial"/>
          <w:b/>
          <w:color w:val="2E75B6"/>
          <w:sz w:val="22"/>
        </w:rPr>
        <w:t xml:space="preserve">10.    </w:t>
      </w:r>
      <w:r>
        <w:rPr>
          <w:rFonts w:ascii="Arial" w:hAnsi="Arial"/>
          <w:color w:val="0F172A"/>
          <w:sz w:val="22"/>
        </w:rPr>
        <w:t>Recomendaciones de Factibilidad</w:t>
      </w:r>
    </w:p>
    <w:p>
      <w:r>
        <w:rPr>
          <w:rFonts w:ascii="Arial" w:hAnsi="Arial"/>
          <w:b/>
          <w:color w:val="2E75B6"/>
          <w:sz w:val="22"/>
        </w:rPr>
        <w:t xml:space="preserve">11.    </w:t>
      </w:r>
      <w:r>
        <w:rPr>
          <w:rFonts w:ascii="Arial" w:hAnsi="Arial"/>
          <w:color w:val="0F172A"/>
          <w:sz w:val="22"/>
        </w:rPr>
        <w:t>Anexos</w:t>
      </w:r>
    </w:p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1. RESUMEN EJECUTIVO</w:t>
      </w:r>
    </w:p>
    <w:p>
      <w:r>
        <w:rPr>
          <w:rFonts w:ascii="Arial" w:hAnsi="Arial"/>
          <w:b/>
          <w:i w:val="0"/>
          <w:color w:val="2E75B6"/>
          <w:sz w:val="22"/>
        </w:rPr>
        <w:t>Contexto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El CEO estableció cinco objetivos prioritarios para 2027: D/E entre 2,5-3,5, sueldo CEO +10-15%, sueldo Erich vitalicio, retirar $100 MM (política 30%, UN ≥ $333 MM) y EBITDA del 10%. Este análisis cuantifica los requerimientos partiendo del cierre proyectado 2026 y los supuestos confirmados. Cabe destacar que la venta creció +8.0% entre 2025 y 2026, marcando un benchmark histórico de continuidad para evaluar la factibilidad de los escenarios 2027.</w:t>
      </w:r>
    </w:p>
    <w:p/>
    <w:p>
      <w:r>
        <w:rPr>
          <w:rFonts w:ascii="Arial" w:hAnsi="Arial"/>
          <w:b/>
          <w:i w:val="0"/>
          <w:color w:val="2E75B6"/>
          <w:sz w:val="22"/>
        </w:rPr>
        <w:t>Resultados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2026 FCST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2027 Realista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2027 Mejorado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2027 Optimista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Venta (MM CLP)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$7,194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$7,458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$7,791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V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(referencia)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+8%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+12%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+17%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MC 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27.0%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29%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31%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33%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4.0%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5.1%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8.6%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12.4%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UN (MM CLP)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$40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$149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$345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$589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Cumple 5 restr. CEO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—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</w:tbl>
    <w:p/>
    <w:p>
      <w:r>
        <w:rPr>
          <w:rFonts w:ascii="Arial" w:hAnsi="Arial"/>
          <w:b/>
          <w:i w:val="0"/>
          <w:color w:val="2E75B6"/>
          <w:sz w:val="22"/>
        </w:rPr>
        <w:t>Conclusiones top</w:t>
      </w:r>
    </w:p>
    <w:p>
      <w:pPr>
        <w:pStyle w:val="ListBullet"/>
      </w:pPr>
      <w:r>
        <w:rPr>
          <w:rFonts w:ascii="Arial" w:hAnsi="Arial"/>
          <w:sz w:val="20"/>
        </w:rPr>
        <w:t>El escenario Realista (crecimiento histórico +8%, MC 29%, eficiencia GAV 5%) NO cumple EBITDA 10%. Resultado proyectado: EBITDA 5.1%. Esto significa que la continuidad sin palancas adicionales no alcanza los objetivos del CEO.</w:t>
      </w:r>
    </w:p>
    <w:p>
      <w:pPr>
        <w:pStyle w:val="ListBullet"/>
      </w:pPr>
      <w:r>
        <w:rPr>
          <w:rFonts w:ascii="Arial" w:hAnsi="Arial"/>
          <w:sz w:val="20"/>
        </w:rPr>
        <w:t>Para cumplir EBITDA 10% se requiere subir MC% sobre el histórico (al menos 31-33%) en combinación con eficiencia GAV. El escenario Mejorado (+12% V, MC 31%) o el Optimista (+17% V, MC 33%) son los primeros que cumplen las 5 restricciones.</w:t>
      </w:r>
    </w:p>
    <w:p>
      <w:pPr>
        <w:pStyle w:val="ListBullet"/>
      </w:pPr>
      <w:r>
        <w:rPr>
          <w:rFonts w:ascii="Arial" w:hAnsi="Arial"/>
          <w:sz w:val="20"/>
        </w:rPr>
        <w:t>Las palancas reales de mejora de MC% son: mejora de compras + USD forward · reducción tarifas Flex · marketing digital eficiente · mejor comisión medios de pago web · y especialmente mayor share de canales propios (web + B2B). La renegociación con marketplaces NO es viable.</w:t>
      </w:r>
    </w:p>
    <w:p>
      <w:pPr>
        <w:pStyle w:val="ListBullet"/>
      </w:pPr>
      <w:r>
        <w:rPr>
          <w:rFonts w:ascii="Arial" w:hAnsi="Arial"/>
          <w:sz w:val="20"/>
        </w:rPr>
        <w:t>En el análisis de operador logístico, el operador externo conviene en 2026 sólo si la tarifa todo-incluida está en $1.500-2.000/ped. A $2.000 el ahorro es modesto. A $2.500 pierde dinero. En largo plazo, in-house gana eficiencia sobre volúmenes &gt;300K pedidos/año.</w:t>
      </w:r>
    </w:p>
    <w:p/>
    <w:p>
      <w:r>
        <w:rPr>
          <w:rFonts w:ascii="Arial" w:hAnsi="Arial"/>
          <w:b/>
          <w:i w:val="0"/>
          <w:color w:val="2E75B6"/>
          <w:sz w:val="22"/>
        </w:rPr>
        <w:t>Recomendaciones</w:t>
      </w:r>
    </w:p>
    <w:p>
      <w:pPr>
        <w:pStyle w:val="ListBullet"/>
      </w:pPr>
      <w:r>
        <w:rPr>
          <w:rFonts w:ascii="Arial" w:hAnsi="Arial"/>
          <w:sz w:val="20"/>
        </w:rPr>
        <w:t>Adoptar como meta corporativa el escenario Mejorado (+12% V, MC 31%, eficiencia GAV 8%), con plan de stretch hacia Optimista si Q1 2027 muestra tracción comercial &gt; +15%.</w:t>
      </w:r>
    </w:p>
    <w:p>
      <w:pPr>
        <w:pStyle w:val="ListBullet"/>
      </w:pPr>
      <w:r>
        <w:rPr>
          <w:rFonts w:ascii="Arial" w:hAnsi="Arial"/>
          <w:sz w:val="20"/>
        </w:rPr>
        <w:t>Bajar política inventario de 5,5 m a 4 m operativos. Libera ~$388 MM en KT y reduce gasto financiero.</w:t>
      </w:r>
    </w:p>
    <w:p>
      <w:pPr>
        <w:pStyle w:val="ListBullet"/>
      </w:pPr>
      <w:r>
        <w:rPr>
          <w:rFonts w:ascii="Arial" w:hAnsi="Arial"/>
          <w:sz w:val="20"/>
        </w:rPr>
        <w:t>Mantener operación logística in-house en 2026. Evaluar trimestralmente en 2027 si la tarifa de operador llega a rango optimista ($1.500-1.800).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8FAFC"/>
            <w:tcBorders>
              <w:left w:val="single" w:sz="24" w:color="2E75B6"/>
              <w:top w:val="single" w:sz="4" w:color="CBD5E1"/>
              <w:bottom w:val="single" w:sz="4" w:color="CBD5E1"/>
              <w:right w:val="single" w:sz="4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20"/>
              </w:rPr>
              <w:t>CONCLUSIÓN CENTRAL: Los 5 objetivos del CEO se cumplen por orden de prioridad. Los 3 primeros (D/E, sueldo CEO, sueldo Erich) son fáciles si la UN es positiva. El 4° (UN ≥ $333 MM para retiros) requiere escenario Mejorado. El 5° (EBITDA 10%) es el más exigente y demanda combinar múltiples palancas — NO se logra con una sola.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2. CIERRE PROYECTADO 2026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Cifras del cierre proyectado 2026 (FCST mensual ene-dic) extraídas del archivo de Planificación Financiera. Son el ancla de todas las proyecciones 2027.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2.1 Estado de Resultados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0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MM CLP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% Venta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Ingresos por Ventas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100,0%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Costo Directo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-$3,106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-46.6%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Margen Frontal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$3,554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53.4%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Otros Costos Explot. (comisión + flete + Mkt Perf)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-$1,756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-26.4%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Margen Contribución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$1,798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27.0%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GAV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-$1,548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-23.2%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$250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3.75%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$268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4.02%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GNO (intereses)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-$210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-3.2%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Utilidad Neta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$40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0.60%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57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aterf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1. Cascada P&amp;L 2026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2.2 Crecimiento histórico y estacionalidad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Año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(MM)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MC %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Crecimiento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2024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$5.978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28,3%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—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2025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$6,164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28.8%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+3,1%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2026 FCST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27.0%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+8.0%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color w:val="0F172A"/>
          <w:sz w:val="20"/>
        </w:rPr>
        <w:t>El crecimiento histórico 2025→2026 fue +8.0%. Este es el benchmark realista de continuidad para definir escenarios 2027.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2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nta_mens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2. Venta, MC y EBIT mensuales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560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stacionalid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3. Estacionalidad — peso porcentual de cada mes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2.3 Estructura GAV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280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av_estruc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28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4. Composición del GAV 2026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2.4 Existencias mensuales — saldos reales planilla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Saldos reales al cierre de cada mes 2026 (datos de la planilla, sin aplicar supuestos). Estos valores corresponden al inventario en balance contable (bodega Chile).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Mes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Existencias (MM)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Meses inventario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Ene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$1,892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4.72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Feb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$2,038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5.92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$1,994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5.56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Abr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$1,895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4.39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May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$1,935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5.39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Jun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$1,952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3.59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Jul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$1,958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4.45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Ago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$1,960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5.02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Sep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$1,886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5.58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Oct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$1,670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3.50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Nov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$1,720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2.43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Dic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$1,584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2.50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Promedio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$1,874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4.42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5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xistenci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5. Existencias mensuales 2026 con líneas política (5,5 m) y recomendación (4 m)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2.5 Balance, deuda y capital de trabajo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7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 (MM CLP)</w:t>
            </w:r>
          </w:p>
        </w:tc>
      </w:tr>
      <w:tr>
        <w:tc>
          <w:tcPr>
            <w:tcW w:type="dxa" w:w="57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Patrimonio Neto (dic 2026)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$684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Deuda Financiera Total (dic 2026)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$2,035</w:t>
            </w:r>
          </w:p>
        </w:tc>
      </w:tr>
      <w:tr>
        <w:tc>
          <w:tcPr>
            <w:tcW w:type="dxa" w:w="57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  - COMEX (rotatorio con compras)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$1,651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  - Crédito en pesos (amortizando)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$370</w:t>
            </w:r>
          </w:p>
        </w:tc>
      </w:tr>
      <w:tr>
        <w:tc>
          <w:tcPr>
            <w:tcW w:type="dxa" w:w="57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Ratio Deuda/Patrimonio (D/E)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2.98x ✓ en rango bajo riesgo</w:t>
            </w:r>
          </w:p>
        </w:tc>
      </w:tr>
      <w:tr>
        <w:tc>
          <w:tcPr>
            <w:tcW w:type="dxa" w:w="57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Capital de Trabajo Neto (dic)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$2,303</w:t>
            </w:r>
          </w:p>
        </w:tc>
      </w:tr>
      <w:tr>
        <w:tc>
          <w:tcPr>
            <w:tcW w:type="dxa" w:w="57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Tasa de interés efectiva sobre deuda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10.5% anual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3. MARCO 2027 — RESTRICCIONES, SUPUESTOS, INVENTARIO Y DEUDA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3.1 Restricciones del 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50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Cálculo / Implicancia</w:t>
            </w:r>
          </w:p>
        </w:tc>
      </w:tr>
      <w:tr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D/E en rango bajo riesgo (2,5-3,5)</w:t>
            </w:r>
          </w:p>
        </w:tc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 deuda ~$2.000 MM, patrimonio entre $570-$800 MM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Sueldo CEO +10-15%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Martín Novoa: $9,87 MM/m × 1,12 = ~$11,05 MM/m</w:t>
            </w:r>
          </w:p>
        </w:tc>
      </w:tr>
      <w:tr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Sueldo Erich vitalicio</w:t>
            </w:r>
          </w:p>
        </w:tc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Mantener $5,21 MM/m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Retirar $100 MM (política 30%)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UN 2027 ≥ $333 MM</w:t>
            </w:r>
          </w:p>
        </w:tc>
      </w:tr>
      <w:tr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10%</w:t>
            </w:r>
          </w:p>
        </w:tc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2027 = 10% × Venta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3.2 Supuestos confirmados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0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Supuesto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Tasa impuesto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Tasa interés efectiva sobre deuda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10.5%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Ajuste UF gastos varios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Ajuste salarial general (incluye CEO)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12%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IA salidas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 cargos plan IA + Camila Villalta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Control de Gestión (Sub-gerencia Finanzas)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SE MANTIENE en 2027 (no sale)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Branding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3% de la venta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Inventario política operativa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5,5 meses (3,5+1+1) en versión CEO · 4 m recomendado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Inventario obsoleto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10% recurrente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Costo por pedido in-house actual (KPI app)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$2.812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histórico 2025→2026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+8.0%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3.3 Tratamiento del inventario y relación con KT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 sección 2.4 mostró saldos reales 2026: promedio 4,4 meses, peak feb 5,9, valle nov 2,4. La política operativa del CEO para 2027 es 5,5 meses (3,5 bodega + 1 tránsito + 1 producción) con 10% obsoleto recurrente.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Meses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MM CLP (2027 Realista)</w:t>
            </w:r>
          </w:p>
        </w:tc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Aparece en balance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Bodega Chile operativo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3,5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$979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Tránsito (mar/aire)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1,0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$280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Anticipo proveedores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Producción China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1,0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$280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Anticipo proveedores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Obsoleto recurrente (10% bodega)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—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$109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Existencias en balance (bodega + obs)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~3,9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$1,087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color w:val="0F172A"/>
          <w:sz w:val="20"/>
        </w:rPr>
        <w:t>Recomendación crítica: pasar la política bodega de 3,5 m a 2,5 m operativos (política total 4 m en lugar de 5,5 m). Libera ~$280 MM en KT, reduce el COMEX necesario y mejora el D/E. Coherente con el comportamiento real 2026 (promedio 4,4 m).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3.4 Estructura de Deuda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 deuda financiera ($2,035 MM dic 2026) se compone de dos instrumentos con comportamientos opuestos: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Saldo ene-26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Saldo dic-26</w:t>
            </w:r>
          </w:p>
        </w:tc>
        <w:tc>
          <w:tcPr>
            <w:tcW w:type="dxa" w:w="230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Comportamiento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Tasa estim.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Crédito en pesos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$441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$370</w:t>
            </w:r>
          </w:p>
        </w:tc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AMORTIZANDO (cuota mensual)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~8,5% anual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COMEX (multibanco)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$1,445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$1,651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ROTATORIO (crece con compras)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~5-6% anual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$1,973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$2,035</w:t>
            </w:r>
          </w:p>
        </w:tc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10.5% mezcla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57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eud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6. Estructura de Deuda 2026</w:t>
      </w:r>
    </w:p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4. ANÁLISIS ÁCIDO ESTÁTICO 2027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El escenario ácido aplica las restricciones CEO sin asumir mejoras: MC% se mantiene en 27%, plan IA sin Gabriela (se mantiene), UF 4%, ajuste salarial 12%.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4.1 GAV 2027 proyectado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31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2026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2027 ácido base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Δ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Sueldos GAV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$1,180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$1,261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+6.9%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Oficina/Arriendos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$201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$209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+4,0%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Suscripciones (con Claude IA)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$31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$46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+49%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Branding (3%V)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$342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Depreciación + Otros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$93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$96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 GAV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$1,548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$1,953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+26.2%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4.2 Cuello de botella entre las restricciones 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Restricción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requerida (MM)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Crecimiento vs 2026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UN ≥ $333 MM (retiros $100 MM)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$9,511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+43%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= 10% ⭐ binding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$11,386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+71%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 restricción binding es EBITDA 10%. Sin palancas adicionales exige crecimiento +71% sobre 2026 — muy lejos del histórico (+8.0%). En la Sección 7 (Matriz extendida) se explora cómo combinar palancas para reducir este crecimiento requerido a niveles factibles.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4.3 Análisis de Deuda y D/E por escenario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Una de las restricciones prioritarias del CEO es mantener el D/E en rango de bajo riesgo (2,5-3,5). Este ratio cambia en 2027 según: (a) la utilidad neta del escenario, (b) los retiros realizados (política 30%, máximo $100 MM/año) y (c) la evolución de la deuda (COMEX rotatorio + crédito en pesos amortizando).</w:t>
      </w:r>
    </w:p>
    <w:p>
      <w:r>
        <w:rPr>
          <w:rFonts w:ascii="Arial" w:hAnsi="Arial"/>
          <w:b/>
          <w:i w:val="0"/>
          <w:color w:val="0F172A"/>
          <w:sz w:val="20"/>
        </w:rPr>
        <w:t>Cálculo del D/E proyectado 2027 por escenario:</w:t>
      </w:r>
    </w:p>
    <w:p>
      <w:pPr>
        <w:jc w:val="center"/>
      </w:pPr>
      <w:r>
        <w:rPr>
          <w:rFonts w:ascii="Arial" w:hAnsi="Arial"/>
          <w:b/>
          <w:i w:val="0"/>
          <w:color w:val="2E75B6"/>
          <w:sz w:val="20"/>
        </w:rPr>
        <w:t>Patrimonio 2027 = Patrimonio 2026 + Utilidad Neta 2027 − Retiros 2027</w:t>
      </w:r>
    </w:p>
    <w:p>
      <w:pPr>
        <w:jc w:val="both"/>
      </w:pPr>
      <w:r>
        <w:rPr>
          <w:rFonts w:ascii="Arial" w:hAnsi="Arial"/>
          <w:b w:val="0"/>
          <w:i/>
          <w:color w:val="0F172A"/>
          <w:sz w:val="18"/>
        </w:rPr>
        <w:t>Donde retiros 2027 = min(UN × 30%, $100 MM). Asumimos deuda 2027 estable en ~$2,035 MM (COMEX se mantiene con compras + crédito en pesos amortizando se compensa).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 (MM)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Retiros (MM)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Patrimonio fin 2027 (MM)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D/E proyectado</w:t>
            </w:r>
          </w:p>
        </w:tc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¿En rango 2,5-3,5?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cambios)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$-163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$-49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$570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3.57x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 Excede el rango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(continuidad his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$149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$45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$788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2.58x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 Sí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(plan IA + 5 pal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$345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$100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$929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2.19x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⚠ Bajo el rango (más conservador)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(palancas plena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$589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$100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$1,173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1.73x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⚠ Bajo el rango (más conservador)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$864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$100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$1,448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1.41x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⚠ Bajo el rango (más conservador)</w:t>
            </w:r>
          </w:p>
        </w:tc>
      </w:tr>
    </w:tbl>
    <w:p/>
    <w:p>
      <w:r>
        <w:rPr>
          <w:rFonts w:ascii="Arial" w:hAnsi="Arial"/>
          <w:b/>
          <w:i w:val="0"/>
          <w:color w:val="2E75B6"/>
          <w:sz w:val="20"/>
        </w:rPr>
        <w:t>Lectura del D/E proyectado:</w:t>
      </w:r>
    </w:p>
    <w:p>
      <w:pPr>
        <w:pStyle w:val="ListBullet"/>
      </w:pPr>
      <w:r>
        <w:rPr>
          <w:rFonts w:ascii="Arial" w:hAnsi="Arial"/>
          <w:sz w:val="20"/>
        </w:rPr>
        <w:t>En el escenario Status quo (UN negativa o muy baja), el patrimonio cae y el D/E supera 3,5 — sale del rango aceptable.</w:t>
      </w:r>
    </w:p>
    <w:p>
      <w:pPr>
        <w:pStyle w:val="ListBullet"/>
      </w:pPr>
      <w:r>
        <w:rPr>
          <w:rFonts w:ascii="Arial" w:hAnsi="Arial"/>
          <w:sz w:val="20"/>
        </w:rPr>
        <w:t>En el escenario Realista (UN ~$280 MM), el patrimonio crece y el D/E baja a ~2,4x. Está por DEBAJO del rango pero es bueno (menor riesgo).</w:t>
      </w:r>
    </w:p>
    <w:p>
      <w:pPr>
        <w:pStyle w:val="ListBullet"/>
      </w:pPr>
      <w:r>
        <w:rPr>
          <w:rFonts w:ascii="Arial" w:hAnsi="Arial"/>
          <w:sz w:val="20"/>
        </w:rPr>
        <w:t>En escenarios Mejorado y superiores, el D/E baja aún más (1,7-2,0x). El CEO pidió "bajo riesgo": estar bajo el rango no es problema, es mejor.</w:t>
      </w:r>
    </w:p>
    <w:p>
      <w:pPr>
        <w:pStyle w:val="ListBullet"/>
      </w:pPr>
      <w:r>
        <w:rPr>
          <w:rFonts w:ascii="Arial" w:hAnsi="Arial"/>
          <w:sz w:val="20"/>
        </w:rPr>
        <w:t>Implicancia estratégica: el cumplimiento del D/E está condicionado a tener UN positiva razonable. Cualquier escenario que cumpla el objetivo UN ≥ $333 MM automáticamente cumple el D/E con holgura.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4.4 Estructura de deuda 2027 — proyección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 deuda total 2027 dependerá del comportamiento de los dos instrumentos: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Saldo dic 2026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Tendencia 2027</w:t>
            </w:r>
          </w:p>
        </w:tc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Saldo estimado dic 2027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Crédito en pesos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$370 MM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Amortiza ~$10 MM/mes (cuota fija)</w:t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~$250 MM (-32%)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COMEX (rotatorio)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$1,651 MM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Crece con compras de inventario</w:t>
            </w:r>
          </w:p>
        </w:tc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Estable si política inventario 4m · Sube ~10% si crece venta +12%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 estimado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$2,035 MM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~$1.900-2.100 MM (escenarios moderados)</w:t>
            </w:r>
          </w:p>
        </w:tc>
      </w:tr>
    </w:tbl>
    <w:p/>
    <w:p>
      <w:r>
        <w:rPr>
          <w:rFonts w:ascii="Arial" w:hAnsi="Arial"/>
          <w:b/>
          <w:i w:val="0"/>
          <w:color w:val="2E75B6"/>
          <w:sz w:val="20"/>
        </w:rPr>
        <w:t>Palancas adicionales sobre el D/E (no necesariamente vía EBITDA):</w:t>
      </w:r>
    </w:p>
    <w:p>
      <w:pPr>
        <w:pStyle w:val="ListBullet"/>
      </w:pPr>
      <w:r>
        <w:rPr>
          <w:rFonts w:ascii="Arial" w:hAnsi="Arial"/>
          <w:sz w:val="20"/>
        </w:rPr>
        <w:t>Reducir política inventario 5,5 → 4m libera ~$160 MM en COMEX → baja deuda → mejora D/E directamente.</w:t>
      </w:r>
    </w:p>
    <w:p>
      <w:pPr>
        <w:pStyle w:val="ListBullet"/>
      </w:pPr>
      <w:r>
        <w:rPr>
          <w:rFonts w:ascii="Arial" w:hAnsi="Arial"/>
          <w:sz w:val="20"/>
        </w:rPr>
        <w:t>Refinanciar deuda a tasa más baja (de 10,5% a 8%) no afecta D/E pero ahorra gastos financieros (~$50 MM/año) que impactan en UN.</w:t>
      </w:r>
    </w:p>
    <w:p>
      <w:pPr>
        <w:pStyle w:val="ListBullet"/>
      </w:pPr>
      <w:r>
        <w:rPr>
          <w:rFonts w:ascii="Arial" w:hAnsi="Arial"/>
          <w:sz w:val="20"/>
        </w:rPr>
        <w:t>Acelerar amortización con caja excedente baja deuda absoluta → mejora D/E al alza (más conservador).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8FAFC"/>
            <w:tcBorders>
              <w:left w:val="single" w:sz="24" w:color="EA580C"/>
              <w:top w:val="single" w:sz="4" w:color="CBD5E1"/>
              <w:bottom w:val="single" w:sz="4" w:color="CBD5E1"/>
              <w:right w:val="single" w:sz="4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20"/>
              </w:rPr>
              <w:t>CONCLUSIÓN D/E: el cumplimiento del rango 2,5-3,5 está condicionado a tener UN positiva razonable. Cualquier escenario que cumpla la restricción UN ≥ $333 MM (Escenario Mejorado o superior) cumple el D/E automáticamente con holgura (queda en 1,7-2,2x). En escenarios débiles (Status quo o Realista bajo), el D/E queda al filo o se sale del rango por arriba.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5. ESCENARIO 1: MARGEN FRONTAL Y RENTABILIDAD CANALES DIGITALES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Palancas comerciales y de compras que mejoran el margen de contribución. La renegociación con marketplaces NO se incluye (no es viable). Las palancas reales son: mejora margen directo, tarifas Flex, marketing digital eficiente, medios de pago web y mix de canales propios + B2B.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5.1 Estacionalidad del margen — análisis mensual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Mes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(MM)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MF %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Comisión %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MC 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Ene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$367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53.1%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17.8%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27.7%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Feb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$334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55.6%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21.1%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27.3%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$608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55.1%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15.0%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33.7%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Abr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$447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56.8%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18.3%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28.8%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May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$401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53.8%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23.1%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27.0%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Jun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$733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50.2%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24.1%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22.0%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Jul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$492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54.2%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23.9%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26.7%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Ago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$475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54.4%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23.5%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27.2%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Sep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$584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51.4%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16.7%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32.2%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Oct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$738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50.0%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24.1%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21.9%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Nov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$543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53.5%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23.2%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26.9%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Dic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$937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55.0%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24.9%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26.2%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Promedio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$555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53.4%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21.6%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27.0%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54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argen_mensu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7. Estacionalidad del margen 2026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Los meses peak (Jun, Oct, Dic) tienen comisión ~24% s/venta vs 18% en meses tranquilos. Esto refleja el peso de marketplaces en el peak comercial.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5.2 Palancas reales para mejorar MC%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64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Impacto MC</w:t>
            </w:r>
          </w:p>
        </w:tc>
      </w:tr>
      <w:tr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 compras + USD forward (margen directo)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+0,8 a +1,5 pp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Tarifas Flex (Falabella y ML)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+0,3 a +0,7 pp</w:t>
            </w:r>
          </w:p>
        </w:tc>
      </w:tr>
      <w:tr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digital eficiente (reasignar gasto a canales con mejor ROI)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+0,5 a +1,0 pp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Renegociar comisiones medios de pago web (Webpay)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+0,2 a +0,4 pp</w:t>
            </w:r>
          </w:p>
        </w:tc>
      </w:tr>
      <w:tr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Mayor share canales propios y B2B (MC 65-70%)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+1,0 a +2,5 pp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Combinación conservadora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+3 a +6 pp (MC% 30-33%)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6. ESCENARIO 2: GAV Y COSTO OPERATIVO — ANÁLISIS COMPLETO OPERADOR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6.1 Distribución del payroll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A. Por nivel jerárquico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 personas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 mensual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% total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Anualizado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1.1 - CEO (Gerencia General)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$9.87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12.1%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$118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1.2 - Co-Founder (vitalicio)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$5.21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6.4%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$63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1.3 - Ger. Finanzas y Operaciones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$6.33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7.8%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$76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1.4 - Ger. Comercial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$5.48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6.7%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$66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1.5 - Ger. Productos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$5.50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6.8%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$66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2.1 - Sub-gerencia Control de Gestión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$2.26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2.8%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$27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2.2 - Sub-gerencia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$3.98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4.9%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$48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3 - Jefatura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$12.31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15.1%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$148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4 - Coordinación/Planner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$3.21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3.9%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$38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5 - KAM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$6.35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7.8%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$76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6 - Analista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$2.87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7 - Operativo Administrativo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$3.62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4.4%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$43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8 - Operativo Bodega/Reparto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$8.16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10.0%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$98 MM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9 - Diseño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$6.31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7.7%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$76 MM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40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$81.47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100,0%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$978 MM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color w:val="0F172A"/>
          <w:sz w:val="18"/>
        </w:rPr>
        <w:t>Las 5 gerencias confirmadas (Martín Novoa CEO, Erich Co-Founder, Andrés Browne GAF, Nicolás Vásquez Comercial, Sebastián Guzmán Productos) están separadas en niveles 1.1-1.5. Gabriela Pastran (Control de Gestión) se clasifica en nivel 2.1 como Sub-gerencia Finanzas y se mantiene en 2027.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B. Por área y sub-área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259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Sub-área</w:t>
            </w:r>
          </w:p>
        </w:tc>
        <w:tc>
          <w:tcPr>
            <w:tcW w:type="dxa" w:w="86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Mensual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% total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GERENCIA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GRUPO ETER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$23.67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29.1%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COMERCIAL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COMERCIAL ME LO LLEVO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$10.33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12.7%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OPERACIONES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LOGISTICA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9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$8.80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10.8%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CONTABILIDAD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CONTABILIDAD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$6.05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7.4%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GERENCIA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PRODUCTOS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$5.50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6.8%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GERENCIA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COMERCIAL UNION X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$5.48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6.7%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OPERACIONES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POST VENTA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$4.70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5.8%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DESARROLLO PROD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PRODUCTOS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$3.64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4.5%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DESARROLLO PROD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$3.41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4.2%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COMERCIAL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Productos PM/Distribución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$3.21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3.9%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OPERACIONES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FACTURACION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$2.94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3.6%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COMERCIAL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$2.67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3.3%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COMERCIAL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TRADEMKT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$1.06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1.3%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6.2 Costo por pedido — proyección con salidas plan IA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El costo por pedido actual (KPI app) es $2,812. Las salidas del plan IA aplicables a operaciones (Jorgelis Flores Log. Inv. 31-jul, Iris Yori Facturación 15-ago, Fernanda Stipp Facturación 15-sep) reducen el costo a partir de su salida. Costo proyectado dic 2026 (full impact): $2,609/ped.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22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costo_pedi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8. Costo por pedido 2026 — in-house proyectado vs benchmarks operador (tarifa + jefaturas integradas)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Modelo operador externo: el operador opera con su propia gente y arriendos, cobra una tarifa todo-incluida por pedido ($1.500-2.500). Mantenemos integradas a sus operaciones a las 3 jefaturas operativas (Max Bellolio Post Venta, Gerardo Ortega Logística, Yohana Grisman Facturación) MÁS el Gerente de Operaciones (Andrés Browne, 50% de su sueldo asignado a Operaciones — el otro 50% queda en Finanzas). Total costo retenido in-house: $119 MM/año = $664/pedido sobre volumen actual. Esto eleva significativamente el costo retenido respecto a un modelo sin supervisión gerencial de operaciones.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Escenario A — Cambio a operador agosto 2026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Cambio efectivo 1-ago-2026. Las 13 personas operativas (sin jefaturas) salen con indemnización legal Chile. Indemnización total: $27 MM. Comparación año completo: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Bench operador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In-house ene-jul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Operador ago-dic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Indemnización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con cambio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Total sin cambio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Δ neto 2026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$1,500 (Optimista)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$295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$162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$27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$484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$495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$+11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$2,000 (Base)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$295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$200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$27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$522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$495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$-27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$2,500 (Conservador)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$295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$237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$27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$559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$495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$-64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Lectura: el cambio AHORRA $11 MM bajo operador optimista ($1.500/ped), genera diferencial neutro o leve de $-27 MM bajo base ($2.000/ped), y PIERDE $64 MM bajo conservador ($2.500/ped). El benchmark pivote es $1.700-1.800/ped: bajo eso el cambio claramente conviene.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Escenario B — 2027 por escenario combinado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(MM)</w:t>
            </w:r>
          </w:p>
        </w:tc>
        <w:tc>
          <w:tcPr>
            <w:tcW w:type="dxa" w:w="100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Pedidos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Cxp in-house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Cxp operador base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Cxp operador opt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Decisión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180K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$2,799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$2,690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$2,190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opt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$7,194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194K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$2,561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$2,639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$2,139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In-house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Mejorado (plan IA 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$7,458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202K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$2,438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$2,616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$2,116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In-house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$7,791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211K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$2,285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$2,590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$2,090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In-house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$8,324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225K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$2,142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$2,552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$2,052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In-house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93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xp_202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9. Costo por pedido 2027 por escenario — in-house vs operador base y optimista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A mayor escenario de venta, el costo unitario in-house baja por mejor absorción de fijos. El operador optimista ($1.500+jef) es competitivo en todos los escenarios. El operador base ($2.000+jef) compite parejo con in-house en escenarios medios.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Escenario C — ¿Cuándo conviene cambiar a operador externo? (Análisis directo)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Las decisiones de mantener in-house o cambiar a operador se toman cuando, según el escenario de venta proyectada, el costo TOTAL por pedido sea menor en una u otra alternativa. La siguiente tabla muestra esa comparación directa por cada escenario 2027 considerado.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C.1 Proyección de pedidos 2027 por escenario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Asumiendo un AOV (ticket promedio) constante de $36,904 CLP, los pedidos 2027 escalan proporcionalmente con la venta: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Crec V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2027 (MM)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Pedidos 2027 (miles)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Δ vs 2026 (180K)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cambios)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+0%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180K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+0% pedidos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(continuidad his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+8%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$7,194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194K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+8% pedidos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(plan IA + 5 pal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+12%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$7,458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202K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+12% pedidos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(palancas plena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+17%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$7,791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211K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+17% pedidos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+25%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$8,324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225K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+25% pedidos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C.2 Comparación in-house vs operador por escenario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Para cada escenario 2027 calculamos el costo POR PEDIDO bajo 3 alternativas:</w:t>
      </w:r>
    </w:p>
    <w:p>
      <w:pPr>
        <w:pStyle w:val="ListBullet"/>
      </w:pPr>
      <w:r>
        <w:rPr>
          <w:rFonts w:ascii="Arial" w:hAnsi="Arial"/>
          <w:sz w:val="20"/>
        </w:rPr>
        <w:t>IN-HOUSE con plan IA: costo proyectado interno una vez ejecutadas las salidas plan IA (Jorgelis, Iris, Stipp). Punto de partida $2,812/ped (actual).</w:t>
      </w:r>
    </w:p>
    <w:p>
      <w:pPr>
        <w:pStyle w:val="ListBullet"/>
      </w:pPr>
      <w:r>
        <w:rPr>
          <w:rFonts w:ascii="Arial" w:hAnsi="Arial"/>
          <w:sz w:val="20"/>
        </w:rPr>
        <w:t>OPERADOR BASE ($2.000/ped tarifa) + jefaturas retenidas (Max + Gerardo + Yohana + 50% Gerente Ops) ~$664/ped sobre volumen actual</w:t>
      </w:r>
    </w:p>
    <w:p>
      <w:pPr>
        <w:pStyle w:val="ListBullet"/>
      </w:pPr>
      <w:r>
        <w:rPr>
          <w:rFonts w:ascii="Arial" w:hAnsi="Arial"/>
          <w:sz w:val="20"/>
        </w:rPr>
        <w:t>OPERADOR OPTIMISTA ($1.500/ped tarifa) + mismas jefaturas retenidas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259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Pedidos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In-house (proy)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Operador BASE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Operador OPT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Decisión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camb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180K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$2,799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$2,690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$2,190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OPT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(continuida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194K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$2,561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$2,639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$2,139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OPT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Mejorado (plan IA + 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202K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$2,438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$2,616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$2,116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OPT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Optimista (palancas 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211K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$2,285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$2,590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$2,090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OPT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(stretch)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225K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$2,142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$2,552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$2,052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OPT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893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xp_202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10. Costo por pedido 2027 por escenario — in-house vs operador (base y optimista)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C.3 Punto de equilibrio — ¿a qué volumen empata el cambio?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 pregunta complementaria al análisis por escenario es: independiente del escenario de venta, ¿a qué volumen anual de pedidos el costo total in-house se iguala al costo total del operador externo? Por debajo de ese volumen, el operador es más barato; por encima, el in-house gana eficiencia por absorción de costos fijos.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30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Tarifa operador (todo-incl)</w:t>
            </w:r>
          </w:p>
        </w:tc>
        <w:tc>
          <w:tcPr>
            <w:tcW w:type="dxa" w:w="259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Modelo operador (cobertura)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Volumen de equilibrio</w:t>
            </w:r>
          </w:p>
        </w:tc>
        <w:tc>
          <w:tcPr>
            <w:tcW w:type="dxa" w:w="302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$1,500/ped (OPTIMISTA)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 jefaturas retenidas ($119 MM/año)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~80-120K ped/año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Operador gana SIEMPRE en rango UnionX (180-225K). Cambio justificado financieramente.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$2,000/ped (BASE)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 jefaturas retenidas ($119 MM/año)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~250-300K ped/año</w:t>
            </w:r>
          </w:p>
        </w:tc>
        <w:tc>
          <w:tcPr>
            <w:tcW w:type="dxa" w:w="302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Volumen actual 180K y proyección 2027 ~195-225K están BAJO equilibrio. Operador y in-house empatan o gana operador marginalmente. In-house gana por sobre 300K (no realista en 2027).</w:t>
            </w:r>
          </w:p>
        </w:tc>
      </w:tr>
      <w:tr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$2,500/ped (CONSERVADOR)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 jefaturas retenidas ($119 MM/año)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~120-150K ped/año</w:t>
            </w:r>
          </w:p>
        </w:tc>
        <w:tc>
          <w:tcPr>
            <w:tcW w:type="dxa" w:w="302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In-house ya gana en rango UnionX. Operador no se justifica.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0436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unto_equilib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11. Curvas costo total — in-house vs operador (3 tarifas, 3 niveles de eficiencia in-house)</w:t>
      </w:r>
    </w:p>
    <w:p>
      <w:r>
        <w:rPr>
          <w:rFonts w:ascii="Arial" w:hAnsi="Arial"/>
          <w:b/>
          <w:i w:val="0"/>
          <w:color w:val="0F172A"/>
          <w:sz w:val="20"/>
        </w:rPr>
        <w:t>Lectura combinando análisis por escenario + punto de equilibrio:</w:t>
      </w:r>
    </w:p>
    <w:p>
      <w:pPr>
        <w:pStyle w:val="ListBullet"/>
      </w:pPr>
      <w:r>
        <w:rPr>
          <w:rFonts w:ascii="Arial" w:hAnsi="Arial"/>
          <w:sz w:val="20"/>
        </w:rPr>
        <w:t>Volumen actual UnionX: 180K pedidos/año. Proyección 2027 entre 194K (Realista) y 225K (Ambicioso).</w:t>
      </w:r>
    </w:p>
    <w:p>
      <w:pPr>
        <w:pStyle w:val="ListBullet"/>
      </w:pPr>
      <w:r>
        <w:rPr>
          <w:rFonts w:ascii="Arial" w:hAnsi="Arial"/>
          <w:sz w:val="20"/>
        </w:rPr>
        <w:t>Bajo cualquier escenario realista (incluido el más ambicioso), no superamos los 300K pedidos/año. Esto significa: para que el operador BASE ($2.000) supere al in-house necesitaríamos crecer hacia +60% del volumen actual — no factible en horizonte 2027.</w:t>
      </w:r>
    </w:p>
    <w:p>
      <w:pPr>
        <w:pStyle w:val="ListBullet"/>
      </w:pPr>
      <w:r>
        <w:rPr>
          <w:rFonts w:ascii="Arial" w:hAnsi="Arial"/>
          <w:sz w:val="20"/>
        </w:rPr>
        <w:t>Conclusión combinada: bajo tarifas razonables de mercado (BASE-CONSERVADOR), el in-house con plan IA mantiene la ventaja en todo el rango proyectado. Sólo la tarifa OPTIMISTA ($1.500) cambia el análisis y justifica una transición.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C.4 Conclusión directa</w:t>
      </w:r>
    </w:p>
    <w:p>
      <w:pPr>
        <w:jc w:val="both"/>
      </w:pPr>
      <w:r>
        <w:rPr>
          <w:rFonts w:ascii="Arial" w:hAnsi="Arial"/>
          <w:b/>
          <w:i w:val="0"/>
          <w:color w:val="0F172A"/>
          <w:sz w:val="20"/>
        </w:rPr>
        <w:t>Con el costo retenido in-house elevado por el mantenimiento del Gerente de Operaciones (50% asignado) + 3 jefaturas operativas integradas, el operador EXTERNO sólo es competitivo bajo tarifa OPTIMISTA ($1.500/ped o menor). En cualquier otro escenario, MANTENER OPERACIÓN IN-HOUSE con plan IA aplicado es la decisión correcta.</w:t>
      </w:r>
    </w:p>
    <w:p>
      <w:pPr>
        <w:pStyle w:val="ListBullet"/>
      </w:pPr>
      <w:r>
        <w:rPr>
          <w:rFonts w:ascii="Arial" w:hAnsi="Arial"/>
          <w:sz w:val="20"/>
        </w:rPr>
        <w:t>Volumen actual UnionX: 180K pedidos/año. Costo proyectado in-house con plan IA: ~$2,609/ped al cierre 2026.</w:t>
      </w:r>
    </w:p>
    <w:p>
      <w:pPr>
        <w:pStyle w:val="ListBullet"/>
      </w:pPr>
      <w:r>
        <w:rPr>
          <w:rFonts w:ascii="Arial" w:hAnsi="Arial"/>
          <w:sz w:val="20"/>
        </w:rPr>
        <w:t>A volúmenes superiores (escenarios Mejorado/Optimista/Ambicioso 2027), in-house gana más eficiencia por mejor absorción de costos fijos.</w:t>
      </w:r>
    </w:p>
    <w:p>
      <w:pPr>
        <w:pStyle w:val="ListBullet"/>
      </w:pPr>
      <w:r>
        <w:rPr>
          <w:rFonts w:ascii="Arial" w:hAnsi="Arial"/>
          <w:sz w:val="20"/>
        </w:rPr>
        <w:t>El operador externo se vuelve atractivo SÓLO si: (a) se obtiene una tarifa &lt; $1.700/ped vía proceso competitivo; o (b) se descarta el mantenimiento del Gerente Ops como parte del modelo retenido.</w:t>
      </w:r>
    </w:p>
    <w:p>
      <w:pPr>
        <w:pStyle w:val="ListBullet"/>
      </w:pPr>
      <w:r>
        <w:rPr>
          <w:rFonts w:ascii="Arial" w:hAnsi="Arial"/>
          <w:sz w:val="20"/>
        </w:rPr>
        <w:t>Recomendación: mantener operación in-house en 2026-2027 con plan IA. Reevaluar trimestralmente si el mercado de operadores logísticos baja sus tarifas hacia el rango optimista.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8FAFC"/>
            <w:tcBorders>
              <w:left w:val="single" w:sz="24" w:color="10B981"/>
              <w:top w:val="single" w:sz="4" w:color="CBD5E1"/>
              <w:bottom w:val="single" w:sz="4" w:color="CBD5E1"/>
              <w:right w:val="single" w:sz="4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20"/>
              </w:rPr>
              <w:t>RESPUESTA DIRECTA: con el modelo retenido actual (jefaturas operativas + 50% Gerente Ops integrados), el operador externo SÓLO conviene si su tarifa todo-incluida es &lt; $1.700/pedido. A tarifas $2.000+ pierde frente a in-house con plan IA aplicado en cualquier escenario de venta 2027.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6.3 Recomendación operador logístico</w:t>
      </w:r>
    </w:p>
    <w:p>
      <w:pPr>
        <w:pStyle w:val="ListBullet"/>
      </w:pPr>
      <w:r>
        <w:rPr>
          <w:rFonts w:ascii="Arial" w:hAnsi="Arial"/>
          <w:sz w:val="20"/>
        </w:rPr>
        <w:t>2026: NO cambiar a operador en agosto bajo tarifa base ($2.000+). El operador optimista ($1.500) sí justifica el cambio, pero requiere negociación contractual concreta antes de comprometerse.</w:t>
      </w:r>
    </w:p>
    <w:p>
      <w:pPr>
        <w:pStyle w:val="ListBullet"/>
      </w:pPr>
      <w:r>
        <w:rPr>
          <w:rFonts w:ascii="Arial" w:hAnsi="Arial"/>
          <w:sz w:val="20"/>
        </w:rPr>
        <w:t>2027: monitorear trimestralmente. Si la tarifa de operador baja a rango $1.500-1.800/ped (consolidación del mercado, mayor competencia), evaluar cambio.</w:t>
      </w:r>
    </w:p>
    <w:p>
      <w:pPr>
        <w:pStyle w:val="ListBullet"/>
      </w:pPr>
      <w:r>
        <w:rPr>
          <w:rFonts w:ascii="Arial" w:hAnsi="Arial"/>
          <w:sz w:val="20"/>
        </w:rPr>
        <w:t>Largo plazo: invertir en automatización in-house (slotting, picking dirigido, rotación) para bajar V_in y mover el punto de equilibrio hacia menor volumen, haciendo in-house más competitivo.</w:t>
      </w:r>
    </w:p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7. MATRIZ EXTENDIDA DE ESCENARIOS — MC 27% → 33%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Para cada nivel de MC% (en pasos de 1pp desde 27% hasta 33%) calculamos la venta requerida para EBITDA 10%, asumiendo eficiencia GAV gradual y política inventario gradual coherente con el nivel de palancas. Esto permite ver múltiples combinaciones realistas.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7.1 Matriz MC% × Crecimiento V requerido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00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MC %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Ef GAV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Pol Inventario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req. (MM)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Crec V vs 2026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 resultante (MM)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Realismo</w:t>
            </w:r>
          </w:p>
        </w:tc>
      </w:tr>
      <w:tr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27%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0.0%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4.4 m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$11,382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+71%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$661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Aspiracional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28%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2.5%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4.2 m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$10,355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+55%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$592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Aspiracional</w:t>
            </w:r>
          </w:p>
        </w:tc>
      </w:tr>
      <w:tr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29%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5.0%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4.1 m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$9,456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+42%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$531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Aspiracional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30%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7.5%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4.0 m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$8,662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+30%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$477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Aspiracional</w:t>
            </w:r>
          </w:p>
        </w:tc>
      </w:tr>
      <w:tr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31%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10.0%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3.8 m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$7,957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+19%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$429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Stretch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32%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12.5%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3.7 m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$7,326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+10%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$385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</w:t>
            </w:r>
          </w:p>
        </w:tc>
      </w:tr>
      <w:tr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33%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15.0%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 m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$6,759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+1%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$346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Bajo histórico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630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atriz_m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11. Matriz extendida — MC% × Crecimiento V requerido para EBITDA 10%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7.2 5 Escenarios Top — comparación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00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Crec V</w:t>
            </w:r>
          </w:p>
        </w:tc>
        <w:tc>
          <w:tcPr>
            <w:tcW w:type="dxa" w:w="86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MC%</w:t>
            </w:r>
          </w:p>
        </w:tc>
        <w:tc>
          <w:tcPr>
            <w:tcW w:type="dxa" w:w="86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Ef GAV</w:t>
            </w:r>
          </w:p>
        </w:tc>
        <w:tc>
          <w:tcPr>
            <w:tcW w:type="dxa" w:w="86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Pol Inv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EBITDA %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</w:t>
            </w:r>
          </w:p>
        </w:tc>
        <w:tc>
          <w:tcPr>
            <w:tcW w:type="dxa" w:w="86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D/E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cambios)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27%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4.4m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0.1%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$-163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2.48x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(continuidad his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+8%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29%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5%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4.0m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$7,194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5.1%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$149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1.77x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(plan IA + 5 pal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+12%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31%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4.0m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$7,458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8.6%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$345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1.55x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(palancas plena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+17%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33%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12%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3.5m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$7,791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12.4%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$589</w:t>
            </w:r>
          </w:p>
        </w:tc>
        <w:tc>
          <w:tcPr>
            <w:tcW w:type="dxa" w:w="8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1.13x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(stretch)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+25%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35%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15%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3.5m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$8,324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16.2%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$864</w:t>
            </w:r>
          </w:p>
        </w:tc>
        <w:tc>
          <w:tcPr>
            <w:tcW w:type="dxa" w:w="8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0.97x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17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scenarios_to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12. EBITDA % resultante por escenario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775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umplimi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13. Matriz cumplimiento — escenarios vs restricciones CEO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7.3 Segunda partida: efecto del operador logístico en cada escenario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Para cada uno de los 5 escenarios anteriores, evaluamos el efecto financiero de mantener la operación in-house (default) vs trasladar la operación al operador logístico externo bajo tarifa base ($2.000) o tarifa optimista ($1.500). El cambio operador modifica el costo operativo y se traduce directamente en EBITDA y Utilidad Neta.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A. Costo operativo total por escenario × 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(MM)</w:t>
            </w:r>
          </w:p>
        </w:tc>
        <w:tc>
          <w:tcPr>
            <w:tcW w:type="dxa" w:w="100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Pedidos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 OP in-house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 OP base ($2k)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 OP opt ($1.5k)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Δ OP base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Δ OP opt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180K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$504 MM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$497 MM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$407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$+7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$+97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$7,194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194K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$498 MM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$526 MM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$429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$-28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$+69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Mejorado (plan IA 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$7,458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202K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$491 MM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$540 MM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$440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$-49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$+52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$7,791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211K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$481 MM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$558 MM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$453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$-77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$+28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$8,324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225K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$482 MM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$587 MM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$475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$-105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$+7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color w:val="0F172A"/>
          <w:sz w:val="18"/>
        </w:rPr>
        <w:t>Lectura: Δ positivo significa que el operador AHORRA respecto a in-house. Δ negativo significa que el operador es más caro.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B. EBITDA y Utilidad Neta por escenario × estructura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In-house EBITDA %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In-house UN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Op. BASE EBITDA %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Op. BASE UN</w:t>
            </w:r>
          </w:p>
        </w:tc>
        <w:tc>
          <w:tcPr>
            <w:tcW w:type="dxa" w:w="158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Op. OPT EBITDA %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Op. OPT UN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(sin ca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0.1%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$-163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0.2%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$-221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1.5%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$-131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5.1%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$149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4.7%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$79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6.1%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$150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 xml:space="preserve">Mejorado (plan IA 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8.6%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$345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7.9%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$263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9.3%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$336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12.4%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$589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11.4%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$479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12.8%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$555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16.2%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$864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14.9%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$738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16.3%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$821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7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efecto_operad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14. EBITDA % por escenario × estructura operativa (in-house / operador base / operador optimista)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C. Lectura clave del efecto operador</w:t>
      </w:r>
    </w:p>
    <w:p>
      <w:pPr>
        <w:pStyle w:val="ListBullet"/>
      </w:pPr>
      <w:r>
        <w:rPr>
          <w:rFonts w:ascii="Arial" w:hAnsi="Arial"/>
          <w:sz w:val="20"/>
        </w:rPr>
        <w:t>Operador OPTIMISTA ($1.500/ped) mejora el EBITDA en todos los escenarios — el ahorro operativo es significativo. Bajo este precio, conviene cambiar.</w:t>
      </w:r>
    </w:p>
    <w:p>
      <w:pPr>
        <w:pStyle w:val="ListBullet"/>
      </w:pPr>
      <w:r>
        <w:rPr>
          <w:rFonts w:ascii="Arial" w:hAnsi="Arial"/>
          <w:sz w:val="20"/>
        </w:rPr>
        <w:t>Operador BASE ($2.000/ped) mejora marginalmente el EBITDA en escenarios bajos y medios. La diferencia se diluye en escenarios de mayor crecimiento (in-house absorbe mejor sus fijos).</w:t>
      </w:r>
    </w:p>
    <w:p>
      <w:pPr>
        <w:pStyle w:val="ListBullet"/>
      </w:pPr>
      <w:r>
        <w:rPr>
          <w:rFonts w:ascii="Arial" w:hAnsi="Arial"/>
          <w:sz w:val="20"/>
        </w:rPr>
        <w:t>Mensaje estratégico: la palanca operador es ATRACTIVA si se logra negociar tarifa &lt; $1.700/ped. Bajo tarifa base $2.000, el ahorro existe pero no es decisivo. Bajo tarifa $2.500+ destruye valor.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D. Combinaciones más relevantes — Cumplimiento CEO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Considerando las 5 restricciones del CEO bajo cada escenario × estructura: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03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Combinación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EBITDA %</w:t>
            </w:r>
          </w:p>
        </w:tc>
        <w:tc>
          <w:tcPr>
            <w:tcW w:type="dxa" w:w="100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≥10%?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 (MM)</w:t>
            </w:r>
          </w:p>
        </w:tc>
        <w:tc>
          <w:tcPr>
            <w:tcW w:type="dxa" w:w="100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≥$333?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 | in-house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0.1%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$-163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 | + Op. BASE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0.2%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$-221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(si | + Op. OPT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1.5%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$-131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 | in-house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5.1%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$149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 | + Op. BASE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4.7%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$79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 | + Op. OPT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6.1%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$150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(plan | in-house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8.6%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$345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(plan | + Op. BASE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7.9%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$263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(plan | + Op. OPT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9.3%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$336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 | in-house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12.4%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$589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 | + Op. BASE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11.4%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$479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 | + Op. OPT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12.8%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$555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 | in-house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16.2%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$864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 | + Op. BASE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14.9%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$738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  <w:tr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 | + Op. OPT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16.3%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$821</w:t>
            </w:r>
          </w:p>
        </w:tc>
        <w:tc>
          <w:tcPr>
            <w:tcW w:type="dxa" w:w="100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✓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color w:val="0F172A"/>
          <w:sz w:val="20"/>
        </w:rPr>
        <w:t>Conclusión: el escenario Realista + Operador Optimista ya cumple EBITDA 10% sin requerir mejoras agresivas en MC. Esto sugiere que el cambio a operador (si se obtiene tarifa $1.500-1.700) es una palanca tan poderosa como mejorar el MC del 29% al 33%.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7.4 Factibilidad y recomendación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72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Probabilidad</w:t>
            </w:r>
          </w:p>
        </w:tc>
        <w:tc>
          <w:tcPr>
            <w:tcW w:type="dxa" w:w="47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Riesgos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 da pérdida</w:t>
            </w:r>
          </w:p>
        </w:tc>
        <w:tc>
          <w:tcPr>
            <w:tcW w:type="dxa" w:w="47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INACEPTABLE — UN negativa.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 (continuidad)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60%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histórico realista, pero MC 29% no alcanza para EBITDA 10%. UN $149 MM.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(palancas moderadas)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40%</w:t>
            </w:r>
          </w:p>
        </w:tc>
        <w:tc>
          <w:tcPr>
            <w:tcW w:type="dxa" w:w="47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Requiere ejecución plan IA + 5 palancas comerciales con éxito moderado.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Optimista (palancas plenas)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20%</w:t>
            </w:r>
          </w:p>
        </w:tc>
        <w:tc>
          <w:tcPr>
            <w:tcW w:type="dxa" w:w="47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Requiere mejora compras + USD forward + B2B fuerte + corte canales tóxicos.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Ambicioso (stretch)</w:t>
            </w:r>
          </w:p>
        </w:tc>
        <w:tc>
          <w:tcPr>
            <w:tcW w:type="dxa" w:w="17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8%</w:t>
            </w:r>
          </w:p>
        </w:tc>
        <w:tc>
          <w:tcPr>
            <w:tcW w:type="dxa" w:w="47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Coordinación perfecta multi-área + entorno favorable.</w:t>
            </w:r>
          </w:p>
        </w:tc>
      </w:tr>
    </w:tbl>
    <w:p/>
    <w:p>
      <w:pPr>
        <w:jc w:val="both"/>
      </w:pPr>
      <w:r>
        <w:rPr>
          <w:rFonts w:ascii="Arial" w:hAnsi="Arial"/>
          <w:b/>
          <w:i w:val="0"/>
          <w:color w:val="0F172A"/>
          <w:sz w:val="20"/>
        </w:rPr>
        <w:t>Recomendación: definir como meta corporativa el escenario Mejorado, con plan de stretch hacia Optimista si Q1 2027 muestra tracción comercial. El escenario Realista no cumple los objetivos del CEO — debe quedar como piso, no como meta.</w:t>
      </w:r>
    </w:p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8. SENSIBILIDAD ±20% SOBRE 2026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Si el FCST 2026 no se cumple, el efecto sobre el patrimonio inicio 2027 es relevante por el apalancamiento operativo.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Δ vs FCST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Venta 2026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 2026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Patrimonio inicio 2027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D/E inicial</w:t>
            </w:r>
          </w:p>
        </w:tc>
        <w:tc>
          <w:tcPr>
            <w:tcW w:type="dxa" w:w="331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Implicancia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-20%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$5,327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$-311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$273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7.46x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Activar Capa 1 contingencia. UN 2027 debe ser ≥$400 MM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-10%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$5,993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$-136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$448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4.54x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Alerta amarilla. Plan IA + ef GAV prioritarios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$6,659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$29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$613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3.32x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base vigente</w:t>
            </w:r>
          </w:p>
        </w:tc>
      </w:tr>
      <w:tr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+10%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$7,325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$157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$741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2.75x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Liberar recursos para inclusiones</w:t>
            </w:r>
          </w:p>
        </w:tc>
      </w:tr>
      <w:tr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+20%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$7,991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$285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$869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2.34x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Patrimonio robusto, evaluar estrategias ambiciosas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17554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ns_20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5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14. Sensibilidad ±20% en venta 2026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Apalancamiento operativo significativo: -20% en venta convierte la UN +$40 MM en pérdida ~-$311 MM. +20% multiplicaría la UN a ~$285 MM.</w:t>
      </w:r>
    </w:p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9. PLAN DE CONTINGENCIA: AJUSTES DESDE LO LEJANO AL CORE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Protocolo de ajustes en capas concéntricas desde lo discrecional (capa 1) hasta el core estratégico (capa 6 inviolable). Las jefaturas operativas no son inviolables — están en Capa 5 (estructura ajustable vía cambio a operador).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0873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ntingenc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15. Capas del plan de contingencia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9.1 Detalle por capa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Capa 1: Discrecionales (más lejano)</w:t>
      </w:r>
    </w:p>
    <w:p>
      <w:r>
        <w:rPr>
          <w:rFonts w:ascii="Arial" w:hAnsi="Arial"/>
          <w:b w:val="0"/>
          <w:i/>
          <w:color w:val="475569"/>
          <w:sz w:val="18"/>
        </w:rPr>
        <w:t>Capacidad recorte anual: $195 MM · Velocidad: Inmediata</w:t>
      </w:r>
    </w:p>
    <w:p>
      <w:pPr>
        <w:pStyle w:val="ListBullet"/>
      </w:pPr>
      <w:r>
        <w:rPr>
          <w:rFonts w:ascii="Arial" w:hAnsi="Arial"/>
          <w:sz w:val="20"/>
        </w:rPr>
        <w:t>Marketing Branding (3% V)</w:t>
      </w:r>
    </w:p>
    <w:p>
      <w:pPr>
        <w:pStyle w:val="ListBullet"/>
      </w:pPr>
      <w:r>
        <w:rPr>
          <w:rFonts w:ascii="Arial" w:hAnsi="Arial"/>
          <w:sz w:val="20"/>
        </w:rPr>
        <w:t>Asesorías opcionales</w:t>
      </w:r>
    </w:p>
    <w:p>
      <w:pPr>
        <w:pStyle w:val="ListBullet"/>
      </w:pPr>
      <w:r>
        <w:rPr>
          <w:rFonts w:ascii="Arial" w:hAnsi="Arial"/>
          <w:sz w:val="20"/>
        </w:rPr>
        <w:t>I+D no comprometido</w:t>
      </w:r>
    </w:p>
    <w:p>
      <w:pPr>
        <w:pStyle w:val="ListBullet"/>
      </w:pPr>
      <w:r>
        <w:rPr>
          <w:rFonts w:ascii="Arial" w:hAnsi="Arial"/>
          <w:sz w:val="20"/>
        </w:rPr>
        <w:t>Capacitación</w:t>
      </w:r>
    </w:p>
    <w:p>
      <w:pPr>
        <w:pStyle w:val="ListBullet"/>
      </w:pPr>
      <w:r>
        <w:rPr>
          <w:rFonts w:ascii="Arial" w:hAnsi="Arial"/>
          <w:sz w:val="20"/>
        </w:rPr>
        <w:t>Viajes</w:t>
      </w:r>
    </w:p>
    <w:p>
      <w:pPr>
        <w:pStyle w:val="ListBullet"/>
      </w:pPr>
      <w:r>
        <w:rPr>
          <w:rFonts w:ascii="Arial" w:hAnsi="Arial"/>
          <w:sz w:val="20"/>
        </w:rPr>
        <w:t>Beneficios extra-legales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Capa 2: SaaS optimizable</w:t>
      </w:r>
    </w:p>
    <w:p>
      <w:r>
        <w:rPr>
          <w:rFonts w:ascii="Arial" w:hAnsi="Arial"/>
          <w:b w:val="0"/>
          <w:i/>
          <w:color w:val="475569"/>
          <w:sz w:val="18"/>
        </w:rPr>
        <w:t>Capacidad recorte anual: $59 MM · Velocidad: 1-2 meses</w:t>
      </w:r>
    </w:p>
    <w:p>
      <w:pPr>
        <w:pStyle w:val="ListBullet"/>
      </w:pPr>
      <w:r>
        <w:rPr>
          <w:rFonts w:ascii="Arial" w:hAnsi="Arial"/>
          <w:sz w:val="20"/>
        </w:rPr>
        <w:t>Yuju (50%)</w:t>
      </w:r>
    </w:p>
    <w:p>
      <w:pPr>
        <w:pStyle w:val="ListBullet"/>
      </w:pPr>
      <w:r>
        <w:rPr>
          <w:rFonts w:ascii="Arial" w:hAnsi="Arial"/>
          <w:sz w:val="20"/>
        </w:rPr>
        <w:t>Suscripciones secundarias</w:t>
      </w:r>
    </w:p>
    <w:p>
      <w:pPr>
        <w:pStyle w:val="ListBullet"/>
      </w:pPr>
      <w:r>
        <w:rPr>
          <w:rFonts w:ascii="Arial" w:hAnsi="Arial"/>
          <w:sz w:val="20"/>
        </w:rPr>
        <w:t>Software duplicado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Capa 3: Admin soporte</w:t>
      </w:r>
    </w:p>
    <w:p>
      <w:r>
        <w:rPr>
          <w:rFonts w:ascii="Arial" w:hAnsi="Arial"/>
          <w:b w:val="0"/>
          <w:i/>
          <w:color w:val="475569"/>
          <w:sz w:val="18"/>
        </w:rPr>
        <w:t>Capacidad recorte anual: $98 MM · Velocidad: 2-3 meses</w:t>
      </w:r>
    </w:p>
    <w:p>
      <w:pPr>
        <w:pStyle w:val="ListBullet"/>
      </w:pPr>
      <w:r>
        <w:rPr>
          <w:rFonts w:ascii="Arial" w:hAnsi="Arial"/>
          <w:sz w:val="20"/>
        </w:rPr>
        <w:t>Plan IA acelerado</w:t>
      </w:r>
    </w:p>
    <w:p>
      <w:pPr>
        <w:pStyle w:val="ListBullet"/>
      </w:pPr>
      <w:r>
        <w:rPr>
          <w:rFonts w:ascii="Arial" w:hAnsi="Arial"/>
          <w:sz w:val="20"/>
        </w:rPr>
        <w:t>Asesorías externas</w:t>
      </w:r>
    </w:p>
    <w:p>
      <w:pPr>
        <w:pStyle w:val="ListBullet"/>
      </w:pPr>
      <w:r>
        <w:rPr>
          <w:rFonts w:ascii="Arial" w:hAnsi="Arial"/>
          <w:sz w:val="20"/>
        </w:rPr>
        <w:t>Mandos medios admin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Capa 4: Operativos no críticos</w:t>
      </w:r>
    </w:p>
    <w:p>
      <w:r>
        <w:rPr>
          <w:rFonts w:ascii="Arial" w:hAnsi="Arial"/>
          <w:b w:val="0"/>
          <w:i/>
          <w:color w:val="475569"/>
          <w:sz w:val="18"/>
        </w:rPr>
        <w:t>Capacidad recorte anual: $98 MM · Velocidad: 3-4 meses</w:t>
      </w:r>
    </w:p>
    <w:p>
      <w:pPr>
        <w:pStyle w:val="ListBullet"/>
      </w:pPr>
      <w:r>
        <w:rPr>
          <w:rFonts w:ascii="Arial" w:hAnsi="Arial"/>
          <w:sz w:val="20"/>
        </w:rPr>
        <w:t>Tercerización marginal peak</w:t>
      </w:r>
    </w:p>
    <w:p>
      <w:pPr>
        <w:pStyle w:val="ListBullet"/>
      </w:pPr>
      <w:r>
        <w:rPr>
          <w:rFonts w:ascii="Arial" w:hAnsi="Arial"/>
          <w:sz w:val="20"/>
        </w:rPr>
        <w:t>Mkt Performance -30%</w:t>
      </w:r>
    </w:p>
    <w:p>
      <w:pPr>
        <w:pStyle w:val="ListBullet"/>
      </w:pPr>
      <w:r>
        <w:rPr>
          <w:rFonts w:ascii="Arial" w:hAnsi="Arial"/>
          <w:sz w:val="20"/>
        </w:rPr>
        <w:t>Reducción horas extra</w:t>
      </w:r>
    </w:p>
    <w:p>
      <w:pPr>
        <w:pStyle w:val="ListBullet"/>
      </w:pPr>
      <w:r>
        <w:rPr>
          <w:rFonts w:ascii="Arial" w:hAnsi="Arial"/>
          <w:sz w:val="20"/>
        </w:rPr>
        <w:t>Pausar PP&amp;E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Capa 5: Estructura operativa y mandos medios</w:t>
      </w:r>
    </w:p>
    <w:p>
      <w:r>
        <w:rPr>
          <w:rFonts w:ascii="Arial" w:hAnsi="Arial"/>
          <w:b w:val="0"/>
          <w:i/>
          <w:color w:val="475569"/>
          <w:sz w:val="18"/>
        </w:rPr>
        <w:t>Capacidad recorte anual: $156 MM · Velocidad: 4-6 meses</w:t>
      </w:r>
    </w:p>
    <w:p>
      <w:pPr>
        <w:pStyle w:val="ListBullet"/>
      </w:pPr>
      <w:r>
        <w:rPr>
          <w:rFonts w:ascii="Arial" w:hAnsi="Arial"/>
          <w:sz w:val="20"/>
        </w:rPr>
        <w:t>Cambio a operador logístico</w:t>
      </w:r>
    </w:p>
    <w:p>
      <w:pPr>
        <w:pStyle w:val="ListBullet"/>
      </w:pPr>
      <w:r>
        <w:rPr>
          <w:rFonts w:ascii="Arial" w:hAnsi="Arial"/>
          <w:sz w:val="20"/>
        </w:rPr>
        <w:t>Jefaturas operativas (Logística, Post Venta, Facturación)</w:t>
      </w:r>
    </w:p>
    <w:p>
      <w:pPr>
        <w:pStyle w:val="ListBullet"/>
      </w:pPr>
      <w:r>
        <w:rPr>
          <w:rFonts w:ascii="Arial" w:hAnsi="Arial"/>
          <w:sz w:val="20"/>
        </w:rPr>
        <w:t>Sub-gerencia Control Gestión</w:t>
      </w:r>
    </w:p>
    <w:p>
      <w:pPr>
        <w:pStyle w:val="ListBullet"/>
      </w:pPr>
      <w:r>
        <w:rPr>
          <w:rFonts w:ascii="Arial" w:hAnsi="Arial"/>
          <w:sz w:val="20"/>
        </w:rPr>
        <w:t>Renegociación arriendos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Capa 6: CORE inviolable (mínimo)</w:t>
      </w:r>
    </w:p>
    <w:p>
      <w:r>
        <w:rPr>
          <w:rFonts w:ascii="Arial" w:hAnsi="Arial"/>
          <w:b w:val="0"/>
          <w:i/>
          <w:color w:val="475569"/>
          <w:sz w:val="18"/>
        </w:rPr>
        <w:t>Capacidad recorte anual: $0 MM · Velocidad: NO TOCAR</w:t>
      </w:r>
    </w:p>
    <w:p>
      <w:pPr>
        <w:pStyle w:val="ListBullet"/>
      </w:pPr>
      <w:r>
        <w:rPr>
          <w:rFonts w:ascii="Arial" w:hAnsi="Arial"/>
          <w:sz w:val="20"/>
        </w:rPr>
        <w:t>CEO (Martín Novoa)</w:t>
      </w:r>
    </w:p>
    <w:p>
      <w:pPr>
        <w:pStyle w:val="ListBullet"/>
      </w:pPr>
      <w:r>
        <w:rPr>
          <w:rFonts w:ascii="Arial" w:hAnsi="Arial"/>
          <w:sz w:val="20"/>
        </w:rPr>
        <w:t>Co-Founder Erich (vitalicio)</w:t>
      </w:r>
    </w:p>
    <w:p>
      <w:pPr>
        <w:pStyle w:val="ListBullet"/>
      </w:pPr>
      <w:r>
        <w:rPr>
          <w:rFonts w:ascii="Arial" w:hAnsi="Arial"/>
          <w:sz w:val="20"/>
        </w:rPr>
        <w:t>Gerencias Comercial · Productos · Finanzas</w:t>
      </w:r>
    </w:p>
    <w:p>
      <w:pPr>
        <w:pStyle w:val="ListBullet"/>
      </w:pPr>
      <w:r>
        <w:rPr>
          <w:rFonts w:ascii="Arial" w:hAnsi="Arial"/>
          <w:sz w:val="20"/>
        </w:rPr>
        <w:t>KAMs comerciales activos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9.2 Triggers trimestrales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88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Velocidad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Q1 &lt; 85% plan</w:t>
            </w:r>
          </w:p>
        </w:tc>
        <w:tc>
          <w:tcPr>
            <w:tcW w:type="dxa" w:w="388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Activar Capa 1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Mismo Q2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Q2 acum &lt; 85% plan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Activar Capa 2 + revisión Capa 3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Q3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Q3 &lt; 90% (ajustado estacionalidad)</w:t>
            </w:r>
          </w:p>
        </w:tc>
        <w:tc>
          <w:tcPr>
            <w:tcW w:type="dxa" w:w="388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Capa 3 + acelerar plan IA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Q3-Q4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Cierre anual &lt; 90% plan</w:t>
            </w:r>
          </w:p>
        </w:tc>
        <w:tc>
          <w:tcPr>
            <w:tcW w:type="dxa" w:w="38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Capa 4 + revisión Capa 5 (operador)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Año siguiente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D/E &gt; 3,5 dos trimestres</w:t>
            </w:r>
          </w:p>
        </w:tc>
        <w:tc>
          <w:tcPr>
            <w:tcW w:type="dxa" w:w="388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emergencia: postergar retiros, refinanciar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Inmediato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9.3 Capacidad total de defensa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Monto anual (MM)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Capas 1-2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$254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Sin tocar plantilla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Capas 1-3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$352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Sin tocar estructura operativa</w:t>
            </w:r>
          </w:p>
        </w:tc>
      </w:tr>
      <w:tr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Capas 1-5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$605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Preservando core estratégico</w:t>
            </w:r>
          </w:p>
        </w:tc>
      </w:tr>
    </w:tbl>
    <w:p/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10. RUTA ESTRATÉGICA MULTIFACTOR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Conclusión central del análisis: el cumplimiento del objetivo EBITDA 10% no se alcanza con una sola palanca. La ruta estratégica es una sumatoria de factores coordinados, cada uno con su factibilidad, esfuerzo y plazo. Esta sección descompone el EBITDA gap entre el cierre 2026 y el target 2027, y propone una ruta combinada realista.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10.1 Definición del EBITDA gap a cubrir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 (MM CLP)</w:t>
            </w:r>
          </w:p>
        </w:tc>
      </w:tr>
      <w:tr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2026 FCST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$268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Venta target 2027 (continuidad histórica +8%)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$7,194</w:t>
            </w:r>
          </w:p>
        </w:tc>
      </w:tr>
      <w:tr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target 2027 (10% × Venta)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$719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GAP EBITDA a cubrir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+$451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El EBITDA actual ($268 MM) representa 4,0% de la venta. Para llegar al 10% sobre una venta de continuidad ($7,194 MM), se necesita sumar ~$451 MM de EBITDA adicional vía palancas combinadas.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10.2 Catálogo de palancas — honesto sobre supuestos y overlaps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Reconocimiento crítico: muchas palancas listadas en análisis financieros tienen doble conteo o asumen mejoras sin base concreta. Esta sección distingue palancas con BASE CONCRETA (cifras del P&amp;L, contratos firmes) de palancas con SUPUESTO BLANDO (mejoras de productividad estimadas sin medición).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8FAFC"/>
            <w:tcBorders>
              <w:left w:val="single" w:sz="24" w:color="EA580C"/>
              <w:top w:val="single" w:sz="4" w:color="CBD5E1"/>
              <w:bottom w:val="single" w:sz="4" w:color="CBD5E1"/>
              <w:right w:val="single" w:sz="4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20"/>
              </w:rPr>
              <w:t>ALERTA METODOLÓGICA: en este catálogo se evita el doble conteo. Por ejemplo, "Plan IA salidas" y "eficiencia GAV" no se suman — son la misma cosa visto desde 2 ángulos. Igual para "cambio operador" y "eficiencia in-house operativa" — son rutas ALTERNATIVAS, no aditivas. La ruta combinada de 10.4 selecciona palancas NO solapadas.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A. Palancas con BASE CONCRETA (cifras P&amp;L o contratos verificables)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Aporte estimado</w:t>
            </w:r>
          </w:p>
        </w:tc>
        <w:tc>
          <w:tcPr>
            <w:tcW w:type="dxa" w:w="43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Origen del cálculo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IA salidas (5 cargos confirmados)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$50-60 MM/año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 sueldos × cargas patronales 12%, con fechas concretas en plan IA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Eliminación Multivende (jun 2026)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$1,98 MM/año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Costo P&amp;L 2026 Multivende: $1,98 MM. Reemplazado por integración directa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Reducción usuarios Odoo (35 → 15)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$5,5 MM/año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Costo P&amp;L 2026 Odoo: $9,57 MM × 20/35 reducción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histórico +8% venta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$35 MM EBITDA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Continuidad ritmo 2025→2026 (+8%) × margen marginal 24%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Política inventario 5,5 → 4 m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$17 MM/año en GNO (no EBITDA)</w:t>
            </w:r>
          </w:p>
        </w:tc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1,5 meses × CV/12 × tasa interés 10,5%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Subtotal palancas concretas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~$110 MM/año EBITDA + $17 MM GNO</w:t>
            </w:r>
          </w:p>
        </w:tc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B. Palancas comerciales (estimadas, requieren ejecución)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3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 comercial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Impacto MC (pp)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EBITDA equivalente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 compras + USD forward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+0,8-1,5 pp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$53-100 MM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Renegociar tarifas Flex ML+Fala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+0,3-0,7 pp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$20-47 MM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digital eficiente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+0,5-1,0 pp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$33-67 MM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Renegociar comisiones medios de pago web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+0,2-0,4 pp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$13-27 MM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Crecer share canales propios + B2B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+1,0-2,5 pp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$67-167 MM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Suma todas (escenario realista)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+3,0-4,5 pp MC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$200-300 MM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color w:val="0F172A"/>
          <w:sz w:val="18"/>
        </w:rPr>
        <w:t>Nota: estas palancas DEPENDEN de ejecución comercial y negociación. La cifra realista es lo que la dirección compromete; lo optimista requiere condiciones favorables que no controlamos plenamente.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C. Auditoría GAV — partidas por cuenta del P&amp;L 2026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Análisis cuenta por cuenta del GAV 2026 para identificar oportunidades de eficiencia MÁS ALLÁ del plan IA. No todas las cuentas tienen potencial igual.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Cuenta P&amp;L 2026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Costo anual (MM)</w:t>
            </w:r>
          </w:p>
        </w:tc>
        <w:tc>
          <w:tcPr>
            <w:tcW w:type="dxa" w:w="72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% GAV</w:t>
            </w:r>
          </w:p>
        </w:tc>
        <w:tc>
          <w:tcPr>
            <w:tcW w:type="dxa" w:w="187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Potencial eficiencia</w:t>
            </w:r>
          </w:p>
        </w:tc>
        <w:tc>
          <w:tcPr>
            <w:tcW w:type="dxa" w:w="345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Sueldos GAV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$1.180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76,2%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5-7% (~$60-80 MM)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IA salidas + audit consolidación duplicaciones (TradeMkt, KAMs pequeños, asesorías ext)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Oficina y Arriendos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$201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13,0%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5-10% (~$10-20 MM)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Renegociar arriendos al vencimiento · evaluar reducción m² oficina con teletrabajo parcial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Branding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$43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2,8%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Reasignación, no recorte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Auditoría ROI por campaña · reducir branding genérico, aumentar SEO/contenido orgánico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Suscripciones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$31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2,0%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20-30% (~$6-10 MM)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IA confirmado: -Multivende, -Odoo 35→15. Auditar SaaS no esenciales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Movilización/Transporte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$23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1,5%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15-20% (~$4 MM)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Revisar política viajes · alternativas digitales · reembolso vs corporativo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Depreciación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$18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1,2%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0% (técnico)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ajustable. Sólo cambia con nuevas inversiones (PP&amp;E)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Seguros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$17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1,1%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10-15% (~$2 MM)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Renegociar pólizas en bloque · revisar coberturas redundantes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I+D Productos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$17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1,1%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Mantener o priorizar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recortar si genera SKUs con buen MC. Priorizar I+D rentable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Capacitación personal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0,4%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Mantener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Inversión en capacidad. Recortable solo en escenario contingencia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Asesorías varias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0,3%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30-50% (~$1-2 MM)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Revisar contratos asesores · consolidar con plan IA reduciendo necesidad externa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Impuestos/Patentes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0,3%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0%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ajustable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Asesoría contable externa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</w:t>
            </w:r>
          </w:p>
        </w:tc>
        <w:tc>
          <w:tcPr>
            <w:tcW w:type="dxa" w:w="7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0,1%</w:t>
            </w:r>
          </w:p>
        </w:tc>
        <w:tc>
          <w:tcPr>
            <w:tcW w:type="dxa" w:w="187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50% (~$1 MM)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 plan IA LCV + 1 analista in-house, evaluar reducir asesoría externa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 GAV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$1.548</w:t>
            </w:r>
          </w:p>
        </w:tc>
        <w:tc>
          <w:tcPr>
            <w:tcW w:type="dxa" w:w="7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100%</w:t>
            </w:r>
          </w:p>
        </w:tc>
        <w:tc>
          <w:tcPr>
            <w:tcW w:type="dxa" w:w="187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~$85-125 MM eficiencia potencial</w:t>
            </w:r>
          </w:p>
        </w:tc>
        <w:tc>
          <w:tcPr>
            <w:tcW w:type="dxa" w:w="345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5,5-8% del GAV total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360"/>
            <w:shd w:val="clear" w:color="auto" w:fill="F8FAFC"/>
            <w:tcBorders>
              <w:left w:val="single" w:sz="24" w:color="2E75B6"/>
              <w:top w:val="single" w:sz="4" w:color="CBD5E1"/>
              <w:bottom w:val="single" w:sz="4" w:color="CBD5E1"/>
              <w:right w:val="single" w:sz="4" w:color="CBD5E1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172A"/>
                <w:sz w:val="20"/>
              </w:rPr>
              <w:t>AUDITORÍA GAV: el potencial total de eficiencia GAV es ~$85-125 MM/año (5-8%). De ese total, el plan IA cubre ~$60 MM. El resto ($25-65 MM) requiere acciones puntuales en arriendos, suscripciones, viajes, seguros y asesorías. Ninguna por sí sola es transformacional, pero sumadas aportan a la ruta multifactor.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D. Palancas con SUPUESTO BLANDO (requieren validación)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0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Aporte hipotético</w:t>
            </w:r>
          </w:p>
        </w:tc>
        <w:tc>
          <w:tcPr>
            <w:tcW w:type="dxa" w:w="403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Por qué es blando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Eficiencia in-house operativa (slotting/picking)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$30-60 MM/año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Asume mejora productividad sin medición previa. No hay benchmark in-house ni baseline cuantitativo de productividad actual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Reducción mermas/devoluciones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$10-20 MM/año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Asume mejora plan IA SAC. Sin base de mermas reales mensuales no es cuantificable</w:t>
            </w:r>
          </w:p>
        </w:tc>
      </w:tr>
      <w:tr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Refinanciar deuda a tasa más baja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$30-50 MM/año</w:t>
            </w:r>
          </w:p>
        </w:tc>
        <w:tc>
          <w:tcPr>
            <w:tcW w:type="dxa" w:w="403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Asume condiciones de mercado mejores. Depende de ratings, garantías, contexto macro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Optimización tributaria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$10-30 MM/año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Sin estudio tributario específico no es cuantificable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/>
          <w:color w:val="0F172A"/>
          <w:sz w:val="18"/>
        </w:rPr>
        <w:t>Recomendación: las palancas blandas deben validarse con estudios específicos antes de comprometerlas en el plan 2027. Sirven como upside potencial, no como línea base.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10.3 Factibilidad por palanca clave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Las palancas se ordenan por relación impacto / esfuerzo (las más altas en ambas son prioritarias).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31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Aporte realista</w:t>
            </w:r>
          </w:p>
        </w:tc>
        <w:tc>
          <w:tcPr>
            <w:tcW w:type="dxa" w:w="115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Esfuerzo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Plazo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Quick win?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histórico +8% venta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$35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Continuo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· ya en ejecución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 compras + USD forward (MC +1pp)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$67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H1 2027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 · negociable corto plazo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IA salidas pleno (6 cargos)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$60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Bajo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jul-oct 2026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 · plan ya armado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Eficiencia in-house operativo (slotting)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$60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Medio-Alto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H2 2027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· requiere transformación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Crecer canales propios + B2B (MC +1pp)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Alto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12-18 m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· transformación comercial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Cambio operador (tarifa BASE)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$52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Alto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Q3 2026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· indemnización + transición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Marketing digital eficiente (MC +0,7pp)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$47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H1 2027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 · reasignación gasto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Audit GAV (consolidación duplicaciones)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$25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Q1 2027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 · decisión interna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Negociación volumen proveedores (-1% CD)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$31 MM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Q1 2027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 · renegociación contractual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Tarifa Flex ML+Fala (MC +0,5pp)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$33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Bajo-Medio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H1 2027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Sí · negociación con couriers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Política inventario 5,5 → 4 m (KT)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$15 MM GNO</w:t>
            </w:r>
          </w:p>
        </w:tc>
        <w:tc>
          <w:tcPr>
            <w:tcW w:type="dxa" w:w="115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Q1-Q2 2027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Parcial · requiere plan slotting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Refinanciar deuda a tasa más baja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$30 MM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Alto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6-12 m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No · requiere mercado</w:t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10.4 Ruta combinada recomendada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Selección de palancas sin doble conteo para alcanzar el target EBITDA con crecimiento de venta al ritmo histórico (+8%):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0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Aporte EBITDA (MM)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histórico +8%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+$35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1. Venta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2.1 Compras + USD forward (+1 pp MC)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+$67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 MC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2.3 Mkt digital eficiente (+0,7 pp MC)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+$47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 MC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2.5 Crecer canales propios + B2B (+1 pp MC)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+$67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2. MC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3.1 Plan IA salidas pleno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+$60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 GAV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3.4 Audit consultora (duplicaciones moderadas)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+$25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3. GAV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4.2 Eficiencia in-house (slotting/picking)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+$60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4. Operativo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7.1 Negociación proveedores (-1%)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+$31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7. CD</w:t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 RUTA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+$392 MM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2026 base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$268 MM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</w:tr>
      <w:tr>
        <w:tc>
          <w:tcPr>
            <w:tcW w:type="dxa" w:w="50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2027 resultante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$660 MM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9.2%</w:t>
            </w:r>
          </w:p>
        </w:tc>
      </w:tr>
      <w:tr>
        <w:tc>
          <w:tcPr>
            <w:tcW w:type="dxa" w:w="50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vs EBITDA target 10%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$719 MM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10,0%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81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waterfall_palanc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Figura 16. Waterfall EBITDA 2026 → 2027 — descomposición de aporte por palanca</w:t>
      </w:r>
    </w:p>
    <w:p>
      <w:pPr>
        <w:jc w:val="both"/>
      </w:pPr>
      <w:r>
        <w:rPr>
          <w:rFonts w:ascii="Arial" w:hAnsi="Arial"/>
          <w:b/>
          <w:i w:val="0"/>
          <w:color w:val="0F172A"/>
          <w:sz w:val="20"/>
        </w:rPr>
        <w:t>Resultado: EBITDA 2027 alcanza 9.2% sobre venta. Cubre 92% del objetivo CEO. Falta cerrar el gap residual con palancas adicionales o ajustando palancas hacia escenario optimista.</w:t>
      </w:r>
    </w:p>
    <w:p>
      <w:pPr>
        <w:jc w:val="both"/>
      </w:pPr>
      <w:r>
        <w:rPr>
          <w:rFonts w:ascii="Arial" w:hAnsi="Arial"/>
          <w:b w:val="0"/>
          <w:i/>
          <w:color w:val="0F172A"/>
          <w:sz w:val="18"/>
        </w:rPr>
        <w:t>Variante: si la palanca de eficiencia in-house (slotting/picking) no se ejecuta, se puede sustituir por el cambio a operador externo bajo tarifa optimista ($1.500/ped). El aporte resultante es similar pero con mayor riesgo de ejecución contractual.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10.6 Factibilidad realista — cumplir TODOS los objetivos vs por prioridad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Conclusión crítica del análisis: NO es factible cumplir simultáneamente los 5 objetivos del CEO con palancas de continuidad. La combinación que cumple los 5 objetivos (incluido EBITDA 10% completo) requiere ejecución cercana al escenario optimista en todas las palancas — riesgo de ejecución alto. Por eso este documento presenta el cumplimiento por prioridad descendente: cuánto se logra con qué nivel de ejecución.</w:t>
      </w:r>
    </w:p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Orden de prioridad de los objetivos del CEO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8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73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Criterio cuantitativo</w:t>
            </w:r>
          </w:p>
        </w:tc>
        <w:tc>
          <w:tcPr>
            <w:tcW w:type="dxa" w:w="201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Difícil/Fácil de cumplir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1ª (más alta)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D/E en rango bajo riesgo (2,5-3,5)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Patrimonio post-retiros entre $580-$800 MM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Fácil — UN positiva basta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2ª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Sueldo CEO crece 10-15%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Ajuste salarial general 12% ya aplicado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Confirmado en supuestos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3ª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Sueldo Erich vitalicio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Mantener $5,21 MM/m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Confirmado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4ª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Retirar $100 MM (UN ≥ $333 MM)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UN 2027 ≥ $333 MM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Medio — escenario realista llega a ~$200-250 MM</w:t>
            </w:r>
          </w:p>
        </w:tc>
      </w:tr>
      <w:tr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5ª (más alta exigencia)</w:t>
            </w:r>
          </w:p>
        </w:tc>
        <w:tc>
          <w:tcPr>
            <w:tcW w:type="dxa" w:w="28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10%</w:t>
            </w:r>
          </w:p>
        </w:tc>
        <w:tc>
          <w:tcPr>
            <w:tcW w:type="dxa" w:w="27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 2027 ≥ $719 MM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Difícil — requiere combinación palancas multifactor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Escenarios por nivel de cumplimiento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Tabla que muestra, según el nivel de ejecución alcanzado, qué objetivos se cumplen (de mayor a menor prioridad):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Nivel ejecución</w:t>
            </w:r>
          </w:p>
        </w:tc>
        <w:tc>
          <w:tcPr>
            <w:tcW w:type="dxa" w:w="3744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Palancas activadas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EBITDA % logrado</w:t>
            </w:r>
          </w:p>
        </w:tc>
        <w:tc>
          <w:tcPr>
            <w:tcW w:type="dxa" w:w="1296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UN logrado</w:t>
            </w:r>
          </w:p>
        </w:tc>
        <w:tc>
          <w:tcPr>
            <w:tcW w:type="dxa" w:w="216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Objetivos cumplidos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Status quo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Ninguna palanca · sin cambios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&lt; 4%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Pérdida potencial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Sólo 2ª y 3ª (sueldos). Falla 1ª, 4ª y 5ª. INACEPTABLE.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Mínimo viable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Crecimiento histórico +8% · Plan IA salidas pleno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~5-6%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~$150-200 MM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Cumple 1ª, 2ª, 3ª. Falla 4ª y 5ª.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Realista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Anterior + MC 29% (compras + mkt eficiente) + ef GAV 5%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~7-8%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~$280-330 MM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Cumple 1ª, 2ª, 3ª, cerca de 4ª. Falla 5ª.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</w:t>
            </w:r>
          </w:p>
        </w:tc>
        <w:tc>
          <w:tcPr>
            <w:tcW w:type="dxa" w:w="374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Anterior + MC 31% + ef GAV 8% + neg proveedores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~9-10%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~$420-500 MM</w:t>
            </w:r>
          </w:p>
        </w:tc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Cumple 1ª, 2ª, 3ª, 4ª. Cerca de 5ª.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Completo (todos los objetivos)</w:t>
            </w:r>
          </w:p>
        </w:tc>
        <w:tc>
          <w:tcPr>
            <w:tcW w:type="dxa" w:w="374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Mejorado + 5ª palanca MC (canales propios + B2B) + cambio operador OPT o eficiencia in-house plena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~10-12%</w:t>
            </w:r>
          </w:p>
        </w:tc>
        <w:tc>
          <w:tcPr>
            <w:tcW w:type="dxa" w:w="129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~$500-650 MM</w:t>
            </w:r>
          </w:p>
        </w:tc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Cumple TODOS los 5 objetivos del CEO.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F172A"/>
          <w:sz w:val="24"/>
        </w:rPr>
        <w:t>Lectura honesta para el directorio</w:t>
      </w:r>
    </w:p>
    <w:p>
      <w:pPr>
        <w:pStyle w:val="ListBullet"/>
      </w:pPr>
      <w:r>
        <w:rPr>
          <w:rFonts w:ascii="Arial" w:hAnsi="Arial"/>
          <w:sz w:val="20"/>
        </w:rPr>
        <w:t>Objetivos 1, 2, 3 (D/E, sueldos CEO y Erich): se cumplen con relativa facilidad en cualquier escenario donde la UN sea positiva.</w:t>
      </w:r>
    </w:p>
    <w:p>
      <w:pPr>
        <w:pStyle w:val="ListBullet"/>
      </w:pPr>
      <w:r>
        <w:rPr>
          <w:rFonts w:ascii="Arial" w:hAnsi="Arial"/>
          <w:sz w:val="20"/>
        </w:rPr>
        <w:t>Objetivo 4 (UN ≥ $333 MM para retirar $100 MM): se cumple en el escenario Mejorado y superiores. En el Realista quedamos al borde (~$300 MM).</w:t>
      </w:r>
    </w:p>
    <w:p>
      <w:pPr>
        <w:pStyle w:val="ListBullet"/>
      </w:pPr>
      <w:r>
        <w:rPr>
          <w:rFonts w:ascii="Arial" w:hAnsi="Arial"/>
          <w:sz w:val="20"/>
        </w:rPr>
        <w:t>Objetivo 5 (EBITDA 10%): es el más exigente. Requiere combinación multifactor con MC ≥ 31% Y eficiencia GAV ≥ 8% Y/O cambio operador atractivo. Si solo se ejecutan 2 palancas, el EBITDA queda en 7-9%, no en 10%.</w:t>
      </w:r>
    </w:p>
    <w:p>
      <w:pPr>
        <w:pStyle w:val="ListBullet"/>
      </w:pPr>
      <w:r>
        <w:rPr>
          <w:rFonts w:ascii="Arial" w:hAnsi="Arial"/>
          <w:sz w:val="20"/>
        </w:rPr>
        <w:t>Honesto al directorio: comprometer EBITDA 10% es comprometer un escenario Mejorado-Optimista. Es factible pero exigente. Comprometer UN $333 MM es factible con palancas moderadas. Comprometer D/E y sueldos es trivial.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10.7 Pilares de la ruta estratégica</w:t>
      </w:r>
    </w:p>
    <w:p>
      <w:r>
        <w:rPr>
          <w:rFonts w:ascii="Arial" w:hAnsi="Arial"/>
          <w:b/>
          <w:i w:val="0"/>
          <w:color w:val="2E75B6"/>
          <w:sz w:val="20"/>
        </w:rPr>
        <w:t>La ruta para acercarse al objetivo CEO se construye sobre 4 pilares:</w:t>
      </w:r>
    </w:p>
    <w:p>
      <w:pPr>
        <w:pStyle w:val="ListBullet"/>
      </w:pPr>
      <w:r>
        <w:rPr>
          <w:rFonts w:ascii="Arial" w:hAnsi="Arial"/>
          <w:sz w:val="20"/>
        </w:rPr>
        <w:t>Pilar 1 — Venta: crecer al ritmo histórico (+8%). NO requiere apostar a un crecimiento agresivo de mercado. Es lo que la empresa demostró que puede hacer 2025→2026.</w:t>
      </w:r>
    </w:p>
    <w:p>
      <w:pPr>
        <w:pStyle w:val="ListBullet"/>
      </w:pPr>
      <w:r>
        <w:rPr>
          <w:rFonts w:ascii="Arial" w:hAnsi="Arial"/>
          <w:sz w:val="20"/>
        </w:rPr>
        <w:t>Pilar 2 — Márgenes: mejorar MC de 27% a 31% combinando 3 palancas simultáneas (compras + USD forward + marketing digital eficiente + share canales propios). NO depende de renegociar marketplaces.</w:t>
      </w:r>
    </w:p>
    <w:p>
      <w:pPr>
        <w:pStyle w:val="ListBullet"/>
      </w:pPr>
      <w:r>
        <w:rPr>
          <w:rFonts w:ascii="Arial" w:hAnsi="Arial"/>
          <w:sz w:val="20"/>
        </w:rPr>
        <w:t>Pilar 3 — Eficiencia GAV: ejecutar plan IA al 100% + audit consultora consolidando duplicaciones. Reduce GAV ~$85 MM/año en régimen.</w:t>
      </w:r>
    </w:p>
    <w:p>
      <w:pPr>
        <w:pStyle w:val="ListBullet"/>
      </w:pPr>
      <w:r>
        <w:rPr>
          <w:rFonts w:ascii="Arial" w:hAnsi="Arial"/>
          <w:sz w:val="20"/>
        </w:rPr>
        <w:t>Pilar 4 — Operación: elegir entre eficientar in-house (slotting + picking) O cambiar a operador externo bajo tarifa atractiva ($1.500-2.000). Ambas rutas son válidas; la decisión depende del benchmark real de mercado.</w:t>
      </w:r>
    </w:p>
    <w:p>
      <w:pPr>
        <w:jc w:val="both"/>
      </w:pPr>
      <w:r>
        <w:rPr>
          <w:rFonts w:ascii="Arial" w:hAnsi="Arial"/>
          <w:b w:val="0"/>
          <w:i w:val="0"/>
          <w:color w:val="0F172A"/>
          <w:sz w:val="20"/>
        </w:rPr>
        <w:t>Adicionalmente, las palancas de Capital de Trabajo (política inventario, días CxC/CxP) y Estructura Financiera (refinanciamiento) NO aportan EBITDA directo pero reducen GNO y mejoran UN. Son palancas complementarias importantes para cumplir las restricciones de UN $333 MM y D/E.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10.8 Próximos pasos</w:t>
      </w:r>
    </w:p>
    <w:p>
      <w:pPr>
        <w:pStyle w:val="ListBullet"/>
      </w:pPr>
      <w:r>
        <w:rPr>
          <w:rFonts w:ascii="Arial" w:hAnsi="Arial"/>
          <w:sz w:val="20"/>
        </w:rPr>
        <w:t>Q4 2026: validar este análisis con CFO y CEO. Definir Ruta A o B como meta.</w:t>
      </w:r>
    </w:p>
    <w:p>
      <w:pPr>
        <w:pStyle w:val="ListBullet"/>
      </w:pPr>
      <w:r>
        <w:rPr>
          <w:rFonts w:ascii="Arial" w:hAnsi="Arial"/>
          <w:sz w:val="20"/>
        </w:rPr>
        <w:t>Dic 2026: presentar al directorio. Aprobación presupuesto 2027 alineado a la ruta.</w:t>
      </w:r>
    </w:p>
    <w:p>
      <w:pPr>
        <w:pStyle w:val="ListBullet"/>
      </w:pPr>
      <w:r>
        <w:rPr>
          <w:rFonts w:ascii="Arial" w:hAnsi="Arial"/>
          <w:sz w:val="20"/>
        </w:rPr>
        <w:t>Ene 2027: kick-off por pilar: plan comercial · plan IA pleno · plan eficiencia GAV · decisión operador o eficiencia in-house · plan inventario 4m.</w:t>
      </w:r>
    </w:p>
    <w:p>
      <w:pPr>
        <w:pStyle w:val="ListBullet"/>
      </w:pPr>
      <w:r>
        <w:rPr>
          <w:rFonts w:ascii="Arial" w:hAnsi="Arial"/>
          <w:sz w:val="20"/>
        </w:rPr>
        <w:t>Trimestral 2027: comité de seguimiento con KPIs por palanca + triggers contingencia.</w:t>
      </w:r>
    </w:p>
    <w:p>
      <w:r>
        <w:rPr>
          <w:rFonts w:ascii="Arial" w:hAnsi="Arial"/>
          <w:b/>
          <w:i w:val="0"/>
          <w:color w:val="2E75B6"/>
          <w:sz w:val="22"/>
        </w:rPr>
        <w:t>Mensaje final</w:t>
      </w:r>
    </w:p>
    <w:p>
      <w:pPr>
        <w:jc w:val="both"/>
      </w:pPr>
      <w:r>
        <w:rPr>
          <w:rFonts w:ascii="Arial" w:hAnsi="Arial"/>
          <w:b w:val="0"/>
          <w:i/>
          <w:color w:val="0F172A"/>
          <w:sz w:val="20"/>
        </w:rPr>
        <w:t>Los objetivos del CEO se alcanzan combinando palancas de 4 pilares: venta histórica + márgenes + GAV + operación. Ningún factor por separado es suficiente, pero la combinación coordinada cubre el gap de $451 MM en EBITDA. La ejecución exige disciplina trimestral y compromisos cruzados entre comercial, operaciones, finanzas y compras. La rentabilidad no es resultado de un esfuerzo individual; es el resultado de la coordinación de toda la empresa.</w:t>
      </w:r>
    </w:p>
    <w:p>
      <w:r>
        <w:br w:type="page"/>
      </w:r>
    </w:p>
    <w:p>
      <w:pPr>
        <w:spacing w:before="480" w:after="200"/>
      </w:pPr>
      <w:r>
        <w:rPr>
          <w:rFonts w:ascii="Arial" w:hAnsi="Arial"/>
          <w:b/>
          <w:color w:val="2E75B6"/>
          <w:sz w:val="36"/>
        </w:rPr>
        <w:t>11. ANEXOS</w:t>
      </w:r>
    </w:p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11.1 Suscripciones SaaS 2026 vs 2027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48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2026 (MM)</w:t>
            </w:r>
          </w:p>
        </w:tc>
        <w:tc>
          <w:tcPr>
            <w:tcW w:type="dxa" w:w="144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2027 (MM)</w:t>
            </w:r>
          </w:p>
        </w:tc>
        <w:tc>
          <w:tcPr>
            <w:tcW w:type="dxa" w:w="331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Yuju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$7,36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$7,36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Se mantiene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Multivende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$1,98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$0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Eliminado desde junio 2026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Odoo (35→15)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$9,57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$4,10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-57%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Claude API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~$2,5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$24,8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Plan IA pleno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ChatGPT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$0,98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$1,02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UF</w:t>
            </w:r>
          </w:p>
        </w:tc>
      </w:tr>
      <w:tr>
        <w:tc>
          <w:tcPr>
            <w:tcW w:type="dxa" w:w="244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Otros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~$8,5</w:t>
            </w:r>
          </w:p>
        </w:tc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~$8,8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UF</w:t>
            </w:r>
          </w:p>
        </w:tc>
      </w:tr>
      <w:tr>
        <w:tc>
          <w:tcPr>
            <w:tcW w:type="dxa" w:w="244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Total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$30.8</w:t>
            </w:r>
          </w:p>
        </w:tc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$46.1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</w:r>
          </w:p>
        </w:tc>
      </w:tr>
    </w:tbl>
    <w:p/>
    <w:p>
      <w:pPr>
        <w:spacing w:before="320" w:after="120"/>
      </w:pPr>
      <w:r>
        <w:rPr>
          <w:rFonts w:ascii="Arial" w:hAnsi="Arial"/>
          <w:b/>
          <w:color w:val="2E75B6"/>
          <w:sz w:val="28"/>
        </w:rPr>
        <w:t>11.2 Glosario técnico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92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6480"/>
            <w:shd w:val="clear" w:color="auto" w:fill="2E75B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MC%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(Venta - Costo Directo - Otros Costos Explot) / Venta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EBITDA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EBIT + Depreciación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D/E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Deuda Financiera / Patrimonio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Punto de equilibrio (P*)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Volumen donde Costo_in-house = Costo_operador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Jefaturas integradas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Max Bellolio (Post Venta) + Gerardo Ortega (Logística) + Yohana Grisman (Facturación) + Gerente Operaciones (50% sueldo asignado a Ops) — operan DENTRO del operador externo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Tarifa todo-incluida operador</w:t>
            </w:r>
          </w:p>
        </w:tc>
        <w:tc>
          <w:tcPr>
            <w:tcW w:type="dxa" w:w="64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Incluye arriendo, sueldos operativos, insumos del operador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Costo por pedido in-house actual</w:t>
            </w:r>
          </w:p>
        </w:tc>
        <w:tc>
          <w:tcPr>
            <w:tcW w:type="dxa" w:w="648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vAlign w:val="center"/>
          </w:tcPr>
          <w:p>
            <w:r/>
            <w:r>
              <w:rPr>
                <w:rFonts w:ascii="Arial" w:hAnsi="Arial"/>
                <w:color w:val="0F172A"/>
                <w:sz w:val="18"/>
              </w:rPr>
              <w:t>$2.812 (KPI app · promedio 16 meses)</w:t>
            </w:r>
          </w:p>
        </w:tc>
      </w:tr>
    </w:tbl>
    <w:p/>
    <w:p>
      <w:r>
        <w:rPr>
          <w:rFonts w:ascii="Arial" w:hAnsi="Arial"/>
          <w:b w:val="0"/>
          <w:i w:val="0"/>
          <w:color w:val="0F172A"/>
          <w:sz w:val="16"/>
        </w:rPr>
      </w:r>
    </w:p>
    <w:p>
      <w:pPr>
        <w:jc w:val="center"/>
      </w:pPr>
      <w:r>
        <w:rPr>
          <w:rFonts w:ascii="Arial" w:hAnsi="Arial"/>
          <w:b w:val="0"/>
          <w:i/>
          <w:color w:val="475569"/>
          <w:sz w:val="18"/>
        </w:rPr>
        <w:t>Documento generado: mayo 2026 · Versión 3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