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40" w:after="0" w:line="264" w:lineRule="auto"/>
      </w:pPr>
    </w:p>
    <w:p>
      <w:pPr>
        <w:keepNext w:val="0"/>
        <w:spacing w:before="0" w:after="320" w:line="240" w:lineRule="auto"/>
        <w:jc w:val="center"/>
      </w:pPr>
      <w:r>
        <w:rPr>
          <w:rFonts w:ascii="Calibri" w:hAnsi="Calibri" w:eastAsia="Microsoft YaHei" w:cs="Calibri"/>
          <w:b/>
          <w:color w:val="2E74B5"/>
          <w:sz w:val="22"/>
          <w:lang w:val="zh-CN" w:eastAsia="zh-CN"/>
        </w:rPr>
        <w:t>热电材料总体数据分析报告</w:t>
      </w:r>
    </w:p>
    <w:p>
      <w:pPr>
        <w:keepNext w:val="0"/>
        <w:spacing w:before="0" w:after="200" w:line="252" w:lineRule="auto"/>
        <w:jc w:val="center"/>
      </w:pPr>
      <w:r>
        <w:rPr>
          <w:rFonts w:ascii="Calibri" w:hAnsi="Calibri" w:eastAsia="Microsoft YaHei" w:cs="Calibri"/>
          <w:b/>
          <w:color w:val="203748"/>
          <w:sz w:val="56"/>
          <w:lang w:val="zh-CN" w:eastAsia="zh-CN"/>
        </w:rPr>
        <w:t>二维热电优值 ZT：</w:t>
        <w:br/>
        <w:t>总体数据分布与结构特征</w:t>
      </w:r>
    </w:p>
    <w:p>
      <w:pPr>
        <w:keepNext w:val="0"/>
        <w:spacing w:before="0" w:after="640" w:line="276" w:lineRule="auto"/>
        <w:jc w:val="center"/>
      </w:pPr>
      <w:r>
        <w:rPr>
          <w:rFonts w:ascii="Calibri" w:hAnsi="Calibri" w:eastAsia="Microsoft YaHei" w:cs="Calibri"/>
          <w:color w:val="1F4D78"/>
          <w:sz w:val="28"/>
          <w:lang w:val="zh-CN" w:eastAsia="zh-CN"/>
        </w:rPr>
        <w:t>真实实验数据、最大成对样本集与结构代理的联合分析</w:t>
      </w:r>
    </w:p>
    <w:p>
      <w:pPr>
        <w:keepNext w:val="0"/>
        <w:spacing w:before="0" w:after="680" w:line="240" w:lineRule="auto"/>
        <w:jc w:val="center"/>
        <w:shd w:fill="E8EEF5"/>
      </w:pPr>
      <w:r>
        <w:rPr>
          <w:rFonts w:ascii="Calibri" w:hAnsi="Calibri" w:eastAsia="Microsoft YaHei" w:cs="Calibri"/>
          <w:b/>
          <w:color w:val="203748"/>
          <w:sz w:val="34"/>
          <w:lang w:val="zh-CN" w:eastAsia="zh-CN"/>
        </w:rPr>
        <w:t>ZT = S²σT / (κₑ + κL)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 w:eastAsia="Microsoft YaHei" w:cs="Calibri"/>
          <w:color w:val="5C6770"/>
          <w:sz w:val="21"/>
          <w:lang w:val="zh-CN" w:eastAsia="zh-CN"/>
        </w:rPr>
        <w:t>数据层：Starrydata2 实验曲线 · JARVIS 2D/3D · 项目结构元数据</w:t>
        <w:br/>
      </w:r>
      <w:r>
        <w:rPr>
          <w:rFonts w:ascii="Calibri" w:hAnsi="Calibri" w:eastAsia="Microsoft YaHei" w:cs="Calibri"/>
          <w:color w:val="5C6770"/>
          <w:sz w:val="21"/>
          <w:lang w:val="zh-CN" w:eastAsia="zh-CN"/>
        </w:rPr>
        <w:t>生成日期：2026 年 8 月 30 日</w:t>
      </w:r>
    </w:p>
    <w:p>
      <w:pPr>
        <w:keepNext w:val="0"/>
        <w:spacing w:before="560" w:after="0" w:line="276" w:lineRule="auto"/>
        <w:jc w:val="center"/>
      </w:pPr>
      <w:r>
        <w:rPr>
          <w:rFonts w:ascii="Calibri" w:hAnsi="Calibri" w:eastAsia="Microsoft YaHei" w:cs="Calibri"/>
          <w:b/>
          <w:color w:val="2E74B5"/>
          <w:sz w:val="20"/>
          <w:lang w:val="zh-CN" w:eastAsia="zh-CN"/>
        </w:rPr>
        <w:t>20,037 个真实非零 ZT 样品　|　6 张总体图　|　20 个统计面板　|　9 项测试通过</w:t>
      </w:r>
    </w:p>
    <w:p>
      <w:r>
        <w:br w:type="page"/>
      </w:r>
    </w:p>
    <w:p>
      <w:pPr>
        <w:pStyle w:val="Heading1"/>
      </w:pPr>
      <w:r>
        <w:t>执行摘要与读图方法</w:t>
      </w:r>
    </w:p>
    <w:p>
      <w:r>
        <w:rPr>
          <w:rFonts w:ascii="Calibri" w:hAnsi="Calibri" w:eastAsia="Microsoft YaHei" w:cs="Calibri"/>
          <w:b/>
          <w:color w:val="1F4D78"/>
          <w:lang w:val="zh-CN" w:eastAsia="zh-CN"/>
        </w:rPr>
        <w:t>核心结论。</w:t>
      </w:r>
      <w:r>
        <w:rPr>
          <w:rFonts w:ascii="Calibri" w:hAnsi="Calibri" w:eastAsia="Microsoft YaHei" w:cs="Calibri"/>
          <w:color w:val="222222"/>
          <w:lang w:val="zh-CN" w:eastAsia="zh-CN"/>
        </w:rPr>
        <w:t xml:space="preserve"> 本报告将原先的单一参数模型图与材料总体统计明确分开。主结果全部来自可配对的实验或固定条件 DFT 数据；每个关系独立使用其所需字段的最大完整样本集，不要求一个样品同时具备全部物性。</w:t>
      </w:r>
    </w:p>
    <w:p>
      <w:pPr>
        <w:pStyle w:val="Heading2"/>
      </w:pPr>
      <w:r>
        <w:t>数据配对规则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9"/>
                <w:lang w:val="zh-CN" w:eastAsia="zh-CN"/>
              </w:rPr>
              <w:t>分析层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9"/>
                <w:lang w:val="zh-CN" w:eastAsia="zh-CN"/>
              </w:rPr>
              <w:t>配对方法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真实 ZT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每个实验 sample_id 只保留一个有效峰值 ZT；其他物性仅从同一样品插值到该峰值温度。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电子/热输运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不要求样品有 ZT，在 300、600、900 K 内对同一样品的两种性质配对。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晶格热导温度带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先对同一样品同温度的重复曲线取中位数，再统计样品分位数，避免曲线采点数造成权重偏差。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结构代理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实验元数据用于相对密度、孔隙率、粒径和形态；JARVIS 用于二维原子几何与弹性声速代理。</w:t>
            </w:r>
          </w:p>
        </w:tc>
      </w:tr>
    </w:tbl>
    <w:p>
      <w:pPr>
        <w:pStyle w:val="Heading2"/>
      </w:pPr>
      <w:r>
        <w:t>跨材料候选窗口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注意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这些范围是高 ZT 样品的总体密集区域，不是对所有化学家族都成立的唯一最优值；最终需要在同一材料体系内联合优化。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参数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候选范围</w:t>
            </w:r>
          </w:p>
        </w:tc>
        <w:tc>
          <w:tcPr>
            <w:tcW w:type="dxa" w:w="4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物理含义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载流子浓度 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约 10¹⁹–10²⁰ cm⁻³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兼顾电导与 Seebeck 的常见高 ZT 区域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|S|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约 150–500 μV/K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过小则功率因子不足，极大时常伴随低电导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电导率 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约 10⁴–10⁶ S/m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过低限制功率因子，过高会增加 κe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晶格热导 κL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亚 1 至约 1–2 W·m⁻¹·K⁻¹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低 κL 有利，但必须避免同时破坏电子输运</w:t>
            </w:r>
          </w:p>
        </w:tc>
      </w:tr>
    </w:tbl>
    <w:p>
      <w:pPr>
        <w:pStyle w:val="Heading2"/>
      </w:pPr>
      <w:r>
        <w:t>图中统计元素</w:t>
      </w:r>
    </w:p>
    <w:p>
      <w:r>
        <w:rPr>
          <w:rFonts w:ascii="Calibri" w:hAnsi="Calibri" w:eastAsia="Microsoft YaHei" w:cs="Calibri"/>
          <w:b/>
          <w:color w:val="1F4D78"/>
          <w:lang w:val="zh-CN" w:eastAsia="zh-CN"/>
        </w:rPr>
        <w:t>六边形颜色</w:t>
      </w:r>
      <w:r>
        <w:rPr>
          <w:rFonts w:ascii="Calibri" w:hAnsi="Calibri" w:eastAsia="Microsoft YaHei" w:cs="Calibri"/>
          <w:color w:val="222222"/>
          <w:lang w:val="zh-CN" w:eastAsia="zh-CN"/>
        </w:rPr>
        <w:t>表示区域内样品数的 log10；</w:t>
      </w:r>
      <w:r>
        <w:rPr>
          <w:rFonts w:ascii="Calibri" w:hAnsi="Calibri" w:eastAsia="Microsoft YaHei" w:cs="Calibri"/>
          <w:b/>
          <w:color w:val="1F4D78"/>
          <w:lang w:val="zh-CN" w:eastAsia="zh-CN"/>
        </w:rPr>
        <w:t>白色折线</w:t>
      </w:r>
      <w:r>
        <w:rPr>
          <w:rFonts w:ascii="Calibri" w:hAnsi="Calibri" w:eastAsia="Microsoft YaHei" w:cs="Calibri"/>
          <w:color w:val="222222"/>
          <w:lang w:val="zh-CN" w:eastAsia="zh-CN"/>
        </w:rPr>
        <w:t>表示横轴分箱后的中位数，浅色带为 25%–75% 分位；</w:t>
      </w:r>
      <w:r>
        <w:rPr>
          <w:rFonts w:ascii="Calibri" w:hAnsi="Calibri" w:eastAsia="Microsoft YaHei" w:cs="Calibri"/>
          <w:b/>
          <w:color w:val="1F4D78"/>
          <w:lang w:val="zh-CN" w:eastAsia="zh-CN"/>
        </w:rPr>
        <w:t>Spearman ρ</w:t>
      </w:r>
      <w:r>
        <w:rPr>
          <w:rFonts w:ascii="Calibri" w:hAnsi="Calibri" w:eastAsia="Microsoft YaHei" w:cs="Calibri"/>
          <w:color w:val="222222"/>
          <w:lang w:val="zh-CN" w:eastAsia="zh-CN"/>
        </w:rPr>
        <w:t>只描述单调相关，不能直接解释为因果关系。</w:t>
      </w:r>
    </w:p>
    <w:p>
      <w:r>
        <w:br w:type="page"/>
      </w:r>
    </w:p>
    <w:p>
      <w:pPr>
        <w:pStyle w:val="Heading1"/>
        <w:keepNext/>
      </w:pPr>
      <w:r>
        <w:t>图 1　数据覆盖与最大可用样本集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说明不同物性为什么具有不同样本数，并证明后续每个关系都使用自身最大成对完整集合。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077342"/>
            <wp:docPr id="1" name="Picture 1" descr="图 1：数据覆盖与最大可用样本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7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1　数据覆盖审计。格内数字和横条末端数字是精确样本数。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直接实验覆盖：Seebeck 33,950、总热导 22,259、真实非零 ZT 20,037；n、μ、κe 数据更稀少。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峰值温度配对：ZT–n 440、ZT–S 12,070、ZT–σ 11,738、ZT–κL 3,649；不强求样品具有全部物性。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300/600/900 K 热图给出可内插样品数；后续电子图只在同一样品、同一温度内配对。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额外层包括相对密度、粒径、弹性–κL 跨库匹配和 JARVIS 2D；褶皱/孔洞拓扑/模态声子标签缺失。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图 2　真实实验 ZT 与四个核心物性的总体分布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回答第二张图是否只来自一个材料：不是；每个面板都是全部可配对实验样品，且每个样品只保留峰值 ZT。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203805"/>
            <wp:docPr id="2" name="Picture 2" descr="图 2：真实实验 ZT 与四个核心物性的总体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perimental_ZT_glob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203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2　真实峰值 ZT 总体分布。六边形为样品密度，白线为分箱中位数。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ZT–n：N=440，ρ=-0.18。高 ZT 密集于约 10¹⁹–10²⁰ cm⁻³，但跨材料相关很弱，不能理解为 n 越低越好。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ZT–|S|：N=12,070，ρ=+0.36。高 ZT 常见于约 150–500 μV/K；特别大的 |S| 往往伴随低 σ。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ZT–σ：N=11,738，ρ=+0.28。高 ZT 常见于约 10⁴–10⁶ S/m；更高 σ 同时增加 κe，故不是无限增大。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ZT–κL：N=3,649，ρ=-0.44，为四项中最强总体相关。低 κL 有利，但极低 κL 仍不能补偿很差的电子输运。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图 3　全部可用电子输运关系（不要求有 ZT）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利用 300、600、900 K 下同一样品的最大可配对集合，展开 n、S、σ、μ 与功率因子的竞争。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140990"/>
            <wp:docPr id="3" name="Picture 3" descr="图 3：全部可用电子输运关系（不要求有 ZT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ectronic_all_avail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14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3　电子输运总体关系。蓝/橙/粉分别代表 300/600/900 K。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Pisarenko：952 个温度点/820 个样品。n 增大时 |S| 总体下降；同一 n 的纵向散布反映有效质量、谷简并和能带差异。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n–σ：977 点/824 样品。σ 总体随 n 增大，但同一 n 可跨越数个数量级，说明迁移率是决定差异的重要变量。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n–μ：831 点/705 样品。高 n 区 μ 总体降低，包含杂质、缺陷和声子散射增强以及材料家族差异。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n–PF：912 点/788 样品。低 n 时 σ 不足，高 n 时 |S| 下降，因此形成宽峰/平台而非单调最优。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图 4　全部可用热输运关系与声速代理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用全部实验 κL 曲线、同温度热导配对及弹性跨库匹配，检验晶格与电子热传导的主要控制项。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149453"/>
            <wp:docPr id="4" name="Picture 4" descr="图 4：全部可用热输运关系与声速代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ermal_all_avail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14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4　热输运总体关系。面板 d 为按化学式匹配的跨库证据。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κL–T：109,305 个 25 K 网格点/6,317 样品。深/浅带分别为 25–75% 与 10–90%；高温端还受样品覆盖变化影响。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κL–κtotal：6,495 点/4,945 样品。虚线为 κL=κtotal；偏离来自 κe、拆分方法与跨曲线插值差异。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κe–σ：764 点/582 样品。参考线采用 L=2.0×10⁻⁸ WΩK⁻²，显示高 σ 必然带来更大的电子热漏。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√(B/质量密度)–κL：N=79，相关系数≈+0.62。支持更硬、更快晶格通常有更高 κL，但它是平均声速代理，不是模态群速度。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图 5　实验结构元数据与 ZT、κL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把相对密度、孔隙率、晶粒尺寸和报告形态与真实峰值 ZT 或 κL 合并，观察结构统计而非受控因果。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087492"/>
            <wp:docPr id="5" name="Picture 5" descr="图 5：实验结构元数据与 ZT、κ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ructure_metadata_experime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8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5　结构元数据的描述性关联。箱线图红线为中位数，箱体为 25–75%。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孔隙率分组：N=1,177。高孔隙组 ZT 较低，说明若孔隙同时严重损失 σ，单纯降低 κL 也不能提高 ZT。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粒径分组：N=196。区间间无稳定单调关系；晶界既散射声子也散射载流子，不能据此给出通用最优粒径。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样品形态：N=11,288。bulk、晶体、薄膜、粉末等差异还混合了材料家族、测试方向和制备状态。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相对密度–κL：N=191，ρ=-0.12，总体很弱。数据集中于 90%–98%，且不少元数据只是阈值/区间。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图 6　JARVIS 2D 原子几何与输运（非真实 ZT）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本图回答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在固定 n=10²⁰ cm⁻³、T=600 K 下，用全部可用二维 DFT 记录检验原子尺度起伏与开放度代理。</w:t>
      </w:r>
    </w:p>
    <w:p>
      <w:pPr>
        <w:keepNext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145525"/>
            <wp:docPr id="6" name="Picture 6" descr="图 6：JARVIS 2D 原子几何与输运（非真实 ZT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jarvis2d_shape_trans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14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00" w:line="240" w:lineRule="auto"/>
        <w:jc w:val="center"/>
      </w:pPr>
      <w:r>
        <w:rPr>
          <w:rFonts w:ascii="Calibri" w:hAnsi="Calibri" w:eastAsia="Microsoft YaHei" w:cs="Calibri"/>
          <w:i/>
          <w:color w:val="5C6770"/>
          <w:sz w:val="18"/>
          <w:lang w:val="zh-CN" w:eastAsia="zh-CN"/>
        </w:rPr>
        <w:t>图 6　二维几何代理与电子输运。共 1,609 条 n/p 型记录，不包含实验 ZT。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子图</w:t>
            </w:r>
          </w:p>
        </w:tc>
        <w:tc>
          <w:tcPr>
            <w:tcW w:type="dxa" w:w="86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数据与物理解释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a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面外跨度比–|S|：807 个材料、n/p 两类。相关约 -0.23/-0.14，仅为弱负相关；该量表征 buckling 而非宏观褶皱。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b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面外跨度比–σ：相关约 +0.36/+0.34。提示起伏几何与轨道耦合/色散相关，但不能证明褶皱直接提高电导。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c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每原子面积–|S|：相关约 +0.12/+0.08，关系很弱；面内面积只是原子网络疏密代理。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d</w:t>
            </w:r>
          </w:p>
        </w:tc>
        <w:tc>
          <w:tcPr>
            <w:tcW w:type="dxa" w:w="8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7"/>
                <w:lang w:val="zh-CN" w:eastAsia="zh-CN"/>
              </w:rPr>
              <w:t>每原子面积–σ：相关约 -0.25/-0.20。较开放网络在固定条件 DFT 数据中电导稍低，但这不等于真实多孔材料。</w:t>
            </w:r>
          </w:p>
        </w:tc>
      </w:tr>
    </w:tbl>
    <w:p>
      <w:r>
        <w:br w:type="page"/>
      </w:r>
    </w:p>
    <w:p>
      <w:pPr>
        <w:pStyle w:val="Heading1"/>
      </w:pPr>
      <w:r>
        <w:t>结构特征—物理参数映射与设计建议</w:t>
      </w:r>
    </w:p>
    <w:p>
      <w:pPr>
        <w:pStyle w:val="Lead"/>
        <w:keepNext/>
        <w:spacing w:before="0" w:after="100" w:line="259" w:lineRule="auto"/>
      </w:pPr>
      <w:r>
        <w:rPr>
          <w:rFonts w:ascii="Calibri" w:hAnsi="Calibri" w:eastAsia="Microsoft YaHei" w:cs="Calibri"/>
          <w:b/>
          <w:color w:val="1F4D78"/>
          <w:sz w:val="20"/>
          <w:lang w:val="zh-CN" w:eastAsia="zh-CN"/>
        </w:rPr>
        <w:t xml:space="preserve">总体判断  </w:t>
      </w:r>
      <w:r>
        <w:rPr>
          <w:rFonts w:ascii="Calibri" w:hAnsi="Calibri" w:eastAsia="Microsoft YaHei" w:cs="Calibri"/>
          <w:color w:val="222222"/>
          <w:sz w:val="20"/>
          <w:lang w:val="zh-CN" w:eastAsia="zh-CN"/>
        </w:rPr>
        <w:t>当前数据库能可靠支持电子输运、热导、相对密度、粒径和原子尺度起伏的总体统计；褶皱几何、孔洞拓扑和模态声子信息仍缺少可直接配对的数据。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结构特征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当前经验代理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18"/>
                <w:lang w:val="zh-CN" w:eastAsia="zh-CN"/>
              </w:rPr>
              <w:t>可解释边界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平面/起伏形状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面外原子跨度 / √面积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可表征原子尺度 buckling；不是宏观褶皱幅度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骨架/疏松结构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每原子面内面积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可作原子网络开放度代理；不等于真实多孔骨架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是否多孔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相对密度推算孔隙率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可分组描述；原始记录常为阈值或范围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组成单元是否很软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体模量 B 与 √(B/质量密度)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可作平均声速/软硬代理；跨库有效配对仅 79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振动频率与群速度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当前无直接模态数据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经验图中不作结论；需 DFPT/Phono3py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2E74B5"/>
                <w:sz w:val="18"/>
                <w:lang w:val="zh-CN" w:eastAsia="zh-CN"/>
              </w:rPr>
              <w:t>声学/光学支重叠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当前无完整分支标签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222222"/>
                <w:sz w:val="18"/>
                <w:lang w:val="zh-CN" w:eastAsia="zh-CN"/>
              </w:rPr>
              <w:t>只在机制模型层作为待验证假设</w:t>
            </w:r>
          </w:p>
        </w:tc>
      </w:tr>
    </w:tbl>
    <w:p>
      <w:pPr>
        <w:pStyle w:val="Heading2"/>
      </w:pPr>
      <w:r>
        <w:t>联合优化而不是单变量极值</w:t>
      </w:r>
    </w:p>
    <w:p>
      <w:r>
        <w:rPr>
          <w:rFonts w:ascii="Calibri" w:hAnsi="Calibri" w:eastAsia="Microsoft YaHei" w:cs="Calibri"/>
          <w:b/>
          <w:color w:val="1F4D78"/>
          <w:lang w:val="zh-CN" w:eastAsia="zh-CN"/>
        </w:rPr>
        <w:t>电子侧：</w:t>
      </w:r>
      <w:r>
        <w:rPr>
          <w:rFonts w:ascii="Calibri" w:hAnsi="Calibri" w:eastAsia="Microsoft YaHei" w:cs="Calibri"/>
          <w:color w:val="222222"/>
          <w:lang w:val="zh-CN" w:eastAsia="zh-CN"/>
        </w:rPr>
        <w:t>先把 n 调入高 ZT 密集区，再通过多谷简并和较大的态密度有效质量维持 |S|，同时避免过大的导电有效质量和强散射损失迁移率。</w:t>
      </w:r>
    </w:p>
    <w:p>
      <w:r>
        <w:rPr>
          <w:rFonts w:ascii="Calibri" w:hAnsi="Calibri" w:eastAsia="Microsoft YaHei" w:cs="Calibri"/>
          <w:b/>
          <w:color w:val="1F4D78"/>
          <w:lang w:val="zh-CN" w:eastAsia="zh-CN"/>
        </w:rPr>
        <w:t>晶格侧：</w:t>
      </w:r>
      <w:r>
        <w:rPr>
          <w:rFonts w:ascii="Calibri" w:hAnsi="Calibri" w:eastAsia="Microsoft YaHei" w:cs="Calibri"/>
          <w:color w:val="222222"/>
          <w:lang w:val="zh-CN" w:eastAsia="zh-CN"/>
        </w:rPr>
        <w:t>目标不是无限降低 κL，而是在降低群速度或寿命的同时，尽量不破坏电导通道。粒径、孔隙和软结构都存在电子—声子双重代价。</w:t>
      </w:r>
    </w:p>
    <w:p>
      <w:r>
        <w:rPr>
          <w:rFonts w:ascii="Calibri" w:hAnsi="Calibri" w:eastAsia="Microsoft YaHei" w:cs="Calibri"/>
          <w:b/>
          <w:color w:val="1F4D78"/>
          <w:lang w:val="zh-CN" w:eastAsia="zh-CN"/>
        </w:rPr>
        <w:t>结构侧：</w:t>
      </w:r>
      <w:r>
        <w:rPr>
          <w:rFonts w:ascii="Calibri" w:hAnsi="Calibri" w:eastAsia="Microsoft YaHei" w:cs="Calibri"/>
          <w:color w:val="222222"/>
          <w:lang w:val="zh-CN" w:eastAsia="zh-CN"/>
        </w:rPr>
        <w:t>原子尺度起伏和开放网络与 σ 的统计关系可作为筛选线索，但必须在同一化学家族、相近温度和相近载流子浓度下复核。</w:t>
      </w:r>
    </w:p>
    <w:p>
      <w:pPr>
        <w:pStyle w:val="Heading2"/>
      </w:pPr>
      <w:r>
        <w:t>报告使用边界</w:t>
      </w:r>
    </w:p>
    <w:p>
      <w:r>
        <w:rPr>
          <w:rFonts w:ascii="Calibri" w:hAnsi="Calibri" w:eastAsia="Microsoft YaHei" w:cs="Calibri"/>
          <w:color w:val="222222"/>
          <w:lang w:val="zh-CN" w:eastAsia="zh-CN"/>
        </w:rPr>
        <w:t>所有总体关系都混合了不同化学家族、温度、制备状态和文献来源，因此适合发现候选窗口与优先级，不适合直接给出受控因果系数。模型层的响应面可用于机制推演，但不能代替这里的实验总体分布。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 w:cs="Calibri"/>
        <w:color w:val="5C6770"/>
        <w:sz w:val="18"/>
        <w:lang w:val="zh-CN" w:eastAsia="zh-CN"/>
      </w:rPr>
      <w:t xml:space="preserve">第 </w:t>
    </w:r>
    <w:r>
      <w:rPr>
        <w:rFonts w:ascii="Calibri" w:hAnsi="Calibri" w:eastAsia="Microsoft YaHei" w:cs="Calibri"/>
        <w:color w:val="5C6770"/>
        <w:sz w:val="18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 w:cs="Calibri"/>
        <w:color w:val="5C6770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 w:cs="Calibri"/>
        <w:b/>
        <w:color w:val="5C6770"/>
        <w:sz w:val="17"/>
        <w:lang w:val="zh-CN" w:eastAsia="zh-CN"/>
      </w:rPr>
      <w:t>ZT 总体数据与结构特征</w:t>
    </w:r>
    <w:r>
      <w:rPr>
        <w:rFonts w:ascii="Calibri" w:hAnsi="Calibri" w:eastAsia="Microsoft YaHei" w:cs="Calibri"/>
        <w:color w:val="5C6770"/>
        <w:sz w:val="17"/>
        <w:lang w:val="zh-CN" w:eastAsia="zh-CN"/>
      </w:rPr>
      <w:t xml:space="preserve">　|　技术报告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C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00" w:line="259" w:lineRule="auto"/>
    </w:pPr>
    <w:rPr>
      <w:rFonts w:ascii="Calibri" w:hAnsi="Calibri" w:eastAsia="Microsoft YaHei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二维热电优值 ZT：总体数据分布与结构特征</dc:title>
  <dc:subject>真实实验数据、最大成对样本集与结构代理的联合分析</dc:subject>
  <dc:creator>Codex</dc:creator>
  <cp:keywords>ZT, thermoelectric, Starrydata2, JARVIS, transport, 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