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10768">
      <w:pPr>
        <w:spacing w:after="40"/>
      </w:pPr>
      <w:r>
        <w:rPr>
          <w:rFonts w:ascii="Times New Roman" w:hAnsi="Times New Roman"/>
          <w:b/>
          <w:sz w:val="26"/>
        </w:rPr>
        <w:t>AutoZT skills and software stack</w:t>
      </w:r>
    </w:p>
    <w:p w14:paraId="0FA89705">
      <w:pPr>
        <w:keepNext/>
        <w:spacing w:before="180" w:after="80"/>
      </w:pPr>
      <w:r>
        <w:rPr>
          <w:rFonts w:ascii="Times New Roman" w:hAnsi="Times New Roman"/>
          <w:b/>
          <w:sz w:val="22"/>
        </w:rPr>
        <w:t>Table 1: AutoZT skills and workflow functions.</w:t>
      </w:r>
    </w:p>
    <w:tbl>
      <w:tblPr>
        <w:tblStyle w:val="32"/>
        <w:tblW w:w="4997" w:type="pct"/>
        <w:jc w:val="center"/>
        <w:tblBorders>
          <w:top w:val="single" w:color="000000" w:sz="10" w:space="0"/>
          <w:left w:val="single" w:color="000000" w:sz="0" w:space="0"/>
          <w:bottom w:val="single" w:color="000000" w:sz="1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276"/>
        <w:gridCol w:w="2170"/>
        <w:gridCol w:w="400"/>
        <w:gridCol w:w="7338"/>
        <w:gridCol w:w="3"/>
      </w:tblGrid>
      <w:tr w14:paraId="57188E01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tblHeader/>
          <w:jc w:val="center"/>
        </w:trPr>
        <w:tc>
          <w:tcPr>
            <w:tcW w:w="1459" w:type="pct"/>
            <w:gridSpan w:val="2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FF31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/>
                <w:i w:val="0"/>
                <w:color w:val="000000" w:themeColor="dark1"/>
                <w:sz w:val="19"/>
                <w:szCs w:val="22"/>
                <w:lang w:val="en-US" w:eastAsia="en-US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  <w:t>Skill</w:t>
            </w:r>
          </w:p>
        </w:tc>
        <w:tc>
          <w:tcPr>
            <w:tcW w:w="918" w:type="pct"/>
            <w:gridSpan w:val="2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06D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  <w:t>Domain</w:t>
            </w:r>
          </w:p>
        </w:tc>
        <w:tc>
          <w:tcPr>
            <w:tcW w:w="2621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FFF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  <w:t>Function</w:t>
            </w:r>
          </w:p>
        </w:tc>
      </w:tr>
      <w:tr w14:paraId="7C38D075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CA2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opt-dft-cpu</w:t>
            </w:r>
          </w:p>
        </w:tc>
        <w:tc>
          <w:tcPr>
            <w:tcW w:w="918" w:type="pct"/>
            <w:gridSpan w:val="2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680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Structure</w:t>
            </w:r>
          </w:p>
        </w:tc>
        <w:tc>
          <w:tcPr>
            <w:tcW w:w="2621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454E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DFT structure optimisation and total energy / formation energy</w:t>
            </w:r>
          </w:p>
        </w:tc>
      </w:tr>
      <w:tr w14:paraId="2C91E32C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CE6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opt-mlff-cpu / opt-mlff-gpu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3FE0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Structure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8823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MACE structure optimisation and formation energy</w:t>
            </w:r>
          </w:p>
        </w:tc>
      </w:tr>
      <w:tr w14:paraId="36102A20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656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band-dft-cpu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DE91C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0165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PBE/HSE band structures and k-path generation</w:t>
            </w:r>
          </w:p>
        </w:tc>
      </w:tr>
      <w:tr w14:paraId="56CB2055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A98B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ke-dft-cpu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CFED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1F7F5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Electronic transport coefficients</w:t>
            </w:r>
          </w:p>
        </w:tc>
      </w:tr>
      <w:tr w14:paraId="13FD5473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E4C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unihamgnn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B5D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FF0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ML Hamiltonian generation and band calculation</w:t>
            </w:r>
          </w:p>
        </w:tc>
      </w:tr>
      <w:tr w14:paraId="10D4285A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E04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cohp-cogito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9E489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6BDA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Chemical-bonding and COHP analysis</w:t>
            </w:r>
          </w:p>
        </w:tc>
      </w:tr>
      <w:tr w14:paraId="0862F7CB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66F6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eph-qe-cpu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125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3490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Electron-phonon coupling workflow</w:t>
            </w:r>
          </w:p>
        </w:tc>
      </w:tr>
      <w:tr w14:paraId="10A37932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0698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defect-dft-cpu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988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Defects and mechanics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5F5C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Point defects and formation energies</w:t>
            </w:r>
          </w:p>
        </w:tc>
      </w:tr>
      <w:tr w14:paraId="3C54AF13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D3A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elastic-dft-cpu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0D33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Defects and mechanics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46DB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Elastic constants and mechanical response</w:t>
            </w:r>
          </w:p>
        </w:tc>
      </w:tr>
      <w:tr w14:paraId="727DFE16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1A33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phonon-dft-cpu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1A35D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Phonons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D96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Harmonic phonons and stability</w:t>
            </w:r>
          </w:p>
        </w:tc>
      </w:tr>
      <w:tr w14:paraId="4002C2D2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358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phonon-mlff-cpu / phonon-mlff-gpu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9538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Phonons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20AF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MACE phonon spectrum and stability screening</w:t>
            </w:r>
          </w:p>
        </w:tc>
      </w:tr>
      <w:tr w14:paraId="4181732D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BED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fit-fc-thermal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008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Force constants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E0A69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Harmonic / anharmonic force-constant fitting</w:t>
            </w:r>
          </w:p>
        </w:tc>
      </w:tr>
      <w:tr w14:paraId="2AEC2CF2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3DA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kl-dft-cpu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AF1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Thermal transport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C719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Lattice thermal conductivity from DFT forces</w:t>
            </w:r>
          </w:p>
        </w:tc>
      </w:tr>
      <w:tr w14:paraId="2F7CD9C3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1F7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kl-mlff-cpu / kl-mlff-gpu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5658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Thermal transport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714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Lattice thermal conductivity from MACE forces</w:t>
            </w:r>
          </w:p>
        </w:tc>
      </w:tr>
      <w:tr w14:paraId="4BD4071F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EA98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mlff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60B3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ML potentials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CED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Random-displacement MLFF training and MACE potential generation</w:t>
            </w:r>
          </w:p>
        </w:tc>
      </w:tr>
      <w:tr w14:paraId="0969EE14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605BF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te-screen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7B7F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Thermoelectrics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ADEB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Fast surrogate thermoelectric screening</w:t>
            </w:r>
          </w:p>
        </w:tc>
      </w:tr>
      <w:tr w14:paraId="597484D7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2B488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zt-dft-cpu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73C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Thermoelectrics</w:t>
            </w:r>
          </w:p>
        </w:tc>
        <w:tc>
          <w:tcPr>
            <w:tcW w:w="2621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082C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End-to-end DFT thermoelectric ZT workflow</w:t>
            </w:r>
          </w:p>
        </w:tc>
      </w:tr>
      <w:tr w14:paraId="6B8C890D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46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DFD7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both"/>
              <w:rPr>
                <w:rFonts w:asci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  <w:t>Software / package</w:t>
            </w:r>
          </w:p>
        </w:tc>
        <w:tc>
          <w:tcPr>
            <w:tcW w:w="1588" w:type="pct"/>
            <w:gridSpan w:val="2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19BB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  <w:t>Role in the workflow</w:t>
            </w:r>
          </w:p>
        </w:tc>
        <w:tc>
          <w:tcPr>
            <w:tcW w:w="2765" w:type="pct"/>
            <w:gridSpan w:val="3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7547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  <w:t>Used by</w:t>
            </w:r>
          </w:p>
        </w:tc>
      </w:tr>
      <w:tr w14:paraId="5F2131AF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2653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VASP</w:t>
            </w:r>
          </w:p>
        </w:tc>
        <w:tc>
          <w:tcPr>
            <w:tcW w:w="1588" w:type="pct"/>
            <w:gridSpan w:val="2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9E71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DFT electronic structure, forces and phonons</w:t>
            </w:r>
          </w:p>
        </w:tc>
        <w:tc>
          <w:tcPr>
            <w:tcW w:w="2765" w:type="pct"/>
            <w:gridSpan w:val="3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A090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opt-dft-cpu; band-dft-cpu; defect-dft-cpu; elastic-dft-cpu; phonon-dft-cpu; kl-dft-cpu; mlff; zt-dft-cpu</w:t>
            </w:r>
          </w:p>
        </w:tc>
      </w:tr>
      <w:tr w14:paraId="5EE86BC9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896C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MACE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F0D8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Machine-learning interatomic potentials and forces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D96A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opt-mlff-*; phonon-mlff-*; kl-mlff-*; mlff</w:t>
            </w:r>
          </w:p>
        </w:tc>
      </w:tr>
      <w:tr w14:paraId="68D35EF1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5D6C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ASE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E2E4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Atomic-structure manipulation and workflow utilities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2D74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opt-mlff-*</w:t>
            </w:r>
          </w:p>
        </w:tc>
      </w:tr>
      <w:tr w14:paraId="671E51DC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6148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Phonopy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956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Harmonic phonons and displacement generation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668BA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phonon-dft-cpu; phonon-mlff-*</w:t>
            </w:r>
          </w:p>
        </w:tc>
      </w:tr>
      <w:tr w14:paraId="2ABEB995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21930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Phono3py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BAA4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Anharmonic force constants and lattice thermal conductivity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67E0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fit-fc-thermal; kl-dft-cpu; kl-mlff-*; zt-dft-cpu</w:t>
            </w:r>
          </w:p>
        </w:tc>
      </w:tr>
      <w:tr w14:paraId="58404BB5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3AC5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ShengBTE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0448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Boltzmann transport solution for lattice thermal conductivity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7F9E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kl-dft-cpu</w:t>
            </w:r>
          </w:p>
        </w:tc>
      </w:tr>
      <w:tr w14:paraId="4CA18EDF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8DF2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AMSET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E05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Electronic transport coefficients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2084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ke-dft-cpu; zt-dft-cpu</w:t>
            </w:r>
          </w:p>
        </w:tc>
      </w:tr>
      <w:tr w14:paraId="46FB9585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1A141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BoltzTraP2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BFCF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Band interpolation and transport analysis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4E9E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ke-dft-cpu; zt-dft-cpu</w:t>
            </w:r>
          </w:p>
        </w:tc>
      </w:tr>
      <w:tr w14:paraId="05A6773D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4CC4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Quantum ESPRESSO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40564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Plane-wave electronic structure and DFPT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5809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eph-qe-cpu</w:t>
            </w:r>
          </w:p>
        </w:tc>
      </w:tr>
      <w:tr w14:paraId="63F09CBC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B6B46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Wannier90 / Perturbo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C7CD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Wannier interpolation and electron-phonon coupling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3F7B9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eph-qe-cpu</w:t>
            </w:r>
          </w:p>
        </w:tc>
      </w:tr>
      <w:tr w14:paraId="785FB7CF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F626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VASPKIT / SeeK-path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05E5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Band-path generation and VASP post-processing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4B7B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band-dft-cpu</w:t>
            </w:r>
          </w:p>
        </w:tc>
      </w:tr>
      <w:tr w14:paraId="668294C4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8BA9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Uni-HamGNN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88CAB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Machine-learning Hamiltonian prediction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3DA6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unihamgnn</w:t>
            </w:r>
          </w:p>
        </w:tc>
      </w:tr>
      <w:tr w14:paraId="44222972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A5BD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COGITO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79AE0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COHP / chemical-bonding analysis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DCE0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cohp-cogito</w:t>
            </w:r>
          </w:p>
        </w:tc>
      </w:tr>
      <w:tr w14:paraId="7EC39C34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97145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hiPhive / symfc / ALM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09B62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Force-constant fitting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062D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fit-fc-thermal</w:t>
            </w:r>
          </w:p>
        </w:tc>
      </w:tr>
      <w:tr w14:paraId="2A8660E9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D291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Python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1194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Surrogate thermoelectric screening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50D0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te-screen</w:t>
            </w:r>
          </w:p>
        </w:tc>
      </w:tr>
    </w:tbl>
    <w:p w14:paraId="51580A06">
      <w:pPr>
        <w:keepNext/>
        <w:spacing w:before="180" w:after="80"/>
      </w:pPr>
      <w:r>
        <w:rPr>
          <w:rFonts w:ascii="Times New Roman" w:hAnsi="Times New Roman"/>
          <w:b/>
          <w:sz w:val="22"/>
        </w:rPr>
        <w:t>Table 2: Software and program packages used by AutoZT.</w:t>
      </w:r>
    </w:p>
    <w:p w14:paraId="2CA84B18">
      <w:pPr>
        <w:spacing w:before="100"/>
      </w:pPr>
      <w:r>
        <w:rPr>
          <w:rFonts w:ascii="Times New Roman" w:hAnsi="Times New Roman"/>
          <w:b/>
          <w:sz w:val="16"/>
        </w:rPr>
        <w:t xml:space="preserve">Notes: </w:t>
      </w:r>
      <w:r>
        <w:rPr>
          <w:rFonts w:ascii="Times New Roman" w:hAnsi="Times New Roman"/>
          <w:sz w:val="16"/>
        </w:rPr>
        <w:t>CPU/GPU denotes the supported execution target. An asterisk denotes the CPU and GPU variants of a skill.</w:t>
      </w:r>
      <w:bookmarkStart w:id="0" w:name="_GoBack"/>
      <w:bookmarkEnd w:id="0"/>
    </w:p>
    <w:sectPr>
      <w:pgSz w:w="15840" w:h="12240" w:orient="landscape"/>
      <w:pgMar w:top="864" w:right="1008" w:bottom="864" w:left="1008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96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344</Words>
  <Characters>2510</Characters>
  <Lines>0</Lines>
  <Paragraphs>0</Paragraphs>
  <TotalTime>4</TotalTime>
  <ScaleCrop>false</ScaleCrop>
  <LinksUpToDate>false</LinksUpToDate>
  <CharactersWithSpaces>2730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Andy</cp:lastModifiedBy>
  <dcterms:modified xsi:type="dcterms:W3CDTF">2026-09-20T11:41:33Z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eyJoZGlkIjoiOTVlYTk3NDI2YzAwNTgwYzBiZDMyNTZiNDQ3NmQ4ZjYiLCJ1c2VySWQiOiI0MTQ3OTU1MTgifQ==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BDA75BD2C7DB4733A260ECAA44DC8432_12</vt:lpwstr>
  </property>
</Properties>
</file>