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2FC20">
      <w:pPr>
        <w:spacing w:after="200"/>
      </w:pPr>
      <w:r>
        <w:rPr>
          <w:rFonts w:ascii="Times New Roman" w:hAnsi="Times New Roman"/>
          <w:b/>
          <w:sz w:val="26"/>
        </w:rPr>
        <w:t>AutoZT skills and software stack</w:t>
      </w:r>
    </w:p>
    <w:p w14:paraId="352B9526">
      <w:pPr>
        <w:keepNext/>
        <w:spacing w:before="100" w:after="100"/>
      </w:pPr>
      <w:r>
        <w:rPr>
          <w:rFonts w:ascii="Times New Roman" w:hAnsi="Times New Roman"/>
          <w:b w:val="0"/>
          <w:sz w:val="22"/>
        </w:rPr>
        <w:t>Table 1: AutoZT skills and workflow functions.</w:t>
      </w:r>
    </w:p>
    <w:tbl>
      <w:tblPr>
        <w:tblStyle w:val="32"/>
        <w:tblW w:w="4998" w:type="pct"/>
        <w:jc w:val="center"/>
        <w:tblBorders>
          <w:top w:val="single" w:color="000000" w:sz="10" w:space="0"/>
          <w:left w:val="single" w:color="000000" w:sz="0" w:space="0"/>
          <w:bottom w:val="single" w:color="000000" w:sz="1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6"/>
        <w:gridCol w:w="2571"/>
        <w:gridCol w:w="7341"/>
      </w:tblGrid>
      <w:tr w14:paraId="651561D7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F810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  <w:t>Skill</w:t>
            </w:r>
          </w:p>
        </w:tc>
        <w:tc>
          <w:tcPr>
            <w:tcW w:w="918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231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  <w:t>Domain</w:t>
            </w:r>
          </w:p>
        </w:tc>
        <w:tc>
          <w:tcPr>
            <w:tcW w:w="2621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0162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  <w:t>Function</w:t>
            </w:r>
          </w:p>
        </w:tc>
      </w:tr>
      <w:tr w14:paraId="05925ECF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CE02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opt-dft-cpu</w:t>
            </w:r>
          </w:p>
        </w:tc>
        <w:tc>
          <w:tcPr>
            <w:tcW w:w="918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262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Structure</w:t>
            </w:r>
          </w:p>
        </w:tc>
        <w:tc>
          <w:tcPr>
            <w:tcW w:w="2621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F3EF6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DFT structure optimisation and total energy / formation energy</w:t>
            </w:r>
          </w:p>
        </w:tc>
      </w:tr>
      <w:tr w14:paraId="6E9ACBBB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ACD58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opt-mlff-cpu / opt-mlff-gpu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ECD3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Structure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964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MACE structure optimisation and formation energy</w:t>
            </w:r>
          </w:p>
        </w:tc>
      </w:tr>
      <w:tr w14:paraId="43C0C067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5FB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band-dft-cpu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6334E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ED69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PBE/HSE band structures and k-path generation</w:t>
            </w:r>
          </w:p>
        </w:tc>
      </w:tr>
      <w:tr w14:paraId="4EDB663C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6E6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ke-dft-cpu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74F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4037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Electronic transport coefficients</w:t>
            </w:r>
          </w:p>
        </w:tc>
      </w:tr>
      <w:tr w14:paraId="29F11173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2A36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unihamgnn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3B5B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5785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ML Hamiltonian generation and band calculation</w:t>
            </w:r>
          </w:p>
        </w:tc>
      </w:tr>
      <w:tr w14:paraId="1C875FC9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82279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cohp-cogito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D53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F4A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Chemical-bonding and COHP analysis</w:t>
            </w:r>
          </w:p>
        </w:tc>
      </w:tr>
      <w:tr w14:paraId="61111DCD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AA37E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eph-qe-cpu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387C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699F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Electron-phonon coupling workflow</w:t>
            </w:r>
          </w:p>
        </w:tc>
      </w:tr>
      <w:tr w14:paraId="760ED435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78889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defect-dft-cpu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068C8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Defects and mechanics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BD98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Point defects and formation energies</w:t>
            </w:r>
          </w:p>
        </w:tc>
      </w:tr>
      <w:tr w14:paraId="2DF713BF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D96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elastic-dft-cpu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B6D3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Defects and mechanics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AD2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Elastic constants and mechanical response</w:t>
            </w:r>
          </w:p>
        </w:tc>
      </w:tr>
      <w:tr w14:paraId="18F03929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054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phonon-dft-cpu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8DE9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Phonons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5FAB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Harmonic phonons and stability</w:t>
            </w:r>
          </w:p>
        </w:tc>
      </w:tr>
      <w:tr w14:paraId="5B43541F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C1FE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phonon-mlff-cpu / phonon-mlff-gpu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8F31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Phonons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E0CE8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MACE phonon spectrum and stability screening</w:t>
            </w:r>
          </w:p>
        </w:tc>
      </w:tr>
      <w:tr w14:paraId="0DEAE853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D06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fit-fc-thermal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A5E9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Force constants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6393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Harmonic / anharmonic force-constant fitting</w:t>
            </w:r>
          </w:p>
        </w:tc>
      </w:tr>
      <w:tr w14:paraId="23025A6F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DFC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kl-dft-cpu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189CF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Thermal transport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0BF9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Lattice thermal conductivity from DFT forces</w:t>
            </w:r>
          </w:p>
        </w:tc>
      </w:tr>
      <w:tr w14:paraId="23FF1C23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15A7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kl-mlff-cpu / kl-mlff-gpu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2DD5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Thermal transport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6735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Lattice thermal conductivity from MACE forces</w:t>
            </w:r>
          </w:p>
        </w:tc>
      </w:tr>
      <w:tr w14:paraId="6B6379C9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9236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mlff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C09AE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ML potentials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3A6B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Random-displacement MLFF training and MACE potential generation</w:t>
            </w:r>
          </w:p>
        </w:tc>
      </w:tr>
      <w:tr w14:paraId="18CAB304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225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te-screen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C88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Thermoelectrics</w:t>
            </w:r>
          </w:p>
        </w:tc>
        <w:tc>
          <w:tcPr>
            <w:tcW w:w="26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7078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Fast surrogate thermoelectric screening</w:t>
            </w:r>
          </w:p>
        </w:tc>
      </w:tr>
      <w:tr w14:paraId="3AF31457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B5378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zt-dft-cpu</w:t>
            </w:r>
          </w:p>
        </w:tc>
        <w:tc>
          <w:tcPr>
            <w:tcW w:w="918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E84F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Thermoelectrics</w:t>
            </w:r>
          </w:p>
        </w:tc>
        <w:tc>
          <w:tcPr>
            <w:tcW w:w="2621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5C4B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End-to-end DFT thermoelectric ZT workflow</w:t>
            </w:r>
          </w:p>
        </w:tc>
      </w:tr>
    </w:tbl>
    <w:p w14:paraId="28E0FE7E">
      <w:r>
        <w:br w:type="page"/>
      </w:r>
    </w:p>
    <w:p w14:paraId="4B0B224B">
      <w:pPr>
        <w:keepNext/>
        <w:spacing w:before="100" w:after="100"/>
      </w:pPr>
      <w:r>
        <w:rPr>
          <w:rFonts w:ascii="Times New Roman" w:hAnsi="Times New Roman"/>
          <w:b w:val="0"/>
          <w:sz w:val="22"/>
        </w:rPr>
        <w:t>Table 2: Software and program packages used by AutoZT.</w:t>
      </w:r>
    </w:p>
    <w:tbl>
      <w:tblPr>
        <w:tblStyle w:val="32"/>
        <w:tblW w:w="4998" w:type="pct"/>
        <w:jc w:val="center"/>
        <w:tblBorders>
          <w:top w:val="single" w:color="000000" w:sz="10" w:space="0"/>
          <w:left w:val="single" w:color="000000" w:sz="0" w:space="0"/>
          <w:bottom w:val="single" w:color="000000" w:sz="10" w:space="0"/>
          <w:right w:val="single" w:color="000000" w:sz="0" w:space="0"/>
          <w:insideH w:val="single" w:color="000000" w:sz="0" w:space="0"/>
          <w:insideV w:val="single" w:color="000000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9"/>
        <w:gridCol w:w="8526"/>
        <w:gridCol w:w="2003"/>
      </w:tblGrid>
      <w:tr w14:paraId="5A1D6338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39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385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  <w:t>Software / package</w:t>
            </w:r>
          </w:p>
        </w:tc>
        <w:tc>
          <w:tcPr>
            <w:tcW w:w="3044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0C8A6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  <w:t>Role in the workflow</w:t>
            </w:r>
          </w:p>
        </w:tc>
        <w:tc>
          <w:tcPr>
            <w:tcW w:w="715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67839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ＭＳ 明朝"/>
                <w:b/>
                <w:i w:val="0"/>
                <w:color w:val="000000" w:themeColor="dark1"/>
                <w:sz w:val="19"/>
                <w14:textFill>
                  <w14:solidFill>
                    <w14:schemeClr w14:val="dk1"/>
                  </w14:solidFill>
                </w14:textFill>
              </w:rPr>
              <w:t>Hardware</w:t>
            </w:r>
          </w:p>
        </w:tc>
      </w:tr>
      <w:tr w14:paraId="66FB77B8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9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8D59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VASP</w:t>
            </w:r>
          </w:p>
        </w:tc>
        <w:tc>
          <w:tcPr>
            <w:tcW w:w="3044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159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DFT electronic structure, forces and phonons</w:t>
            </w:r>
          </w:p>
        </w:tc>
        <w:tc>
          <w:tcPr>
            <w:tcW w:w="715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C0A6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4D7A6338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B058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MACE</w:t>
            </w:r>
          </w:p>
        </w:tc>
        <w:tc>
          <w:tcPr>
            <w:tcW w:w="30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6D7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Machine-learning interatomic potentials and forces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7F24B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 / GPU</w:t>
            </w:r>
          </w:p>
        </w:tc>
      </w:tr>
      <w:tr w14:paraId="6892E4D2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588B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ASE</w:t>
            </w:r>
          </w:p>
        </w:tc>
        <w:tc>
          <w:tcPr>
            <w:tcW w:w="30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1D8F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Atomic-structure manipulation and workflow utilities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FB6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1BB53036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C8EC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Phonopy</w:t>
            </w:r>
          </w:p>
        </w:tc>
        <w:tc>
          <w:tcPr>
            <w:tcW w:w="30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F265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Harmonic phonons and displacement generation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06374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684390C4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0DAC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Phono3py</w:t>
            </w:r>
          </w:p>
        </w:tc>
        <w:tc>
          <w:tcPr>
            <w:tcW w:w="30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0279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Anharmonic force constants and lattice thermal conductivity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CA7C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7741D67B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35BA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ShengBTE</w:t>
            </w:r>
          </w:p>
        </w:tc>
        <w:tc>
          <w:tcPr>
            <w:tcW w:w="30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BCD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Boltzmann transport solution for lattice thermal conductivity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69D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177030DD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039E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AMSET</w:t>
            </w:r>
          </w:p>
        </w:tc>
        <w:tc>
          <w:tcPr>
            <w:tcW w:w="30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6D2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Electronic transport coefficients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5356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0B00C59F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55034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BoltzTraP2</w:t>
            </w:r>
          </w:p>
        </w:tc>
        <w:tc>
          <w:tcPr>
            <w:tcW w:w="30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E20E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Band interpolation and transport analysis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EF3B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4FD2B867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6F35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Quantum ESPRESSO</w:t>
            </w:r>
          </w:p>
        </w:tc>
        <w:tc>
          <w:tcPr>
            <w:tcW w:w="30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5BC6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Plane-wave electronic structure and DFPT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2D39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7816CC96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4A0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Wannier90 / Perturbo</w:t>
            </w:r>
          </w:p>
        </w:tc>
        <w:tc>
          <w:tcPr>
            <w:tcW w:w="30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56CE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Wannier interpolation and electron-phonon coupling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535A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2F76DC4F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8C6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VASPKIT / SeeK-path</w:t>
            </w:r>
          </w:p>
        </w:tc>
        <w:tc>
          <w:tcPr>
            <w:tcW w:w="30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7F21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Band-path generation and VASP post-processing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2BF0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1A967D3A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9C6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Uni-HamGNN</w:t>
            </w:r>
          </w:p>
        </w:tc>
        <w:tc>
          <w:tcPr>
            <w:tcW w:w="30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02BF9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Machine-learning Hamiltonian prediction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6AD6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756CCAC7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1082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COGITO</w:t>
            </w:r>
          </w:p>
        </w:tc>
        <w:tc>
          <w:tcPr>
            <w:tcW w:w="30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011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COHP / chemical-bonding analysis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4022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6CF71C84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3F3C4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hiPhive / symfc / ALM</w:t>
            </w:r>
          </w:p>
        </w:tc>
        <w:tc>
          <w:tcPr>
            <w:tcW w:w="30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6FA4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Force-constant fitting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11AC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  <w:tr w14:paraId="274E2B45">
        <w:tblPrEx>
          <w:tblBorders>
            <w:top w:val="single" w:color="000000" w:sz="10" w:space="0"/>
            <w:left w:val="single" w:color="000000" w:sz="0" w:space="0"/>
            <w:bottom w:val="single" w:color="000000" w:sz="1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9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620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Python</w:t>
            </w:r>
          </w:p>
        </w:tc>
        <w:tc>
          <w:tcPr>
            <w:tcW w:w="3044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CE6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Surrogate thermoelectric screening</w:t>
            </w:r>
          </w:p>
        </w:tc>
        <w:tc>
          <w:tcPr>
            <w:tcW w:w="715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A3F39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ＭＳ 明朝"/>
                <w:b w:val="0"/>
                <w:i w:val="0"/>
                <w:color w:val="08090C"/>
                <w:sz w:val="17"/>
              </w:rPr>
            </w:pPr>
            <w:r>
              <w:rPr>
                <w:rFonts w:ascii="Times New Roman" w:hAnsi="Times New Roman" w:eastAsia="ＭＳ 明朝"/>
                <w:b w:val="0"/>
                <w:i w:val="0"/>
                <w:color w:val="08090C"/>
                <w:sz w:val="17"/>
              </w:rPr>
              <w:t>CPU</w:t>
            </w:r>
          </w:p>
        </w:tc>
      </w:tr>
    </w:tbl>
    <w:p w14:paraId="1F90DE9B">
      <w:pPr>
        <w:spacing w:before="120"/>
      </w:pPr>
      <w:r>
        <w:rPr>
          <w:rFonts w:ascii="Times New Roman" w:hAnsi="Times New Roman"/>
          <w:b/>
          <w:sz w:val="16"/>
        </w:rPr>
        <w:t xml:space="preserve">Notes: </w:t>
      </w:r>
      <w:r>
        <w:rPr>
          <w:rFonts w:ascii="Times New Roman" w:hAnsi="Times New Roman"/>
          <w:sz w:val="16"/>
        </w:rPr>
        <w:t>Hardware refers to execution in the current AutoZT workflows. CPU/GPU indicates the supported execution target; Uni-HamGNN is currently configured for CPU execution.</w:t>
      </w:r>
      <w:bookmarkStart w:id="0" w:name="_GoBack"/>
      <w:bookmarkEnd w:id="0"/>
    </w:p>
    <w:sectPr>
      <w:pgSz w:w="15840" w:h="12240" w:orient="landscape"/>
      <w:pgMar w:top="936" w:right="1008" w:bottom="936" w:left="1008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DA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304</Words>
  <Characters>2189</Characters>
  <Lines>0</Lines>
  <Paragraphs>0</Paragraphs>
  <TotalTime>1</TotalTime>
  <ScaleCrop>false</ScaleCrop>
  <LinksUpToDate>false</LinksUpToDate>
  <CharactersWithSpaces>2387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Andy</cp:lastModifiedBy>
  <dcterms:modified xsi:type="dcterms:W3CDTF">2026-09-20T12:04:09Z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eyJoZGlkIjoiOTVlYTk3NDI2YzAwNTgwYzBiZDMyNTZiNDQ3NmQ4ZjYiLCJ1c2VySWQiOiI0MTQ3OTU1MTgifQ==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6AD5CB044EF04E5883AEAE00436F39A6_12</vt:lpwstr>
  </property>
</Properties>
</file>