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Times New Roman" w:hAnsi="Times New Roman"/>
          <w:color w:val="000000"/>
          <w:sz w:val="24"/>
        </w:rPr>
        <w:t>Table 1: AutoZT software and workflow overview.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00000"/>
          <w:left w:val="nil" w:sz="8" w:space="0" w:color="000000"/>
          <w:right w:val="nil" w:sz="8" w:space="0" w:color="000000"/>
          <w:insideV w:val="nil" w:sz="8" w:space="0" w:color="000000"/>
          <w:insideH w:val="nil" w:sz="8" w:space="0" w:color="000000"/>
          <w:bottom w:val="single" w:sz="10" w:space="0" w:color="000000"/>
        </w:tblBorders>
      </w:tblPr>
      <w:tblGrid>
        <w:gridCol w:w="3492"/>
        <w:gridCol w:w="3492"/>
        <w:gridCol w:w="3492"/>
        <w:gridCol w:w="3492"/>
      </w:tblGrid>
      <w:tr>
        <w:trPr>
          <w:tblBorders>
            <w:bottom w:val="single" w:sz="8" w:space="0" w:color="000000"/>
          </w:tblBorders>
          <w:tblHeader/>
        </w:trP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Skill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Main packages / engines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Hardware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Function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Structure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opt-dft-cpu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VASP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DFT structure optimisation and total energy / formation energy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opt-mace-cpu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MACE, ASE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 structure optimisation and formation energy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opt-mace-gpu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MACE, ASE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 structure optimisation and formation energy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Electrons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band-dft-cpu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VASP, VASPKIT, SeeK-path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PBE/HSE band structures and k-path generation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ke-dft-cpu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AMSET, BoltzTraP2, CRTA check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Electronic transport: conductivity, Seebeck coefficient and electronic thermal conductivity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unihamgnn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Uni-HamGNN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 / GPU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ML Hamiltonian generation and band calculation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cohp-cogito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COGITO, VASP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Chemical-bonding and COHP/ICOHP analysis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eph-qe-cpu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Quantum ESPRESSO, Perturbo, Wannier90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Electron-phonon coupling and transport workflow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Defects and mechanics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defect-dft-cpu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VASP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Point defects, charge states and formation energies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elastic-dft-cpu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VASP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Elastic constants and mechanical response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Phonons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phonon-dft-cpu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VASP, Phonopy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Harmonic phonons and dynamical stability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phonon-mace-cpu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MACE, Phonopy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 phonon spectrum and stability screening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phonon-mace-gpu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MACE, Phonopy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GPU-accelerated MACE phonon spectrum and stability screening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Force constants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fc-fit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Phono3py, hiPhive, symfc, ALM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 / local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Harmonic / anharmonic force-constant fitting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Thermal transport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kl-dft-cpu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Phono3py, ShengBTE, VASP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Lattice thermal conductivity from DFT forces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kl-mace-cpu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MACE, Phono3py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Lattice thermal conductivity from MACE forces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kl-mace-gpu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MACE, Phono3py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GPU-accelerated MACE force evaluation for lattice thermal conductivity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ML potentials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mlff-mace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MACE, VASP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 / GPU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Random-displacement MLFF training and MACE potential generation</w:t>
            </w:r>
          </w:p>
        </w:tc>
      </w:tr>
      <w:tr>
        <w:trPr>
          <w:tblBorders>
            <w:bottom w:val="single" w:sz="4" w:space="0" w:color="808080"/>
          </w:tblBorders>
        </w:trPr>
        <w:tc>
          <w:tcPr>
            <w:tcW w:type="dxa" w:w="13968"/>
            <w:gridSpan w:val="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Thermoelectrics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te-screen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Python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Local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Fast surrogate screening of thermoelectric performance</w:t>
            </w:r>
          </w:p>
        </w:tc>
      </w:tr>
      <w:tr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ourier New" w:hAnsi="Courier New"/>
                <w:b w:val="0"/>
                <w:color w:val="000000"/>
                <w:sz w:val="17"/>
              </w:rPr>
              <w:t>zt-dft-cpu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VASP, AMSET, BoltzTraP2, Phono3py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End-to-end DFT thermoelectric figure of merit ZT workflow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b/>
          <w:sz w:val="17"/>
        </w:rPr>
        <w:t xml:space="preserve">Notes: </w:t>
      </w:r>
      <w:r>
        <w:rPr>
          <w:rFonts w:ascii="Times New Roman" w:hAnsi="Times New Roman"/>
          <w:sz w:val="17"/>
        </w:rPr>
        <w:t>CPU/GPU indicates the supported execution target. The table lists the 20 current production skills in skill/.</w:t>
      </w:r>
    </w:p>
    <w:sectPr w:rsidR="00FC693F" w:rsidRPr="0006063C" w:rsidSect="00034616">
      <w:pgSz w:w="15840" w:h="12240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