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Official University of Southern Mindanao seal" title="University of Southern Mindanao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m-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73A2A"/>
          <w:sz w:val="26"/>
        </w:rPr>
        <w:t>UNIVERSITY OF SOUTHERN MINDANAO</w:t>
      </w:r>
    </w:p>
    <w:p>
      <w:pPr>
        <w:spacing w:after="360"/>
        <w:jc w:val="center"/>
      </w:pPr>
      <w:r>
        <w:rPr>
          <w:rFonts w:ascii="Arial" w:hAnsi="Arial"/>
          <w:color w:val="53635B"/>
          <w:sz w:val="18"/>
        </w:rPr>
        <w:t>Kabacan, Cotabato</w:t>
      </w:r>
    </w:p>
    <w:p>
      <w:pPr>
        <w:spacing w:after="180"/>
        <w:jc w:val="center"/>
      </w:pPr>
      <w:r>
        <w:rPr>
          <w:rFonts w:ascii="Arial" w:hAnsi="Arial"/>
          <w:b/>
          <w:color w:val="E0AD19"/>
          <w:sz w:val="20"/>
        </w:rPr>
        <w:t>USER GUIDE</w:t>
      </w:r>
    </w:p>
    <w:p>
      <w:pPr>
        <w:spacing w:after="200"/>
        <w:jc w:val="center"/>
      </w:pPr>
      <w:r>
        <w:rPr>
          <w:rFonts w:ascii="Arial" w:hAnsi="Arial"/>
          <w:b/>
          <w:color w:val="073A2A"/>
          <w:sz w:val="34"/>
        </w:rPr>
        <w:t>USM Scheduler User Guide</w:t>
      </w:r>
    </w:p>
    <w:p>
      <w:pPr>
        <w:spacing w:after="400"/>
        <w:jc w:val="center"/>
      </w:pPr>
      <w:r>
        <w:rPr>
          <w:rFonts w:ascii="Arial" w:hAnsi="Arial"/>
          <w:color w:val="53635B"/>
          <w:sz w:val="20"/>
        </w:rPr>
        <w:t>Professional operating guide for the scheduling decision-support thesis prototype</w:t>
      </w:r>
    </w:p>
    <w:p>
      <w:pPr>
        <w:spacing w:after="40"/>
        <w:jc w:val="center"/>
      </w:pPr>
      <w:r>
        <w:rPr>
          <w:rFonts w:ascii="Arial" w:hAnsi="Arial"/>
          <w:sz w:val="20"/>
        </w:rPr>
        <w:t>For system administrators, central scheduling personnel, and college reviewers</w:t>
      </w:r>
    </w:p>
    <w:p>
      <w:pPr>
        <w:spacing w:after="40"/>
        <w:jc w:val="center"/>
      </w:pPr>
      <w:r>
        <w:rPr>
          <w:rFonts w:ascii="Arial" w:hAnsi="Arial"/>
          <w:sz w:val="20"/>
        </w:rPr>
        <w:t>Prepared by Ruby Jean B. Solomon and Edgardo Gabriel L. Paclibar</w:t>
      </w:r>
    </w:p>
    <w:p>
      <w:pPr>
        <w:spacing w:after="40"/>
        <w:jc w:val="center"/>
      </w:pPr>
      <w:r>
        <w:rPr>
          <w:rFonts w:ascii="Arial" w:hAnsi="Arial"/>
          <w:sz w:val="20"/>
        </w:rPr>
        <w:t>Version 2.0 · August 2026</w:t>
      </w:r>
    </w:p>
    <w:p>
      <w:pPr>
        <w:spacing w:before="400" w:after="0"/>
        <w:ind w:left="850" w:right="850"/>
        <w:jc w:val="center"/>
        <w:shd w:fill="FFF1F0"/>
        <w:pBdr>
          <w:top w:val="single" w:sz="16" w:space="8" w:color="E0AD19"/>
        </w:pBdr>
      </w:pPr>
      <w:r>
        <w:rPr>
          <w:rFonts w:ascii="Arial" w:hAnsi="Arial"/>
          <w:b/>
          <w:color w:val="073A2A"/>
          <w:sz w:val="17"/>
        </w:rPr>
        <w:t>BSCS THESIS PROTOTYPE — NOT AN OFFICIAL USM SCHEDULING SYSTEM. Institutional data, policies, approval, and seal use require formal authorization.</w:t>
      </w:r>
    </w:p>
    <w:p>
      <w:r>
        <w:br w:type="page"/>
      </w:r>
    </w:p>
    <w:p>
      <w:pPr>
        <w:pStyle w:val="Heading1"/>
        <w:spacing w:before="0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Open in Microsoft Word to update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What the system does</w:t>
      </w:r>
    </w:p>
    <w:p>
      <w:r>
        <w:t xml:space="preserve">USM Scheduler assigns each predeclared class meeting to a valid time and room. Sections, subjects, instructors, teaching loads, meeting durations, and required weekly sessions are inputs. The system does </w:t>
      </w:r>
      <w:r>
        <w:rPr>
          <w:b/>
        </w:rPr>
        <w:t>not</w:t>
      </w:r>
      <w:r>
        <w:t xml:space="preserve"> assign instructors.</w:t>
      </w:r>
    </w:p>
    <w:p>
      <w:r>
        <w:t>Both optimization engines use the same frozen input:</w:t>
      </w:r>
    </w:p>
    <w:p>
      <w:pPr>
        <w:pStyle w:val="ListBullet"/>
      </w:pPr>
      <w:r>
        <w:t>Google OR-Tools Constraint Programming–SAT (CP-SAT);</w:t>
      </w:r>
    </w:p>
    <w:p>
      <w:pPr>
        <w:pStyle w:val="ListBullet"/>
      </w:pPr>
      <w:r>
        <w:t>a project-owned Genetic Algorithm (GA);</w:t>
      </w:r>
    </w:p>
    <w:p>
      <w:pPr>
        <w:pStyle w:val="ListBullet"/>
      </w:pPr>
      <w:r>
        <w:t>one shared set of legal room-time candidates;</w:t>
      </w:r>
    </w:p>
    <w:p>
      <w:pPr>
        <w:pStyle w:val="ListBullet"/>
      </w:pPr>
      <w:r>
        <w:t>one approved soft-objective profile; and</w:t>
      </w:r>
    </w:p>
    <w:p>
      <w:pPr>
        <w:pStyle w:val="ListBullet"/>
      </w:pPr>
      <w:r>
        <w:t>one independent validator and scorer.</w:t>
      </w:r>
    </w:p>
    <w:p>
      <w:r>
        <w:t>The system checks instructor, section, and room conflicts; availability; contiguous duration; laboratory capabilities; college or offering-unit room authorization; distinct-day rules; and active locks. Faculty preferences, internal vacant periods, and daily-load balance may be scored as soft objectives.</w:t>
      </w:r>
    </w:p>
    <w:p>
      <w:r>
        <w:t>Every section and combined meeting uses a fixed maximum of 50 students; exactly 50 is accepted and 51 or more blocks formal snapshot creation. This applies to classrooms, laboratories, and special-purpose rooms. It is not chair, floor-area, or variable room-capacity validation, so participating rooms must be administratively prevalidated. Individual student elective conflicts, examinations, walking distance, inter-campus travel, and instructor assignment remain outside the thesis baseline.</w:t>
      </w:r>
    </w:p>
    <w:p>
      <w:pPr>
        <w:pStyle w:val="Heading1"/>
      </w:pPr>
      <w:r>
        <w:t>2. Roles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hRule="atLeast"/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Main responsibilities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Important limits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System administrator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Accounts, roles, academic master data, platform configuration, emergency administration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Must not bypass validation or institutional authorization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scheduler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Terms, imports, snapshots, solver runs, experiments, timetable versions, locks, and final approval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 approve only an independently validated feasible schedule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College reviewer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 complete timetables and endorse or request changes for assigned college scope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Cannot approve the university schedule or decide for another college</w:t>
            </w:r>
          </w:p>
        </w:tc>
      </w:tr>
    </w:tbl>
    <w:p>
      <w:pPr>
        <w:spacing w:after="0"/>
      </w:pPr>
    </w:p>
    <w:p>
      <w:r>
        <w:t>Use a named account for normal work. Do not share administrator credentials. Sign out when leaving a shared workstation.</w:t>
      </w:r>
    </w:p>
    <w:p>
      <w:pPr>
        <w:pStyle w:val="Heading1"/>
      </w:pPr>
      <w:r>
        <w:t>3. Workflow at a glance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TEXT</w:t>
        <w:br/>
      </w:r>
      <w:r>
        <w:t>Authorized semester data</w:t>
        <w:br/>
        <w:t xml:space="preserve">        ↓</w:t>
        <w:br/>
        <w:t>Preview and validate XLSX import</w:t>
        <w:br/>
        <w:t xml:space="preserve">        ↓</w:t>
        <w:br/>
        <w:t>Commit immutable term revision</w:t>
        <w:br/>
        <w:t xml:space="preserve">        ↓</w:t>
        <w:br/>
        <w:t>Approve objective profile and run preflight</w:t>
        <w:br/>
        <w:t xml:space="preserve">        ↓</w:t>
        <w:br/>
        <w:t>Freeze problem snapshot and hash</w:t>
        <w:br/>
        <w:t xml:space="preserve">        ↓</w:t>
        <w:br/>
        <w:t>Run CP-SAT and/or GA</w:t>
        <w:br/>
        <w:t xml:space="preserve">        ↓</w:t>
        <w:br/>
        <w:t>Independent validation and scoring</w:t>
        <w:br/>
        <w:t xml:space="preserve">        ↓</w:t>
        <w:br/>
        <w:t>Review timetable → lock/regenerate if needed</w:t>
        <w:br/>
        <w:t xml:space="preserve">        ↓</w:t>
        <w:br/>
        <w:t>College endorsements → central approval → export</w:t>
      </w:r>
    </w:p>
    <w:p>
      <w:r>
        <w:t>Never skip from solver output directly to publication. A result can be mathematically feasible while still requiring authorized personnel to confirm that the source data and institutional interpretation are correct.</w:t>
      </w:r>
    </w:p>
    <w:p>
      <w:pPr>
        <w:pStyle w:val="Heading1"/>
      </w:pPr>
      <w:r>
        <w:t>4. Start the local demonstration</w:t>
      </w:r>
    </w:p>
    <w:p>
      <w:pPr>
        <w:pStyle w:val="Heading2"/>
      </w:pPr>
      <w:r>
        <w:t>4.1 Docker setup (recommended)</w:t>
      </w:r>
    </w:p>
    <w:p>
      <w:r>
        <w:t>Requirements: Docker Desktop with Compose v2.</w:t>
      </w:r>
    </w:p>
    <w:p>
      <w:r>
        <w:t>Open PowerShell: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cd "D:\USM Scheduler"</w:t>
        <w:br/>
        <w:t>Copy-Item .env.example .env</w:t>
        <w:br/>
        <w:t>docker compose up --build -d</w:t>
      </w:r>
    </w:p>
    <w:p>
      <w:r>
        <w:t>Create deterministic synthetic data and demo accounts: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docker compose exec web python manage.py seed_demo `</w:t>
        <w:br/>
        <w:t xml:space="preserve">  --admin-password "AdminPassword123!" `</w:t>
        <w:br/>
        <w:t xml:space="preserve">  --central-password "SchedulerPassword123!" `</w:t>
        <w:br/>
        <w:t xml:space="preserve">  --reviewer-password "ReviewerPassword123!"</w:t>
      </w:r>
    </w:p>
    <w:p>
      <w:r>
        <w:t xml:space="preserve">Open </w:t>
      </w:r>
      <w:hyperlink r:id="rId12">
        <w:r>
          <w:rPr>
            <w:color w:val="125C40"/>
            <w:u w:val="single"/>
          </w:rPr>
          <w:t>http://127.0.0.1:8000/accounts/login/</w:t>
        </w:r>
      </w:hyperlink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hRule="atLeast"/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Demonstration role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scheduler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demo-scheduler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SchedulerPassword123!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College reviewer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demo-reviewer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ReviewerPassword123!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System administrator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demo-admin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AdminPassword123!</w:t>
            </w:r>
          </w:p>
        </w:tc>
      </w:tr>
    </w:tbl>
    <w:p>
      <w:pPr>
        <w:spacing w:after="0"/>
      </w:pPr>
    </w:p>
    <w:p>
      <w:r>
        <w:t>These credentials are intentionally public test credentials. Never reuse them for an institutional deployment.</w:t>
      </w:r>
    </w:p>
    <w:p>
      <w:r>
        <w:t>Check the services when the site does not open: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docker compose ps</w:t>
        <w:br/>
        <w:t>docker compose logs -f web worker</w:t>
      </w:r>
    </w:p>
    <w:p>
      <w:r>
        <w:t xml:space="preserve">The health endpoint is </w:t>
      </w:r>
      <w:hyperlink r:id="rId13">
        <w:r>
          <w:rPr>
            <w:color w:val="125C40"/>
            <w:u w:val="single"/>
          </w:rPr>
          <w:t>http://127.0.0.1:8000/healthz/</w:t>
        </w:r>
      </w:hyperlink>
      <w:r>
        <w:t>.</w:t>
      </w:r>
    </w:p>
    <w:p>
      <w:pPr>
        <w:pStyle w:val="Heading2"/>
      </w:pPr>
      <w:r>
        <w:t>4.2 Direct Python setup when Docker is unavailable</w:t>
      </w:r>
    </w:p>
    <w:p>
      <w:r>
        <w:t>Python 3.12 is recommended.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cd "D:\USM Scheduler"</w:t>
        <w:br/>
        <w:t>py -3.12 -m venv .venv</w:t>
        <w:br/>
        <w:t>.\.venv\Scripts\Activate.ps1</w:t>
        <w:br/>
        <w:t>python -m pip install -r requirements-dev.txt</w:t>
        <w:br/>
        <w:t>$env:CELERY_TASK_ALWAYS_EAGER = "true"</w:t>
        <w:br/>
        <w:t>python manage.py migrate</w:t>
        <w:br/>
        <w:t>python manage.py seed_demo `</w:t>
        <w:br/>
        <w:t xml:space="preserve">  --admin-password "AdminPassword123!" `</w:t>
        <w:br/>
        <w:t xml:space="preserve">  --central-password "SchedulerPassword123!" `</w:t>
        <w:br/>
        <w:t xml:space="preserve">  --reviewer-password "ReviewerPassword123!"</w:t>
        <w:br/>
        <w:t>python manage.py runserver</w:t>
      </w:r>
    </w:p>
    <w:p>
      <w:r>
        <w:t xml:space="preserve">With </w:t>
      </w:r>
      <w:r>
        <w:rPr>
          <w:rFonts w:ascii="Consolas" w:hAnsi="Consolas"/>
          <w:color w:val="125C40"/>
          <w:sz w:val="18"/>
        </w:rPr>
        <w:t>POSTGRES_HOST</w:t>
      </w:r>
      <w:r>
        <w:t xml:space="preserve"> unset, this mode uses an untracked local SQLite database. Eager task execution is suitable for a demonstration, while PostgreSQL, Redis, and a Celery worker are the intended deployment topology.</w:t>
      </w:r>
    </w:p>
    <w:p>
      <w:pPr>
        <w:pStyle w:val="Heading1"/>
      </w:pPr>
      <w:r>
        <w:t>5. Practice data supplied with the system</w:t>
      </w:r>
    </w:p>
    <w:p>
      <w:r>
        <w:t>The repository provides two complementary, wholly synthetic datasets. Neither contains official USM rooms, instructors, subjects, or schedules.</w:t>
      </w:r>
    </w:p>
    <w:p>
      <w:pPr>
        <w:pStyle w:val="Heading2"/>
      </w:pPr>
      <w:r>
        <w:t>5.1 Fast seeded demonstration</w:t>
      </w:r>
    </w:p>
    <w:p>
      <w:r>
        <w:t xml:space="preserve">The </w:t>
      </w:r>
      <w:r>
        <w:rPr>
          <w:rFonts w:ascii="Consolas" w:hAnsi="Consolas"/>
          <w:color w:val="125C40"/>
          <w:sz w:val="18"/>
        </w:rPr>
        <w:t>seed_demo</w:t>
      </w:r>
      <w:r>
        <w:t xml:space="preserve"> command creates synthetic, de-identified data for the Kabacan demonstration term:</w:t>
      </w:r>
    </w:p>
    <w:p>
      <w:pPr>
        <w:pStyle w:val="ListBullet"/>
      </w:pPr>
      <w:r>
        <w:t>one college: College of Science and Mathematics (</w:t>
      </w:r>
      <w:r>
        <w:rPr>
          <w:rFonts w:ascii="Consolas" w:hAnsi="Consolas"/>
          <w:color w:val="125C40"/>
          <w:sz w:val="18"/>
        </w:rPr>
        <w:t>CSM</w:t>
      </w:r>
      <w:r>
        <w:t>);</w:t>
      </w:r>
    </w:p>
    <w:p>
      <w:pPr>
        <w:pStyle w:val="ListBullet"/>
      </w:pPr>
      <w:r>
        <w:t>one department: Department of Computer Science (</w:t>
      </w:r>
      <w:r>
        <w:rPr>
          <w:rFonts w:ascii="Consolas" w:hAnsi="Consolas"/>
          <w:color w:val="125C40"/>
          <w:sz w:val="18"/>
        </w:rPr>
        <w:t>DCS</w:t>
      </w:r>
      <w:r>
        <w:t>);</w:t>
      </w:r>
    </w:p>
    <w:p>
      <w:pPr>
        <w:pStyle w:val="ListBullet"/>
      </w:pPr>
      <w:r>
        <w:t xml:space="preserve">one program and section: BS Computer Science, </w:t>
      </w:r>
      <w:r>
        <w:rPr>
          <w:rFonts w:ascii="Consolas" w:hAnsi="Consolas"/>
          <w:color w:val="125C40"/>
          <w:sz w:val="18"/>
        </w:rPr>
        <w:t>BSCS-1A</w:t>
      </w:r>
      <w:r>
        <w:t>;</w:t>
      </w:r>
    </w:p>
    <w:p>
      <w:pPr>
        <w:pStyle w:val="ListBullet"/>
      </w:pPr>
      <w:r>
        <w:t>two subjects: an introductory computing lecture and a programming laboratory;</w:t>
      </w:r>
    </w:p>
    <w:p>
      <w:pPr>
        <w:pStyle w:val="ListBullet"/>
      </w:pPr>
      <w:r>
        <w:t>two fictional instructors;</w:t>
      </w:r>
    </w:p>
    <w:p>
      <w:pPr>
        <w:pStyle w:val="ListBullet"/>
      </w:pPr>
      <w:r>
        <w:t>one classroom and one computer laboratory;</w:t>
      </w:r>
    </w:p>
    <w:p>
      <w:pPr>
        <w:pStyle w:val="ListBullet"/>
      </w:pPr>
      <w:r>
        <w:t>explicit major-subject room authorizations;</w:t>
      </w:r>
    </w:p>
    <w:p>
      <w:pPr>
        <w:pStyle w:val="ListBullet"/>
      </w:pPr>
      <w:r>
        <w:t>a computer-laboratory capability required by the laboratory meeting;</w:t>
      </w:r>
    </w:p>
    <w:p>
      <w:pPr>
        <w:pStyle w:val="ListBullet"/>
      </w:pPr>
      <w:r>
        <w:t>eight 30-minute atoms across Monday and Tuesday, from 8:00 a.m. to 10:00 a.m.;</w:t>
      </w:r>
    </w:p>
    <w:p>
      <w:pPr>
        <w:pStyle w:val="ListBullet"/>
      </w:pPr>
      <w:r>
        <w:t>one approved demonstration objective profile; and</w:t>
      </w:r>
    </w:p>
    <w:p>
      <w:pPr>
        <w:pStyle w:val="ListBullet"/>
      </w:pPr>
      <w:r>
        <w:t>one committed immutable dataset revision.</w:t>
      </w:r>
    </w:p>
    <w:p>
      <w:r>
        <w:t>Expected checks:</w:t>
      </w:r>
    </w:p>
    <w:p>
      <w:pPr>
        <w:pStyle w:val="ListBullet"/>
      </w:pPr>
      <w:r>
        <w:t>both required meetings are assigned exactly once;</w:t>
      </w:r>
    </w:p>
    <w:p>
      <w:pPr>
        <w:pStyle w:val="ListBullet"/>
      </w:pPr>
      <w:r>
        <w:t xml:space="preserve">the laboratory meeting uses </w:t>
      </w:r>
      <w:r>
        <w:rPr>
          <w:rFonts w:ascii="Consolas" w:hAnsi="Consolas"/>
          <w:color w:val="125C40"/>
          <w:sz w:val="18"/>
        </w:rPr>
        <w:t>CSM-LAB</w:t>
      </w:r>
      <w:r>
        <w:t>;</w:t>
      </w:r>
    </w:p>
    <w:p>
      <w:pPr>
        <w:pStyle w:val="ListBullet"/>
      </w:pPr>
      <w:r>
        <w:t>neither the section nor either room is double-booked;</w:t>
      </w:r>
    </w:p>
    <w:p>
      <w:pPr>
        <w:pStyle w:val="ListBullet"/>
      </w:pPr>
      <w:r>
        <w:t>every final feasible result has zero independent hard violations; and</w:t>
      </w:r>
    </w:p>
    <w:p>
      <w:pPr>
        <w:pStyle w:val="ListBullet"/>
      </w:pPr>
      <w:r>
        <w:t>the exact day and start time may differ by solver or seed without being incorrect.</w:t>
      </w:r>
    </w:p>
    <w:p>
      <w:r>
        <w:t>All demonstration names and codes are fictional research fixtures. They are not evidence of an official USM timetable, room inventory, or faculty assignment.</w:t>
      </w:r>
    </w:p>
    <w:p>
      <w:pPr>
        <w:pStyle w:val="Heading2"/>
      </w:pPr>
      <w:r>
        <w:t>5.2 Full synthetic trial workbook</w:t>
      </w:r>
    </w:p>
    <w:p>
      <w:r>
        <w:t xml:space="preserve">For a more realistic hands-on test, sign in as </w:t>
      </w:r>
      <w:r>
        <w:rPr>
          <w:rFonts w:ascii="Consolas" w:hAnsi="Consolas"/>
          <w:color w:val="125C40"/>
          <w:sz w:val="18"/>
        </w:rPr>
        <w:t>demo-scheduler</w:t>
      </w:r>
      <w:r>
        <w:t xml:space="preserve">, open </w:t>
      </w:r>
      <w:r>
        <w:rPr>
          <w:b/>
        </w:rPr>
        <w:t>Data import</w:t>
      </w:r>
      <w:r>
        <w:t xml:space="preserve">, select the target term under </w:t>
      </w:r>
      <w:r>
        <w:rPr>
          <w:b/>
        </w:rPr>
        <w:t>Practice workbook</w:t>
      </w:r>
      <w:r>
        <w:t xml:space="preserve">, and choose </w:t>
      </w:r>
      <w:r>
        <w:rPr>
          <w:b/>
        </w:rPr>
        <w:t>Download practice workbook</w:t>
      </w:r>
      <w:r>
        <w:t xml:space="preserve">. The schema 1.1 file freezes that term's existing approved policy hashes; import it into the same term. The downloader never creates or approves policies. After </w:t>
      </w:r>
      <w:r>
        <w:rPr>
          <w:rFonts w:ascii="Consolas" w:hAnsi="Consolas"/>
          <w:color w:val="125C40"/>
          <w:sz w:val="18"/>
        </w:rPr>
        <w:t>seed_demo</w:t>
      </w:r>
      <w:r>
        <w:t>, it can also be generated with: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python manage.py create_trial_workbook `</w:t>
        <w:br/>
        <w:t xml:space="preserve">  --term-id 1 --output .\USM-Scheduler-Synthetic-Trial-v2.xlsx</w:t>
      </w:r>
    </w:p>
    <w:p>
      <w:r>
        <w:t xml:space="preserve">The tracked </w:t>
      </w:r>
      <w:r>
        <w:rPr>
          <w:rFonts w:ascii="Consolas" w:hAnsi="Consolas"/>
          <w:color w:val="125C40"/>
          <w:sz w:val="18"/>
        </w:rPr>
        <w:t>examples/USM-Scheduler-Synthetic-Trial-v1.xlsx</w:t>
      </w:r>
      <w:r>
        <w:t xml:space="preserve"> remains a legacy exploratory fixture. It lacks thesis-v2 enrollment and policy evidence and must not be used for the formal pilot. The v2 fixture requires approved v1 policies </w:t>
      </w:r>
      <w:r>
        <w:rPr>
          <w:rFonts w:ascii="Consolas" w:hAnsi="Consolas"/>
          <w:color w:val="125C40"/>
          <w:sz w:val="18"/>
        </w:rPr>
        <w:t>FIXED_STUDENT_LIMIT_50</w:t>
      </w:r>
      <w:r>
        <w:t xml:space="preserve">, </w:t>
      </w:r>
      <w:r>
        <w:rPr>
          <w:rFonts w:ascii="Consolas" w:hAnsi="Consolas"/>
          <w:color w:val="125C40"/>
          <w:sz w:val="18"/>
        </w:rPr>
        <w:t>INSTRUCTOR_DAILY_LOAD</w:t>
      </w:r>
      <w:r>
        <w:t xml:space="preserve">, and </w:t>
      </w:r>
      <w:r>
        <w:rPr>
          <w:rFonts w:ascii="Consolas" w:hAnsi="Consolas"/>
          <w:color w:val="125C40"/>
          <w:sz w:val="18"/>
        </w:rPr>
        <w:t>RECURRING_RESERVED_BLOCKS</w:t>
      </w:r>
      <w:r>
        <w:t xml:space="preserve"> for the selected term; the demo setup labels these policies as synthetic.</w:t>
      </w:r>
    </w:p>
    <w:p>
      <w:r>
        <w:t>The workbook contains 14 required meetings across five sections and 11 course offerings. It deliberately exercises:</w:t>
      </w:r>
    </w:p>
    <w:p>
      <w:pPr>
        <w:pStyle w:val="ListBullet"/>
      </w:pPr>
      <w:r>
        <w:t>incoming, continuing, and graduating section statuses;</w:t>
      </w:r>
    </w:p>
    <w:p>
      <w:pPr>
        <w:pStyle w:val="ListBullet"/>
      </w:pPr>
      <w:r>
        <w:t>contextual major, minor, and general-education classifications;</w:t>
      </w:r>
    </w:p>
    <w:p>
      <w:pPr>
        <w:pStyle w:val="ListBullet"/>
      </w:pPr>
      <w:r>
        <w:t>fixed instructors, one team-taught offering, and one shared-section offering;</w:t>
      </w:r>
    </w:p>
    <w:p>
      <w:pPr>
        <w:pStyle w:val="ListBullet"/>
      </w:pPr>
      <w:r>
        <w:t>lecture and computer-laboratory meetings;</w:t>
      </w:r>
    </w:p>
    <w:p>
      <w:pPr>
        <w:pStyle w:val="ListBullet"/>
      </w:pPr>
      <w:r>
        <w:t>explicit department room grants and shared/borrowed room grants;</w:t>
      </w:r>
    </w:p>
    <w:p>
      <w:pPr>
        <w:pStyle w:val="ListBullet"/>
      </w:pPr>
      <w:r>
        <w:t>configurable Monday-to-Friday 30-minute atoms with a lunch break;</w:t>
      </w:r>
    </w:p>
    <w:p>
      <w:pPr>
        <w:pStyle w:val="ListBullet"/>
      </w:pPr>
      <w:r>
        <w:t>a restricted instructor profile and a restricted laboratory profile;</w:t>
      </w:r>
    </w:p>
    <w:p>
      <w:pPr>
        <w:pStyle w:val="ListBullet"/>
      </w:pPr>
      <w:r>
        <w:t>instructor preferences;</w:t>
      </w:r>
    </w:p>
    <w:p>
      <w:pPr>
        <w:pStyle w:val="ListBullet"/>
      </w:pPr>
      <w:r>
        <w:t>a twice-weekly distinct-day requirement; and</w:t>
      </w:r>
    </w:p>
    <w:p>
      <w:pPr>
        <w:pStyle w:val="ListBullet"/>
      </w:pPr>
      <w:r>
        <w:t>one valid locked meeting.</w:t>
      </w:r>
    </w:p>
    <w:p>
      <w:r>
        <w:t xml:space="preserve">All codes begin with </w:t>
      </w:r>
      <w:r>
        <w:rPr>
          <w:rFonts w:ascii="Consolas" w:hAnsi="Consolas"/>
          <w:color w:val="125C40"/>
          <w:sz w:val="18"/>
        </w:rPr>
        <w:t>SYN-</w:t>
      </w:r>
      <w:r>
        <w:t xml:space="preserve"> or </w:t>
      </w:r>
      <w:r>
        <w:rPr>
          <w:rFonts w:ascii="Consolas" w:hAnsi="Consolas"/>
          <w:color w:val="125C40"/>
          <w:sz w:val="18"/>
        </w:rPr>
        <w:t>TEST-</w:t>
      </w:r>
      <w:r>
        <w:t>, student sheets are intentionally empty, and workbook metadata states that the records are synthetic. The automated test suite confirms that this workbook previews and commits without errors, builds a 14-event problem, and produces independently feasible CP-SAT and GA results.</w:t>
      </w:r>
    </w:p>
    <w:p>
      <w:r>
        <w:t>To try it:</w:t>
      </w:r>
    </w:p>
    <w:p>
      <w:pPr>
        <w:pStyle w:val="ListNumber"/>
        <w:numPr>
          <w:ilvl w:val="0"/>
          <w:numId w:val="10"/>
        </w:numPr>
      </w:pPr>
      <w:r>
        <w:t xml:space="preserve">Select the active demonstration term on </w:t>
      </w:r>
      <w:r>
        <w:rPr>
          <w:b/>
        </w:rPr>
        <w:t>Prepare scheduling data</w:t>
      </w:r>
      <w:r>
        <w:t>.</w:t>
      </w:r>
    </w:p>
    <w:p>
      <w:pPr>
        <w:pStyle w:val="ListNumber"/>
        <w:numPr>
          <w:ilvl w:val="0"/>
          <w:numId w:val="10"/>
        </w:numPr>
      </w:pPr>
      <w:r>
        <w:t>Upload the synthetic trial workbook and confirm the authorization/data- minimization statement. For this file, the confirmation means you understand that it is safe fictional practice data.</w:t>
      </w:r>
    </w:p>
    <w:p>
      <w:pPr>
        <w:pStyle w:val="ListNumber"/>
        <w:numPr>
          <w:ilvl w:val="0"/>
          <w:numId w:val="10"/>
        </w:numPr>
      </w:pPr>
      <w:r>
        <w:t xml:space="preserve">Select </w:t>
      </w:r>
      <w:r>
        <w:rPr>
          <w:b/>
        </w:rPr>
        <w:t>Check workbook</w:t>
      </w:r>
      <w:r>
        <w:t>. Confirm that the preview reports zero errors.</w:t>
      </w:r>
    </w:p>
    <w:p>
      <w:pPr>
        <w:pStyle w:val="ListNumber"/>
        <w:numPr>
          <w:ilvl w:val="0"/>
          <w:numId w:val="10"/>
        </w:numPr>
      </w:pPr>
      <w:r>
        <w:t xml:space="preserve">Select </w:t>
      </w:r>
      <w:r>
        <w:rPr>
          <w:b/>
        </w:rPr>
        <w:t>Commit clean revision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Open </w:t>
      </w:r>
      <w:r>
        <w:rPr>
          <w:b/>
        </w:rPr>
        <w:t>Generate schedule</w:t>
      </w:r>
      <w:r>
        <w:t>, create a frozen snapshot from the new committed revision and approved objective profile, then run both algorithms.</w:t>
      </w:r>
    </w:p>
    <w:p>
      <w:pPr>
        <w:pStyle w:val="ListNumber"/>
        <w:numPr>
          <w:ilvl w:val="0"/>
          <w:numId w:val="10"/>
        </w:numPr>
      </w:pPr>
      <w:r>
        <w:t xml:space="preserve">Compare the two independently validated results and open </w:t>
      </w:r>
      <w:r>
        <w:rPr>
          <w:b/>
        </w:rPr>
        <w:t>Timetables</w:t>
      </w:r>
      <w:r>
        <w:t xml:space="preserve"> to inspect the weekly view.</w:t>
      </w:r>
    </w:p>
    <w:p>
      <w:pPr>
        <w:pStyle w:val="Heading1"/>
      </w:pPr>
      <w:r>
        <w:t>6. Sign in and navigate</w:t>
      </w:r>
    </w:p>
    <w:p>
      <w:r>
        <w:t>After signing in, the left navigation contains:</w:t>
      </w:r>
    </w:p>
    <w:p>
      <w:pPr>
        <w:pStyle w:val="ListBullet"/>
      </w:pPr>
      <w:r>
        <w:rPr>
          <w:b/>
        </w:rPr>
        <w:t>Home:</w:t>
      </w:r>
      <w:r>
        <w:t xml:space="preserve"> current term, data counts, recent runs, and pending reviews;</w:t>
      </w:r>
    </w:p>
    <w:p>
      <w:pPr>
        <w:pStyle w:val="ListBullet"/>
      </w:pPr>
      <w:r>
        <w:rPr>
          <w:b/>
        </w:rPr>
        <w:t>Academic Terms:</w:t>
      </w:r>
      <w:r>
        <w:t xml:space="preserve"> term registry, term cloning, and revision finalization;</w:t>
      </w:r>
    </w:p>
    <w:p>
      <w:pPr>
        <w:pStyle w:val="ListBullet"/>
      </w:pPr>
      <w:r>
        <w:rPr>
          <w:b/>
        </w:rPr>
        <w:t>Generate Schedule:</w:t>
      </w:r>
      <w:r>
        <w:t xml:space="preserve"> preflight, individual solver runs, and run history;</w:t>
      </w:r>
    </w:p>
    <w:p>
      <w:pPr>
        <w:pStyle w:val="ListBullet"/>
      </w:pPr>
      <w:r>
        <w:rPr>
          <w:b/>
        </w:rPr>
        <w:t>Timetables:</w:t>
      </w:r>
      <w:r>
        <w:t xml:space="preserve"> versioned assignments, validation, locking, review, approval, and export;</w:t>
      </w:r>
    </w:p>
    <w:p>
      <w:pPr>
        <w:pStyle w:val="ListBullet"/>
      </w:pPr>
      <w:r>
        <w:rPr>
          <w:b/>
        </w:rPr>
        <w:t>Prepare Data:</w:t>
      </w:r>
      <w:r>
        <w:t xml:space="preserve"> XLSX template, term-specific synthetic trial download, preview, errors, and transactional commit (central roles only);</w:t>
      </w:r>
    </w:p>
    <w:p>
      <w:pPr>
        <w:pStyle w:val="ListBullet"/>
      </w:pPr>
      <w:r>
        <w:rPr>
          <w:b/>
        </w:rPr>
        <w:t>Reviews:</w:t>
      </w:r>
      <w:r>
        <w:t xml:space="preserve"> college endorsement and change-request queue;</w:t>
      </w:r>
    </w:p>
    <w:p>
      <w:pPr>
        <w:pStyle w:val="ListBullet"/>
      </w:pPr>
      <w:r>
        <w:rPr>
          <w:b/>
        </w:rPr>
        <w:t>Help and user guide:</w:t>
      </w:r>
      <w:r>
        <w:t xml:space="preserve"> role guidance, solver-status explanations, downloads, and troubleshooting; and</w:t>
      </w:r>
    </w:p>
    <w:p>
      <w:pPr>
        <w:pStyle w:val="ListBullet"/>
      </w:pPr>
      <w:r>
        <w:rPr>
          <w:b/>
        </w:rPr>
        <w:t>Research tools:</w:t>
      </w:r>
      <w:r>
        <w:t xml:space="preserve"> separate Formal Study and Exploratory Analysis workflows, outcome tables, excluded diagnostic traces, and evidence downloads; and</w:t>
      </w:r>
    </w:p>
    <w:p>
      <w:pPr>
        <w:pStyle w:val="ListBullet"/>
      </w:pPr>
      <w:r>
        <w:rPr>
          <w:b/>
        </w:rPr>
        <w:t>Django administration:</w:t>
      </w:r>
      <w:r>
        <w:t xml:space="preserve"> visible to staff administrators through the user menu.</w:t>
      </w:r>
    </w:p>
    <w:p>
      <w:r>
        <w:t>The interface supports keyboard navigation and responsive layouts. Use the “Skip to main content” link when navigating by keyboard.</w:t>
      </w:r>
    </w:p>
    <w:p>
      <w:pPr>
        <w:pStyle w:val="Heading1"/>
      </w:pPr>
      <w:r>
        <w:t>7. Configure institutional data</w:t>
      </w:r>
    </w:p>
    <w:p>
      <w:r>
        <w:t>An administrator should complete the following before an authorized real-data import:</w:t>
      </w:r>
    </w:p>
    <w:p>
      <w:pPr>
        <w:pStyle w:val="ListNumber"/>
        <w:numPr>
          <w:ilvl w:val="0"/>
          <w:numId w:val="11"/>
        </w:numPr>
      </w:pPr>
      <w:r>
        <w:t>Confirm the academic term, campus, start and end dates.</w:t>
      </w:r>
    </w:p>
    <w:p>
      <w:pPr>
        <w:pStyle w:val="ListNumber"/>
        <w:numPr>
          <w:ilvl w:val="0"/>
          <w:numId w:val="11"/>
        </w:numPr>
      </w:pPr>
      <w:r>
        <w:t>Confirm colleges, departments, programs, and curriculum versions.</w:t>
      </w:r>
    </w:p>
    <w:p>
      <w:pPr>
        <w:pStyle w:val="ListNumber"/>
        <w:numPr>
          <w:ilvl w:val="0"/>
          <w:numId w:val="11"/>
        </w:numPr>
      </w:pPr>
      <w:r>
        <w:t xml:space="preserve">Confirm subject catalog records and program-specific </w:t>
      </w:r>
      <w:r>
        <w:rPr>
          <w:rFonts w:ascii="Consolas" w:hAnsi="Consolas"/>
          <w:color w:val="125C40"/>
          <w:sz w:val="18"/>
        </w:rPr>
        <w:t>MAJOR</w:t>
      </w:r>
      <w:r>
        <w:t xml:space="preserve">, </w:t>
      </w:r>
      <w:r>
        <w:rPr>
          <w:rFonts w:ascii="Consolas" w:hAnsi="Consolas"/>
          <w:color w:val="125C40"/>
          <w:sz w:val="18"/>
        </w:rPr>
        <w:t>MINOR</w:t>
      </w:r>
      <w:r>
        <w:t xml:space="preserve">, or </w:t>
      </w:r>
      <w:r>
        <w:rPr>
          <w:rFonts w:ascii="Consolas" w:hAnsi="Consolas"/>
          <w:color w:val="125C40"/>
          <w:sz w:val="18"/>
        </w:rPr>
        <w:t>GE</w:t>
      </w:r>
      <w:r>
        <w:t xml:space="preserve"> classifications.</w:t>
      </w:r>
    </w:p>
    <w:p>
      <w:pPr>
        <w:pStyle w:val="ListNumber"/>
        <w:numPr>
          <w:ilvl w:val="0"/>
          <w:numId w:val="11"/>
        </w:numPr>
      </w:pPr>
      <w:r>
        <w:t>Confirm fixed offering-to-section and offering-to-instructor links.</w:t>
      </w:r>
    </w:p>
    <w:p>
      <w:pPr>
        <w:pStyle w:val="ListNumber"/>
        <w:numPr>
          <w:ilvl w:val="0"/>
          <w:numId w:val="11"/>
        </w:numPr>
      </w:pPr>
      <w:r>
        <w:t>Confirm room kind, owner, laboratory profile, and capabilities.</w:t>
      </w:r>
    </w:p>
    <w:p>
      <w:pPr>
        <w:pStyle w:val="ListNumber"/>
        <w:numPr>
          <w:ilvl w:val="0"/>
          <w:numId w:val="11"/>
        </w:numPr>
      </w:pPr>
      <w:r>
        <w:t>Enter explicit room authorization by college or department and classification. Ownership alone is not authorization.</w:t>
      </w:r>
    </w:p>
    <w:p>
      <w:pPr>
        <w:pStyle w:val="ListNumber"/>
        <w:numPr>
          <w:ilvl w:val="0"/>
          <w:numId w:val="11"/>
        </w:numPr>
      </w:pPr>
      <w:r>
        <w:t>Configure active time atoms and breaks.</w:t>
      </w:r>
    </w:p>
    <w:p>
      <w:pPr>
        <w:pStyle w:val="ListNumber"/>
        <w:numPr>
          <w:ilvl w:val="0"/>
          <w:numId w:val="11"/>
        </w:numPr>
      </w:pPr>
      <w:r>
        <w:t>Complete instructor and room availability profiles. If a resource is fully available, record the named acknowledgement rather than leaving availability ambiguous.</w:t>
      </w:r>
    </w:p>
    <w:p>
      <w:pPr>
        <w:pStyle w:val="ListNumber"/>
        <w:numPr>
          <w:ilvl w:val="0"/>
          <w:numId w:val="11"/>
        </w:numPr>
      </w:pPr>
      <w:r>
        <w:t>Record optional instructor preferences separately from hard availability.</w:t>
      </w:r>
    </w:p>
    <w:p>
      <w:pPr>
        <w:pStyle w:val="ListNumber"/>
        <w:numPr>
          <w:ilvl w:val="0"/>
          <w:numId w:val="11"/>
        </w:numPr>
      </w:pPr>
      <w:r>
        <w:t>Review and approve an objective profile before building a research snapshot.</w:t>
      </w:r>
    </w:p>
    <w:p>
      <w:r>
        <w:t>The room-policy matrix and objective weights require authorized USM scheduling-personnel sign-off. Public university webpages are not substitutes for this internal approval.</w:t>
      </w:r>
    </w:p>
    <w:p>
      <w:pPr>
        <w:pStyle w:val="Heading1"/>
      </w:pPr>
      <w:r>
        <w:t>8. Import semester data</w:t>
      </w:r>
    </w:p>
    <w:p>
      <w:pPr>
        <w:pStyle w:val="Heading2"/>
      </w:pPr>
      <w:r>
        <w:t>8.1 Prepare a workbook</w:t>
      </w:r>
    </w:p>
    <w:p>
      <w:pPr>
        <w:pStyle w:val="ListNumber"/>
        <w:numPr>
          <w:ilvl w:val="0"/>
          <w:numId w:val="12"/>
        </w:numPr>
      </w:pPr>
      <w:r>
        <w:t xml:space="preserve">Open </w:t>
      </w:r>
      <w:r>
        <w:rPr>
          <w:b/>
        </w:rPr>
        <w:t>Data import</w:t>
      </w:r>
      <w:r>
        <w:t>.</w:t>
      </w:r>
    </w:p>
    <w:p>
      <w:pPr>
        <w:pStyle w:val="ListNumber"/>
        <w:numPr>
          <w:ilvl w:val="0"/>
          <w:numId w:val="12"/>
        </w:numPr>
      </w:pPr>
      <w:r>
        <w:t xml:space="preserve">Select </w:t>
      </w:r>
      <w:r>
        <w:rPr>
          <w:b/>
        </w:rPr>
        <w:t>Download blank template</w:t>
      </w:r>
      <w:r>
        <w:t>.</w:t>
      </w:r>
    </w:p>
    <w:p>
      <w:pPr>
        <w:pStyle w:val="ListNumber"/>
        <w:numPr>
          <w:ilvl w:val="0"/>
          <w:numId w:val="12"/>
        </w:numPr>
      </w:pPr>
      <w:r>
        <w:t>Populate only the documented sheets and values.</w:t>
      </w:r>
    </w:p>
    <w:p>
      <w:pPr>
        <w:pStyle w:val="ListNumber"/>
        <w:numPr>
          <w:ilvl w:val="0"/>
          <w:numId w:val="12"/>
        </w:numPr>
      </w:pPr>
      <w:r>
        <w:t>Remove direct student identifiers. Student rows are optional; the solver operates on sections.</w:t>
      </w:r>
    </w:p>
    <w:p>
      <w:pPr>
        <w:pStyle w:val="ListNumber"/>
        <w:numPr>
          <w:ilvl w:val="0"/>
          <w:numId w:val="12"/>
        </w:numPr>
      </w:pPr>
      <w:r>
        <w:t>Keep the original authorized workbook in protected storage, outside Git.</w:t>
      </w:r>
    </w:p>
    <w:p>
      <w:r>
        <w:t>To generate a blank template from PowerShell:</w:t>
      </w:r>
    </w:p>
    <w:p>
      <w:pPr>
        <w:pStyle w:val="CodeBlock"/>
        <w:shd w:fill="F4F7F4"/>
        <w:pBdr>
          <w:left w:val="single" w:sz="16" w:space="8" w:color="125C40"/>
        </w:pBdr>
      </w:pPr>
      <w:r>
        <w:rPr>
          <w:b/>
          <w:color w:val="125C40"/>
        </w:rPr>
        <w:t>POWERSHELL</w:t>
        <w:br/>
      </w:r>
      <w:r>
        <w:t>python manage.py create_import_template .\usm-semester-template.xlsx</w:t>
      </w:r>
    </w:p>
    <w:p>
      <w:pPr>
        <w:pStyle w:val="Heading2"/>
      </w:pPr>
      <w:r>
        <w:t>8.2 Preview and correct</w:t>
      </w:r>
    </w:p>
    <w:p>
      <w:pPr>
        <w:pStyle w:val="ListNumber"/>
        <w:numPr>
          <w:ilvl w:val="0"/>
          <w:numId w:val="13"/>
        </w:numPr>
      </w:pPr>
      <w:r>
        <w:t>Choose the target academic term.</w:t>
      </w:r>
    </w:p>
    <w:p>
      <w:pPr>
        <w:pStyle w:val="ListNumber"/>
        <w:numPr>
          <w:ilvl w:val="0"/>
          <w:numId w:val="13"/>
        </w:numPr>
      </w:pPr>
      <w:r>
        <w:t xml:space="preserve">Select or drag the </w:t>
      </w:r>
      <w:r>
        <w:rPr>
          <w:rFonts w:ascii="Consolas" w:hAnsi="Consolas"/>
          <w:color w:val="125C40"/>
          <w:sz w:val="18"/>
        </w:rPr>
        <w:t>.xlsx</w:t>
      </w:r>
      <w:r>
        <w:t xml:space="preserve"> workbook into </w:t>
      </w:r>
      <w:r>
        <w:rPr>
          <w:b/>
        </w:rPr>
        <w:t>Validate a completed workbook</w:t>
      </w:r>
      <w:r>
        <w:t>.</w:t>
      </w:r>
    </w:p>
    <w:p>
      <w:pPr>
        <w:pStyle w:val="ListNumber"/>
        <w:numPr>
          <w:ilvl w:val="0"/>
          <w:numId w:val="13"/>
        </w:numPr>
      </w:pPr>
      <w:r>
        <w:t xml:space="preserve">Select </w:t>
      </w:r>
      <w:r>
        <w:rPr>
          <w:b/>
        </w:rPr>
        <w:t>Check workbook</w:t>
      </w:r>
      <w:r>
        <w:t>.</w:t>
      </w:r>
    </w:p>
    <w:p>
      <w:pPr>
        <w:pStyle w:val="ListNumber"/>
        <w:numPr>
          <w:ilvl w:val="0"/>
          <w:numId w:val="13"/>
        </w:numPr>
      </w:pPr>
      <w:r>
        <w:t>Review diagnostics by sheet, row, column, error code, and message.</w:t>
      </w:r>
    </w:p>
    <w:p>
      <w:pPr>
        <w:pStyle w:val="ListNumber"/>
        <w:numPr>
          <w:ilvl w:val="0"/>
          <w:numId w:val="13"/>
        </w:numPr>
      </w:pPr>
      <w:r>
        <w:t>Correct the source workbook and upload it again. Invalid batches never partially change solver data.</w:t>
      </w:r>
    </w:p>
    <w:p>
      <w:r>
        <w:t>Typical blocking errors include missing references, duplicate codes, invalid durations, incomplete availability, incompatible laboratory definitions, unauthorized rooms, and stale or conflicting locks.</w:t>
      </w:r>
    </w:p>
    <w:p>
      <w:pPr>
        <w:pStyle w:val="Heading2"/>
      </w:pPr>
      <w:r>
        <w:t>8.3 Commit</w:t>
      </w:r>
    </w:p>
    <w:p>
      <w:r>
        <w:t xml:space="preserve">When the preview has no blocking errors, a central scheduler selects </w:t>
      </w:r>
      <w:r>
        <w:rPr>
          <w:b/>
        </w:rPr>
        <w:t>Commit clean revision</w:t>
      </w:r>
      <w:r>
        <w:t>. The resulting revision is immutable and receives a content hash. Later corrections require a new revision; historical research inputs are never silently overwritten.</w:t>
      </w:r>
    </w:p>
    <w:p>
      <w:pPr>
        <w:pStyle w:val="Heading1"/>
      </w:pPr>
      <w:r>
        <w:t>9. Clone and update a semester</w:t>
      </w:r>
    </w:p>
    <w:p>
      <w:r>
        <w:t xml:space="preserve">Use </w:t>
      </w:r>
      <w:r>
        <w:rPr>
          <w:b/>
        </w:rPr>
        <w:t>Academic terms → Clone a semester planning base</w:t>
      </w:r>
      <w:r>
        <w:t xml:space="preserve"> when preparing a later term.</w:t>
      </w:r>
    </w:p>
    <w:p>
      <w:pPr>
        <w:pStyle w:val="ListNumber"/>
        <w:numPr>
          <w:ilvl w:val="0"/>
          <w:numId w:val="14"/>
        </w:numPr>
      </w:pPr>
      <w:r>
        <w:t>Select a committed source revision.</w:t>
      </w:r>
    </w:p>
    <w:p>
      <w:pPr>
        <w:pStyle w:val="ListNumber"/>
        <w:numPr>
          <w:ilvl w:val="0"/>
          <w:numId w:val="14"/>
        </w:numPr>
      </w:pPr>
      <w:r>
        <w:t>Enter the new academic year, semester, dates, and campus.</w:t>
      </w:r>
    </w:p>
    <w:p>
      <w:pPr>
        <w:pStyle w:val="ListNumber"/>
        <w:numPr>
          <w:ilvl w:val="0"/>
          <w:numId w:val="14"/>
        </w:numPr>
      </w:pPr>
      <w:r>
        <w:t xml:space="preserve">Select </w:t>
      </w:r>
      <w:r>
        <w:rPr>
          <w:b/>
        </w:rPr>
        <w:t>Clone term inputs</w:t>
      </w:r>
      <w:r>
        <w:t>.</w:t>
      </w:r>
    </w:p>
    <w:p>
      <w:pPr>
        <w:pStyle w:val="ListNumber"/>
        <w:numPr>
          <w:ilvl w:val="0"/>
          <w:numId w:val="14"/>
        </w:numPr>
      </w:pPr>
      <w:r>
        <w:t>In administration or through an authorized import, add incoming sections, retain or update continuing sections, deactivate graduated/inactive sections, and update offerings and availability.</w:t>
      </w:r>
    </w:p>
    <w:p>
      <w:pPr>
        <w:pStyle w:val="ListNumber"/>
        <w:numPr>
          <w:ilvl w:val="0"/>
          <w:numId w:val="14"/>
        </w:numPr>
      </w:pPr>
      <w:r>
        <w:t>Review and approve the cloned term’s objective profile.</w:t>
      </w:r>
    </w:p>
    <w:p>
      <w:pPr>
        <w:pStyle w:val="ListNumber"/>
        <w:numPr>
          <w:ilvl w:val="0"/>
          <w:numId w:val="14"/>
        </w:numPr>
      </w:pPr>
      <w:r>
        <w:t xml:space="preserve">Under </w:t>
      </w:r>
      <w:r>
        <w:rPr>
          <w:b/>
        </w:rPr>
        <w:t>Validate and freeze an edited clone</w:t>
      </w:r>
      <w:r>
        <w:t>, select the draft and objective profile.</w:t>
      </w:r>
    </w:p>
    <w:p>
      <w:pPr>
        <w:pStyle w:val="ListNumber"/>
        <w:numPr>
          <w:ilvl w:val="0"/>
          <w:numId w:val="14"/>
        </w:numPr>
      </w:pPr>
      <w:r>
        <w:t xml:space="preserve">Select </w:t>
      </w:r>
      <w:r>
        <w:rPr>
          <w:b/>
        </w:rPr>
        <w:t>Validate and commit revision</w:t>
      </w:r>
      <w:r>
        <w:t>.</w:t>
      </w:r>
    </w:p>
    <w:p>
      <w:r>
        <w:t>This demonstrates functional semester adaptability. A single real term does not establish longitudinal reliability across future semesters.</w:t>
      </w:r>
    </w:p>
    <w:p>
      <w:pPr>
        <w:pStyle w:val="Heading1"/>
      </w:pPr>
      <w:r>
        <w:t>10. Run preflight and freeze a snapshot</w:t>
      </w:r>
    </w:p>
    <w:p>
      <w:r>
        <w:t xml:space="preserve">Open </w:t>
      </w:r>
      <w:r>
        <w:rPr>
          <w:b/>
        </w:rPr>
        <w:t>Generate schedule</w:t>
      </w:r>
      <w:r>
        <w:t>.</w:t>
      </w:r>
    </w:p>
    <w:p>
      <w:pPr>
        <w:pStyle w:val="ListNumber"/>
        <w:numPr>
          <w:ilvl w:val="0"/>
          <w:numId w:val="15"/>
        </w:numPr>
      </w:pPr>
      <w:r>
        <w:t xml:space="preserve">Under </w:t>
      </w:r>
      <w:r>
        <w:rPr>
          <w:b/>
        </w:rPr>
        <w:t>Step 1 · Data check — Check and freeze the scheduling data</w:t>
      </w:r>
      <w:r>
        <w:t>, select the committed term revision.</w:t>
      </w:r>
    </w:p>
    <w:p>
      <w:pPr>
        <w:pStyle w:val="ListNumber"/>
        <w:numPr>
          <w:ilvl w:val="0"/>
          <w:numId w:val="15"/>
        </w:numPr>
      </w:pPr>
      <w:r>
        <w:t>Select a term-matching approved objective profile.</w:t>
      </w:r>
    </w:p>
    <w:p>
      <w:pPr>
        <w:pStyle w:val="ListNumber"/>
        <w:numPr>
          <w:ilvl w:val="0"/>
          <w:numId w:val="15"/>
        </w:numPr>
      </w:pPr>
      <w:r>
        <w:t xml:space="preserve">Select </w:t>
      </w:r>
      <w:r>
        <w:rPr>
          <w:b/>
        </w:rPr>
        <w:t>Check data and create snapshot</w:t>
      </w:r>
      <w:r>
        <w:t>.</w:t>
      </w:r>
    </w:p>
    <w:p>
      <w:r>
        <w:t xml:space="preserve">Preflight converts each meeting into legal </w:t>
      </w:r>
      <w:r>
        <w:rPr>
          <w:rFonts w:ascii="Consolas" w:hAnsi="Consolas"/>
          <w:color w:val="125C40"/>
          <w:sz w:val="18"/>
        </w:rPr>
        <w:t>(room, start time, occupied atoms)</w:t>
      </w:r>
      <w:r>
        <w:t xml:space="preserve"> candidates. It rejects local violations before either solver runs. If a meeting has no legal candidate, correct the input or obtain an explicitly approved policy change in a new revision. Do not weaken a hard rule merely to make a run start.</w:t>
      </w:r>
    </w:p>
    <w:p>
      <w:r>
        <w:t>Record the snapshot hash when producing thesis results. CP-SAT and GA are comparable only when the snapshot and objective hashes match.</w:t>
      </w:r>
    </w:p>
    <w:p>
      <w:pPr>
        <w:pStyle w:val="Heading1"/>
      </w:pPr>
      <w:r>
        <w:t>11. Generate a test schedule</w:t>
      </w:r>
    </w:p>
    <w:p>
      <w:r>
        <w:t>For a fast demonstration, use one individual run before creating the full experiment:</w:t>
      </w:r>
    </w:p>
    <w:p>
      <w:pPr>
        <w:pStyle w:val="ListNumber"/>
        <w:numPr>
          <w:ilvl w:val="0"/>
          <w:numId w:val="16"/>
        </w:numPr>
      </w:pPr>
      <w:r>
        <w:t xml:space="preserve">Open </w:t>
      </w:r>
      <w:r>
        <w:rPr>
          <w:b/>
        </w:rPr>
        <w:t>Generate schedule → Step 2 · Generate — Generate a candidate schedule</w:t>
      </w:r>
      <w:r>
        <w:t>.</w:t>
      </w:r>
    </w:p>
    <w:p>
      <w:pPr>
        <w:pStyle w:val="ListNumber"/>
        <w:numPr>
          <w:ilvl w:val="0"/>
          <w:numId w:val="16"/>
        </w:numPr>
      </w:pPr>
      <w:r>
        <w:t>Select the snapshot created in the previous step.</w:t>
      </w:r>
    </w:p>
    <w:p>
      <w:pPr>
        <w:pStyle w:val="ListNumber"/>
        <w:numPr>
          <w:ilvl w:val="0"/>
          <w:numId w:val="16"/>
        </w:numPr>
      </w:pPr>
      <w:r>
        <w:t xml:space="preserve">Select </w:t>
      </w:r>
      <w:r>
        <w:rPr>
          <w:rFonts w:ascii="Consolas" w:hAnsi="Consolas"/>
          <w:color w:val="125C40"/>
          <w:sz w:val="18"/>
        </w:rPr>
        <w:t>CP-SAT</w:t>
      </w:r>
      <w:r>
        <w:t>.</w:t>
      </w:r>
    </w:p>
    <w:p>
      <w:pPr>
        <w:pStyle w:val="ListNumber"/>
        <w:numPr>
          <w:ilvl w:val="0"/>
          <w:numId w:val="16"/>
        </w:numPr>
      </w:pPr>
      <w:r>
        <w:t xml:space="preserve">Enter seed </w:t>
      </w:r>
      <w:r>
        <w:rPr>
          <w:rFonts w:ascii="Consolas" w:hAnsi="Consolas"/>
          <w:color w:val="125C40"/>
          <w:sz w:val="18"/>
        </w:rPr>
        <w:t>1001</w:t>
      </w:r>
      <w:r>
        <w:t xml:space="preserve"> and a 30- or 60-second limit for the small demonstration.</w:t>
      </w:r>
    </w:p>
    <w:p>
      <w:pPr>
        <w:pStyle w:val="ListNumber"/>
        <w:numPr>
          <w:ilvl w:val="0"/>
          <w:numId w:val="16"/>
        </w:numPr>
      </w:pPr>
      <w:r>
        <w:t xml:space="preserve">Select </w:t>
      </w:r>
      <w:r>
        <w:rPr>
          <w:b/>
        </w:rPr>
        <w:t>Start schedule generation</w:t>
      </w:r>
      <w:r>
        <w:t>.</w:t>
      </w:r>
    </w:p>
    <w:p>
      <w:pPr>
        <w:pStyle w:val="ListNumber"/>
        <w:numPr>
          <w:ilvl w:val="0"/>
          <w:numId w:val="16"/>
        </w:numPr>
      </w:pPr>
      <w:r>
        <w:t xml:space="preserve">Repeat with </w:t>
      </w:r>
      <w:r>
        <w:rPr>
          <w:rFonts w:ascii="Consolas" w:hAnsi="Consolas"/>
          <w:color w:val="125C40"/>
          <w:sz w:val="18"/>
        </w:rPr>
        <w:t>Genetic Algorithm</w:t>
      </w:r>
      <w:r>
        <w:t>, using the same snapshot, seed, and limit.</w:t>
      </w:r>
    </w:p>
    <w:p>
      <w:pPr>
        <w:pStyle w:val="ListNumber"/>
        <w:numPr>
          <w:ilvl w:val="0"/>
          <w:numId w:val="16"/>
        </w:numPr>
      </w:pPr>
      <w:r>
        <w:t xml:space="preserve">Open each entry in </w:t>
      </w:r>
      <w:r>
        <w:rPr>
          <w:b/>
        </w:rPr>
        <w:t>Run history</w:t>
      </w:r>
      <w:r>
        <w:t xml:space="preserve"> to view its result.</w:t>
      </w:r>
    </w:p>
    <w:p>
      <w:r>
        <w:t xml:space="preserve">Do not use a short demonstration run as thesis evidence. The controlled protocol uses 300 seconds, fixed seeds </w:t>
      </w:r>
      <w:r>
        <w:rPr>
          <w:rFonts w:ascii="Consolas" w:hAnsi="Consolas"/>
          <w:color w:val="125C40"/>
          <w:sz w:val="18"/>
        </w:rPr>
        <w:t>1001–1030</w:t>
      </w:r>
      <w:r>
        <w:t>, and one worker for every measured run.</w:t>
      </w:r>
    </w:p>
    <w:p>
      <w:pPr>
        <w:pStyle w:val="Heading2"/>
      </w:pPr>
      <w:r>
        <w:t>Status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hRule="atLeast"/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User response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Queued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Waiting for the worker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Wait; inspect worker logs if it remains queued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Running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Solver search is active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Avoid launching competing benchmark work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Feasible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Zero-hard solution found; optimality not proven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 quality and institutional correctness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Optimal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CP-SAT proved the objective optimal for this run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Still requires human review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Infeasible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CP-SAT proved the frozen model infeasible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Diagnose data, policy, and locks in a new revision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solution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 returned no feasible solution within its conditions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 not call the instance infeasible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Timeout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 budget ended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Inspect whether a validated incumbent exists; preserve the record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Infrastructure or application error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Inspect logs and correct the infrastructure cause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Authorized user stopped the job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Preserve it as a canceled record</w:t>
            </w:r>
          </w:p>
        </w:tc>
      </w:tr>
    </w:tbl>
    <w:p>
      <w:pPr>
        <w:spacing w:after="0"/>
      </w:pPr>
    </w:p>
    <w:p>
      <w:r>
        <w:t>GA must never be described as proving optimality or infeasibility.</w:t>
      </w:r>
    </w:p>
    <w:p>
      <w:pPr>
        <w:pStyle w:val="Heading1"/>
      </w:pPr>
      <w:r>
        <w:t>12. Interpret and compare results</w:t>
      </w:r>
    </w:p>
    <w:p>
      <w:r>
        <w:t xml:space="preserve">In </w:t>
      </w:r>
      <w:r>
        <w:rPr>
          <w:b/>
        </w:rPr>
        <w:t>Run details</w:t>
      </w:r>
      <w:r>
        <w:t>, interpret evidence in this order: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Hard violations:</w:t>
      </w:r>
      <w:r>
        <w:t xml:space="preserve"> must equal zero.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Status and stopping reason:</w:t>
      </w:r>
      <w:r>
        <w:t xml:space="preserve"> distinguish feasibility, proof, timeout, and failure.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Raw objective penalty:</w:t>
      </w:r>
      <w:r>
        <w:t xml:space="preserve"> lower is better among feasible schedules.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Component penalties:</w:t>
      </w:r>
      <w:r>
        <w:t xml:space="preserve"> faculty preference, section gaps, instructor gaps, and daily-load imbalance.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Normalized quality:</w:t>
      </w:r>
      <w:r>
        <w:t xml:space="preserve"> a secondary 0–100 display, never the only reported value.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Time to first feasible:</w:t>
      </w:r>
      <w:r>
        <w:t xml:space="preserve"> time until the first independently valid schedule.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Execution time:</w:t>
      </w:r>
      <w:r>
        <w:t xml:space="preserve"> total measured solver time.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Hashes and configuration:</w:t>
      </w:r>
      <w:r>
        <w:t xml:space="preserve"> evidence that inputs were comparable.</w:t>
      </w:r>
    </w:p>
    <w:p>
      <w:r>
        <w:t xml:space="preserve">Open </w:t>
      </w:r>
      <w:r>
        <w:rPr>
          <w:b/>
        </w:rPr>
        <w:t>Compare runs</w:t>
      </w:r>
      <w:r>
        <w:t xml:space="preserve"> and choose a CP-SAT and GA result from the same snapshot. The system should reject or clearly distinguish unmatched inputs.</w:t>
      </w:r>
    </w:p>
    <w:p>
      <w:r>
        <w:t xml:space="preserve">For thesis analysis, create the </w:t>
      </w:r>
      <w:r>
        <w:rPr>
          <w:b/>
        </w:rPr>
        <w:t>controlled 30-seed comparison</w:t>
      </w:r>
      <w:r>
        <w:t xml:space="preserve"> and queue it once the data, solver settings, and objective profile are frozen. Thirty seeds across two algorithms produce 60 sequential trials. At the default 300-second upper bound, the worst-case search budget can reach five hours, excluding setup and reporting. Plan the run on a stable, plugged-in machine.</w:t>
      </w:r>
    </w:p>
    <w:p>
      <w:pPr>
        <w:pStyle w:val="Heading1"/>
      </w:pPr>
      <w:r>
        <w:t>13. Review, lock, regenerate, and approve</w:t>
      </w:r>
    </w:p>
    <w:p>
      <w:r>
        <w:t>Every independently feasible run creates a candidate timetable version.</w:t>
      </w:r>
    </w:p>
    <w:p>
      <w:pPr>
        <w:pStyle w:val="Heading2"/>
      </w:pPr>
      <w:r>
        <w:t>Central scheduler</w:t>
      </w:r>
    </w:p>
    <w:p>
      <w:pPr>
        <w:pStyle w:val="ListNumber"/>
        <w:numPr>
          <w:ilvl w:val="0"/>
          <w:numId w:val="18"/>
        </w:numPr>
      </w:pPr>
      <w:r>
        <w:t xml:space="preserve">Open </w:t>
      </w:r>
      <w:r>
        <w:rPr>
          <w:b/>
        </w:rPr>
        <w:t>Timetables</w:t>
      </w:r>
      <w:r>
        <w:t xml:space="preserve"> and select a version.</w:t>
      </w:r>
    </w:p>
    <w:p>
      <w:pPr>
        <w:pStyle w:val="ListNumber"/>
        <w:numPr>
          <w:ilvl w:val="0"/>
          <w:numId w:val="18"/>
        </w:numPr>
      </w:pPr>
      <w:r>
        <w:t>Search by subject, section, instructor, room, or college.</w:t>
      </w:r>
    </w:p>
    <w:p>
      <w:pPr>
        <w:pStyle w:val="ListNumber"/>
        <w:numPr>
          <w:ilvl w:val="0"/>
          <w:numId w:val="18"/>
        </w:numPr>
      </w:pPr>
      <w:r>
        <w:t xml:space="preserve">Select </w:t>
      </w:r>
      <w:r>
        <w:rPr>
          <w:b/>
        </w:rPr>
        <w:t>Validate independently</w:t>
      </w:r>
      <w:r>
        <w:t>.</w:t>
      </w:r>
    </w:p>
    <w:p>
      <w:pPr>
        <w:pStyle w:val="ListNumber"/>
        <w:numPr>
          <w:ilvl w:val="0"/>
          <w:numId w:val="18"/>
        </w:numPr>
      </w:pPr>
      <w:r>
        <w:t>Confirm zero violations and inspect the full assignments.</w:t>
      </w:r>
    </w:p>
    <w:p>
      <w:pPr>
        <w:pStyle w:val="ListNumber"/>
        <w:numPr>
          <w:ilvl w:val="0"/>
          <w:numId w:val="18"/>
        </w:numPr>
      </w:pPr>
      <w:r>
        <w:t xml:space="preserve">Select </w:t>
      </w:r>
      <w:r>
        <w:rPr>
          <w:b/>
        </w:rPr>
        <w:t>Submit for review</w:t>
      </w:r>
      <w:r>
        <w:t>.</w:t>
      </w:r>
    </w:p>
    <w:p>
      <w:pPr>
        <w:pStyle w:val="ListNumber"/>
        <w:numPr>
          <w:ilvl w:val="0"/>
          <w:numId w:val="18"/>
        </w:numPr>
      </w:pPr>
      <w:r>
        <w:t xml:space="preserve">If reviewers accept particular meetings, select their </w:t>
      </w:r>
      <w:r>
        <w:rPr>
          <w:b/>
        </w:rPr>
        <w:t>Carry forward</w:t>
      </w:r>
      <w:r>
        <w:t xml:space="preserve"> checkboxes and choose </w:t>
      </w:r>
      <w:r>
        <w:rPr>
          <w:b/>
        </w:rPr>
        <w:t>Lock selected assignments</w:t>
      </w:r>
      <w:r>
        <w:t>.</w:t>
      </w:r>
    </w:p>
    <w:p>
      <w:pPr>
        <w:pStyle w:val="ListNumber"/>
        <w:numPr>
          <w:ilvl w:val="0"/>
          <w:numId w:val="18"/>
        </w:numPr>
      </w:pPr>
      <w:r>
        <w:t xml:space="preserve">Select </w:t>
      </w:r>
      <w:r>
        <w:rPr>
          <w:b/>
        </w:rPr>
        <w:t>Regenerate child</w:t>
      </w:r>
      <w:r>
        <w:t xml:space="preserve"> when changes are required. Locks become hard inputs to both solvers.</w:t>
      </w:r>
    </w:p>
    <w:p>
      <w:pPr>
        <w:pStyle w:val="ListNumber"/>
        <w:numPr>
          <w:ilvl w:val="0"/>
          <w:numId w:val="18"/>
        </w:numPr>
      </w:pPr>
      <w:r>
        <w:t xml:space="preserve">After required endorsements and final verification, select </w:t>
      </w:r>
      <w:r>
        <w:rPr>
          <w:b/>
        </w:rPr>
        <w:t>Approve schedule</w:t>
      </w:r>
      <w:r>
        <w:t>.</w:t>
      </w:r>
    </w:p>
    <w:p>
      <w:pPr>
        <w:pStyle w:val="Heading2"/>
      </w:pPr>
      <w:r>
        <w:t>College reviewer</w:t>
      </w:r>
    </w:p>
    <w:p>
      <w:pPr>
        <w:pStyle w:val="ListNumber"/>
        <w:numPr>
          <w:ilvl w:val="0"/>
          <w:numId w:val="19"/>
        </w:numPr>
      </w:pPr>
      <w:r>
        <w:t xml:space="preserve">Open </w:t>
      </w:r>
      <w:r>
        <w:rPr>
          <w:b/>
        </w:rPr>
        <w:t>Reviews</w:t>
      </w:r>
      <w:r>
        <w:t>.</w:t>
      </w:r>
    </w:p>
    <w:p>
      <w:pPr>
        <w:pStyle w:val="ListNumber"/>
        <w:numPr>
          <w:ilvl w:val="0"/>
          <w:numId w:val="19"/>
        </w:numPr>
      </w:pPr>
      <w:r>
        <w:t>Open the relevant timetable and inspect the complete schedule.</w:t>
      </w:r>
    </w:p>
    <w:p>
      <w:pPr>
        <w:pStyle w:val="ListNumber"/>
        <w:numPr>
          <w:ilvl w:val="0"/>
          <w:numId w:val="19"/>
        </w:numPr>
      </w:pPr>
      <w:r>
        <w:t xml:space="preserve">For a college within your assigned scope, choose </w:t>
      </w:r>
      <w:r>
        <w:rPr>
          <w:b/>
        </w:rPr>
        <w:t>Endorse</w:t>
      </w:r>
      <w:r>
        <w:t xml:space="preserve"> or </w:t>
      </w:r>
      <w:r>
        <w:rPr>
          <w:b/>
        </w:rPr>
        <w:t>Request changes</w:t>
      </w:r>
      <w:r>
        <w:t>.</w:t>
      </w:r>
    </w:p>
    <w:p>
      <w:pPr>
        <w:pStyle w:val="ListNumber"/>
        <w:numPr>
          <w:ilvl w:val="0"/>
          <w:numId w:val="19"/>
        </w:numPr>
      </w:pPr>
      <w:r>
        <w:t>Enter a specific required comment and save the decision.</w:t>
      </w:r>
    </w:p>
    <w:p>
      <w:r>
        <w:t>The most recent decision for a college is authoritative. Reviewers cannot endorse another college’s scope, and a central scheduler cannot impersonate a college endorsement.</w:t>
      </w:r>
    </w:p>
    <w:p>
      <w:pPr>
        <w:pStyle w:val="Heading2"/>
      </w:pPr>
      <w:r>
        <w:t>Approval and export</w:t>
      </w:r>
    </w:p>
    <w:p>
      <w:r>
        <w:t>Only a central scheduler or system administrator can approve. Approval requires an independently feasible schedule and the required review state. Approved versions are immutable; further work creates a child version. CSV and XLSX export becomes available only for approved schedules.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hRule="atLeast"/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3A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Safe action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term is available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active term or committed revision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Seed the demo or configure/import an authorized term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Preflight button is disabled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 committed revision or approved objective profile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both prerequisites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Workbook cannot commit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Blocking import errors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Correct and re-upload; do not edit the database around validation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legal candidate for a meeting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Availability, duration, capability, authorization, campus, or lock conflict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Inspect the diagnostic and correct the source policy/data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Run stays queued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Celery worker or Redis is unavailable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Check docker compose ps and worker logs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Run times out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 budget was exhausted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Preserve the result; use the approved benchmark limit rather than ad hoc retries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GA found no schedule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Heuristic search did not find feasibility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 not claim proof of infeasibility; compare with CP-SAT diagnostics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Approval is unavailable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Schedule is invalid, in the wrong state, or lacks required review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Validate and complete the review workflow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Export is unavailable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Version is not approved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approval; draft exports are intentionally restricted</w:t>
            </w:r>
          </w:p>
        </w:tc>
      </w:tr>
      <w:tr>
        <w:trPr>
          <w:trHeight w:hRule="atLeast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Health endpoint returns 503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Database is unavailable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Restore database connectivity before accepting work</w:t>
            </w:r>
          </w:p>
        </w:tc>
      </w:tr>
    </w:tbl>
    <w:p>
      <w:pPr>
        <w:spacing w:after="0"/>
      </w:pPr>
    </w:p>
    <w:p>
      <w:pPr>
        <w:pStyle w:val="Heading1"/>
      </w:pPr>
      <w:r>
        <w:t>15. Data protection and responsible use</w:t>
      </w:r>
    </w:p>
    <w:p>
      <w:pPr>
        <w:pStyle w:val="ListBullet"/>
      </w:pPr>
      <w:r>
        <w:t>Obtain written authority before importing real semester data.</w:t>
      </w:r>
    </w:p>
    <w:p>
      <w:pPr>
        <w:pStyle w:val="ListBullet"/>
      </w:pPr>
      <w:r>
        <w:t>Follow the University Data Protection Office’s applicable requirements and retention decisions.</w:t>
      </w:r>
    </w:p>
    <w:p>
      <w:pPr>
        <w:pStyle w:val="ListBullet"/>
      </w:pPr>
      <w:r>
        <w:t>Prefer aggregate section records. Do not place names, student numbers, passwords, or raw workbooks in source control.</w:t>
      </w:r>
    </w:p>
    <w:p>
      <w:pPr>
        <w:pStyle w:val="ListBullet"/>
      </w:pPr>
      <w:r>
        <w:t>De-identify instructor identifiers in shared thesis extracts.</w:t>
      </w:r>
    </w:p>
    <w:p>
      <w:pPr>
        <w:pStyle w:val="ListBullet"/>
      </w:pPr>
      <w:r>
        <w:t>Keep raw uploads, database dumps, backups, secrets, and experiment outputs in approved protected storage.</w:t>
      </w:r>
    </w:p>
    <w:p>
      <w:pPr>
        <w:pStyle w:val="ListBullet"/>
      </w:pPr>
      <w:r>
        <w:t>Treat SHA-256 hashes as integrity identifiers, not anonymization.</w:t>
      </w:r>
    </w:p>
    <w:p>
      <w:pPr>
        <w:pStyle w:val="ListBullet"/>
      </w:pPr>
      <w:r>
        <w:t>Record every assumption, policy exception, objective profile, software build, and dataset revision used for research claims.</w:t>
      </w:r>
    </w:p>
    <w:p>
      <w:pPr>
        <w:pStyle w:val="ListBullet"/>
      </w:pPr>
      <w:r>
        <w:t xml:space="preserve">Use an official high-resolution seal and institutional branding only after confirming authorization. USM publishes an </w:t>
      </w:r>
      <w:hyperlink r:id="rId14">
        <w:r>
          <w:rPr>
            <w:color w:val="125C40"/>
            <w:u w:val="single"/>
          </w:rPr>
          <w:t>official seal description</w:t>
        </w:r>
      </w:hyperlink>
      <w:r>
        <w:t>, but publication on the website does not by itself grant project-use permission. The thesis interface must remain identifiable as a research prototype until formally adopted.</w:t>
      </w:r>
    </w:p>
    <w:p>
      <w:r>
        <w:t xml:space="preserve">USM’s official privacy context is available from the </w:t>
      </w:r>
      <w:hyperlink r:id="rId15">
        <w:r>
          <w:rPr>
            <w:color w:val="125C40"/>
            <w:u w:val="single"/>
          </w:rPr>
          <w:t>University Data Protection Office</w:t>
        </w:r>
      </w:hyperlink>
      <w:r>
        <w:t xml:space="preserve"> and the </w:t>
      </w:r>
      <w:hyperlink r:id="rId16">
        <w:r>
          <w:rPr>
            <w:color w:val="125C40"/>
            <w:u w:val="single"/>
          </w:rPr>
          <w:t>student privacy notice</w:t>
        </w:r>
      </w:hyperlink>
      <w:r>
        <w:t>.</w:t>
      </w:r>
    </w:p>
    <w:p>
      <w:pPr>
        <w:pStyle w:val="Heading1"/>
      </w:pPr>
      <w:r>
        <w:t>16. Before publishing a timetable</w:t>
      </w:r>
    </w:p>
    <w:p>
      <w:r>
        <w:t>Confirm all of the following:</w:t>
      </w:r>
    </w:p>
    <w:p>
      <w:pPr>
        <w:pStyle w:val="ListBullet"/>
      </w:pPr>
      <w:r>
        <w:t>the term revision and objective profile were formally approved;</w:t>
      </w:r>
    </w:p>
    <w:p>
      <w:pPr>
        <w:pStyle w:val="ListBullet"/>
      </w:pPr>
      <w:r>
        <w:t>every required meeting is present exactly once;</w:t>
      </w:r>
    </w:p>
    <w:p>
      <w:pPr>
        <w:pStyle w:val="ListBullet"/>
      </w:pPr>
      <w:r>
        <w:t>independent hard violations equal zero;</w:t>
      </w:r>
    </w:p>
    <w:p>
      <w:pPr>
        <w:pStyle w:val="ListBullet"/>
      </w:pPr>
      <w:r>
        <w:t>laboratory capabilities and room authorization were reviewed;</w:t>
      </w:r>
    </w:p>
    <w:p>
      <w:pPr>
        <w:pStyle w:val="ListBullet"/>
      </w:pPr>
      <w:r>
        <w:t>instructor and room availability assumptions were acknowledged;</w:t>
      </w:r>
    </w:p>
    <w:p>
      <w:pPr>
        <w:pStyle w:val="ListBullet"/>
      </w:pPr>
      <w:r>
        <w:t>college reviews were recorded by authorized reviewers;</w:t>
      </w:r>
    </w:p>
    <w:p>
      <w:pPr>
        <w:pStyle w:val="ListBullet"/>
      </w:pPr>
      <w:r>
        <w:t>locks and regeneration lineage are understood;</w:t>
      </w:r>
    </w:p>
    <w:p>
      <w:pPr>
        <w:pStyle w:val="ListBullet"/>
      </w:pPr>
      <w:r>
        <w:t>the central approver reviewed the final version;</w:t>
      </w:r>
    </w:p>
    <w:p>
      <w:pPr>
        <w:pStyle w:val="ListBullet"/>
      </w:pPr>
      <w:r>
        <w:t>only the approved version is exported; and</w:t>
      </w:r>
    </w:p>
    <w:p>
      <w:pPr>
        <w:pStyle w:val="ListBullet"/>
      </w:pPr>
      <w:r>
        <w:t>no protected data appear in research/public artifacts.</w:t>
      </w:r>
    </w:p>
    <w:p>
      <w:pPr>
        <w:pStyle w:val="Heading1"/>
      </w:pPr>
      <w:r>
        <w:t>17. Further documentation</w:t>
      </w:r>
    </w:p>
    <w:p>
      <w:pPr>
        <w:pStyle w:val="ListBullet"/>
      </w:pPr>
      <w:r>
        <w:t>[Complete system plan](system-plan.md)</w:t>
      </w:r>
    </w:p>
    <w:p>
      <w:pPr>
        <w:pStyle w:val="ListBullet"/>
      </w:pPr>
      <w:r>
        <w:t>[System architecture](architecture.md)</w:t>
      </w:r>
    </w:p>
    <w:p>
      <w:pPr>
        <w:pStyle w:val="ListBullet"/>
      </w:pPr>
      <w:r>
        <w:t>[Data dictionary](data-dictionary.md)</w:t>
      </w:r>
    </w:p>
    <w:p>
      <w:pPr>
        <w:pStyle w:val="ListBullet"/>
      </w:pPr>
      <w:r>
        <w:t>[Controlled experiment protocol](experiment-protocol.md)</w:t>
      </w:r>
    </w:p>
    <w:p>
      <w:pPr>
        <w:pStyle w:val="ListBullet"/>
      </w:pPr>
      <w:r>
        <w:t>[Development and acceptance roadmap](development-roadmap.md)</w:t>
      </w:r>
    </w:p>
    <w:p>
      <w:pPr>
        <w:pStyle w:val="ListBullet"/>
      </w:pPr>
      <w:r>
        <w:t>[Thesis defense notes](thesis-defense.md)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35B"/>
        <w:sz w:val="15"/>
      </w:rPr>
      <w:t xml:space="preserve">Not an official USM scheduling system  ·  </w:t>
    </w:r>
    <w:r>
      <w:rPr>
        <w:rFonts w:ascii="Arial" w:hAnsi="Arial"/>
        <w:color w:val="53635B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125C40"/>
        <w:sz w:val="15"/>
      </w:rPr>
      <w:t>USM SCHEDULING DECISION SUPPORT · BSCS THESIS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1622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73A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5C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25C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/>
      <w:ind w:left="283" w:right="170"/>
    </w:pPr>
    <w:rPr>
      <w:rFonts w:ascii="Consolas" w:hAnsi="Consolas"/>
      <w:color w:val="16221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://127.0.0.1:8000/accounts/login/" TargetMode="External"/><Relationship Id="rId13" Type="http://schemas.openxmlformats.org/officeDocument/2006/relationships/hyperlink" Target="http://127.0.0.1:8000/healthz/" TargetMode="External"/><Relationship Id="rId14" Type="http://schemas.openxmlformats.org/officeDocument/2006/relationships/hyperlink" Target="https://www.usm.edu.ph/about-usm/usm-seal/" TargetMode="External"/><Relationship Id="rId15" Type="http://schemas.openxmlformats.org/officeDocument/2006/relationships/hyperlink" Target="https://www.usm.edu.ph/administration/university-data-protection-office/" TargetMode="External"/><Relationship Id="rId16" Type="http://schemas.openxmlformats.org/officeDocument/2006/relationships/hyperlink" Target="https://www.usm.edu.ph/privacy-notice-for-students-alumni-and-prospective-stud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USM Scheduler User Guide</dc:title>
  <dc:subject>User Guide</dc:subject>
  <dc:creator>Ruby Jean B. Solomon; Edgardo Gabriel L. Paclibar</dc:creator>
  <cp:keywords>USM, university timetabling, CP-SAT, genetic algorithm, thesis prototype</cp:keywords>
  <dc:description>BSCS thesis prototype; not an official USM scheduling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