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00"/>
        <w:jc w:val="center"/>
      </w:pPr>
    </w:p>
    <w:p>
      <w:pPr>
        <w:spacing w:after="360"/>
        <w:jc w:val="center"/>
      </w:pPr>
      <w:r>
        <w:drawing>
          <wp:inline distT="0" distB="0" distL="0" distR="0">
            <wp:extent cx="2857500" cy="1057275"/>
            <wp:effectExtent t="0" r="0" b="0" l="0"/>
            <wp:docPr id="1" name="logo" descr="ARIA by Novasys" title="A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7A1E52"/>
          <w:spacing w:val="60"/>
          <w:sz w:val="21"/>
          <w:szCs w:val="21"/>
        </w:rPr>
        <w:t xml:space="preserve">DOCUMENTO COMERCIAL / INTERNO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E1525"/>
          <w:sz w:val="52"/>
          <w:szCs w:val="52"/>
        </w:rPr>
        <w:t xml:space="preserve">Costos y Estrategia de Precio</w:t>
      </w:r>
    </w:p>
    <w:p>
      <w:pPr>
        <w:spacing w:after="300"/>
        <w:jc w:val="center"/>
      </w:pPr>
      <w:r>
        <w:rPr>
          <w:rFonts w:ascii="Arial" w:cs="Arial" w:eastAsia="Arial" w:hAnsi="Arial"/>
          <w:color w:val="3F4654"/>
          <w:sz w:val="26"/>
          <w:szCs w:val="26"/>
        </w:rPr>
        <w:t xml:space="preserve">ARIA · Plataforma de Contact Center — by Novasys</w:t>
      </w:r>
    </w:p>
    <w:p>
      <w:pPr>
        <w:pBdr>
          <w:bottom w:val="single" w:color="D9892B" w:sz="18" w:space="6"/>
        </w:pBdr>
        <w:spacing w:after="260"/>
        <w:jc w:val="center"/>
      </w:pPr>
    </w:p>
    <w:p>
      <w:pPr>
        <w:spacing w:after="40"/>
        <w:jc w:val="center"/>
      </w:pPr>
      <w:r>
        <w:rPr>
          <w:rFonts w:ascii="Arial" w:cs="Arial" w:eastAsia="Arial" w:hAnsi="Arial"/>
          <w:color w:val="8A93A3"/>
          <w:sz w:val="19"/>
          <w:szCs w:val="19"/>
        </w:rPr>
        <w:t xml:space="preserve">v1.0 · Junio 2026</w:t>
      </w:r>
    </w:p>
    <w:p>
      <w:pPr>
        <w:spacing w:after="40"/>
        <w:jc w:val="center"/>
      </w:pPr>
      <w:r>
        <w:rPr>
          <w:rFonts w:ascii="Arial" w:cs="Arial" w:eastAsia="Arial" w:hAnsi="Arial"/>
          <w:color w:val="8A93A3"/>
          <w:sz w:val="19"/>
          <w:szCs w:val="19"/>
        </w:rPr>
        <w:t xml:space="preserve">Confidencial — uso interno y comercial</w:t>
      </w:r>
    </w:p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r>
        <w:t xml:space="preserve">1 · Resumen ejecutivo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Este documento resume </w:t>
      </w:r>
      <w:r>
        <w:rPr>
          <w:rFonts w:ascii="Arial" w:cs="Arial" w:eastAsia="Arial" w:hAnsi="Arial"/>
          <w:b/>
          <w:bCs/>
          <w:i w:val="false"/>
          <w:iCs w:val="false"/>
          <w:color w:val="0E1525"/>
          <w:sz w:val="21"/>
          <w:szCs w:val="21"/>
        </w:rPr>
        <w:t xml:space="preserve">cuánto cuesta operar ARIA, cuánto cobrar y por qué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. El costo de operación es bajo; el precio se fija </w:t>
      </w:r>
      <w:r>
        <w:rPr>
          <w:rFonts w:ascii="Arial" w:cs="Arial" w:eastAsia="Arial" w:hAnsi="Arial"/>
          <w:b/>
          <w:bCs/>
          <w:i w:val="false"/>
          <w:iCs w:val="false"/>
          <w:color w:val="7A1E52"/>
          <w:sz w:val="21"/>
          <w:szCs w:val="21"/>
        </w:rPr>
        <w:t xml:space="preserve">por valor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, no por costo.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E9F0" w:sz="2"/>
              <w:left w:val="single" w:color="7A1E52" w:sz="24"/>
              <w:bottom w:val="single" w:color="F5E9F0" w:sz="2"/>
              <w:right w:val="single" w:color="F5E9F0" w:sz="2"/>
            </w:tcBorders>
            <w:shd w:fill="F5E9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A1E52"/>
                <w:sz w:val="21"/>
                <w:szCs w:val="21"/>
              </w:rPr>
              <w:t xml:space="preserve">En una mirada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1525"/>
                <w:sz w:val="21"/>
                <w:szCs w:val="21"/>
              </w:rPr>
              <w:t xml:space="preserve">Operar ARIA cuesta ~$3–5 por agente/mes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F4654"/>
                <w:sz w:val="21"/>
                <w:szCs w:val="21"/>
              </w:rPr>
              <w:t xml:space="preserve"> (infra serverless). Cobramos un setup único + una suscripción por agente. Precio sugerido: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1E52"/>
                <w:sz w:val="21"/>
                <w:szCs w:val="21"/>
              </w:rPr>
              <w:t xml:space="preserve">setup $2.5k–$15k · suscripción $29–45/agente/mes · consumo AWS (BYO) a costo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F4654"/>
                <w:sz w:val="21"/>
                <w:szCs w:val="21"/>
              </w:rPr>
              <w:t xml:space="preserve">. No competimos contra una herramienta sino contra el stack apilado (~$289/agente/mes). Margen bruto recurrente: 60–85%.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2 · El modelo de costos (BYO)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Por el modelo </w:t>
      </w:r>
      <w:r>
        <w:rPr>
          <w:rFonts w:ascii="Arial" w:cs="Arial" w:eastAsia="Arial" w:hAnsi="Arial"/>
          <w:b/>
          <w:bCs/>
          <w:i w:val="false"/>
          <w:iCs w:val="false"/>
          <w:color w:val="7A1E52"/>
          <w:sz w:val="21"/>
          <w:szCs w:val="21"/>
        </w:rPr>
        <w:t xml:space="preserve">BYO (“Bring Your Own”)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, el gasto se reparte en dos bolsillos: el consumo de AWS vive en la cuenta del cliente; ARIA solo paga la orquestación, barata y sin datos sensibles.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3460"/>
        <w:gridCol w:w="1700"/>
      </w:tblGrid>
      <w:tr>
        <w:trPr>
          <w:tblHeader/>
        </w:trPr>
        <w:tc>
          <w:tcPr>
            <w:tcW w:type="dxa" w:w="19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7A1E5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7A1E5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Quién paga</w:t>
            </w:r>
          </w:p>
        </w:tc>
        <w:tc>
          <w:tcPr>
            <w:tcW w:type="dxa" w:w="34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7A1E5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incluye</w:t>
            </w:r>
          </w:p>
        </w:tc>
        <w:tc>
          <w:tcPr>
            <w:tcW w:type="dxa" w:w="17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7A1E5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Magnitud</w:t>
            </w:r>
          </w:p>
        </w:tc>
      </w:tr>
      <w:tr>
        <w:tc>
          <w:tcPr>
            <w:tcW w:type="dxa" w:w="19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Costo del cliente</w:t>
            </w:r>
          </w:p>
        </w:tc>
        <w:tc>
          <w:tcPr>
            <w:tcW w:type="dxa" w:w="23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La empresa, en su cuenta AWS</w:t>
            </w:r>
          </w:p>
        </w:tc>
        <w:tc>
          <w:tcPr>
            <w:tcW w:type="dxa" w:w="34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Connect, telefonía, WhatsApp, IA, datos, grabaciones</w:t>
            </w:r>
          </w:p>
        </w:tc>
        <w:tc>
          <w:tcPr>
            <w:tcW w:type="dxa" w:w="17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26A1F"/>
                <w:sz w:val="20"/>
                <w:szCs w:val="20"/>
              </w:rPr>
              <w:t xml:space="preserve">~$85–110/agente</w:t>
            </w:r>
          </w:p>
        </w:tc>
      </w:tr>
      <w:tr>
        <w:tc>
          <w:tcPr>
            <w:tcW w:type="dxa" w:w="19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Costo de la plataforma</w:t>
            </w:r>
          </w:p>
        </w:tc>
        <w:tc>
          <w:tcPr>
            <w:tcW w:type="dxa" w:w="23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ARIA, en su cuenta</w:t>
            </w:r>
          </w:p>
        </w:tc>
        <w:tc>
          <w:tcPr>
            <w:tcW w:type="dxa" w:w="34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Lambda, DynamoDB metadata, Cognito, hosting</w:t>
            </w:r>
          </w:p>
        </w:tc>
        <w:tc>
          <w:tcPr>
            <w:tcW w:type="dxa" w:w="17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1E52"/>
                <w:sz w:val="20"/>
                <w:szCs w:val="20"/>
              </w:rPr>
              <w:t xml:space="preserve">~$3–5/agente</w:t>
            </w:r>
          </w:p>
        </w:tc>
      </w:tr>
    </w:tbl>
    <w:p>
      <w:pPr>
        <w:spacing w:after="120"/>
      </w:pPr>
    </w:p>
    <w:p>
      <w:pPr>
        <w:spacing w:after="80" w:before="80"/>
        <w:jc w:val="center"/>
      </w:pPr>
      <w:r>
        <w:drawing>
          <wp:inline distT="0" distB="0" distL="0" distR="0">
            <wp:extent cx="4095750" cy="2686050"/>
            <wp:effectExtent t="0" r="0" b="0" l="0"/>
            <wp:docPr id="1" name="BYO: dónde está el gasto" descr="BYO: dónde está el gasto" title="BYO: dónde está el gas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A93A3"/>
          <w:sz w:val="17"/>
          <w:szCs w:val="17"/>
        </w:rPr>
        <w:t xml:space="preserve">El costo de operar la plataforma es mínimo frente al consumo (que el cliente pagaría con cualquier proveedor).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E9F0" w:sz="2"/>
              <w:left w:val="single" w:color="7A1E52" w:sz="24"/>
              <w:bottom w:val="single" w:color="F5E9F0" w:sz="2"/>
              <w:right w:val="single" w:color="F5E9F0" w:sz="2"/>
            </w:tcBorders>
            <w:shd w:fill="F5E9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F4654"/>
                <w:sz w:val="21"/>
                <w:szCs w:val="21"/>
              </w:rPr>
              <w:t xml:space="preserve">El uso facturable y el dato viven en la cuenta del cliente. Eso hace el modelo escalable, rentable y vendible: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1E52"/>
                <w:sz w:val="21"/>
                <w:szCs w:val="21"/>
              </w:rPr>
              <w:t xml:space="preserve">“tu data nunca sale de tu nube”.</w:t>
            </w:r>
          </w:p>
        </w:tc>
      </w:tr>
    </w:tbl>
    <w:p>
      <w:pPr>
        <w:pStyle w:val="Heading1"/>
      </w:pPr>
      <w:r>
        <w:t xml:space="preserve">3 · Cómo cobramos: Setup + Suscripción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Cobrar un setup es correcto (financia la implementación, da caja, des-riesga). Pero el setup </w:t>
      </w:r>
      <w:r>
        <w:rPr>
          <w:rFonts w:ascii="Arial" w:cs="Arial" w:eastAsia="Arial" w:hAnsi="Arial"/>
          <w:b/>
          <w:bCs/>
          <w:i w:val="false"/>
          <w:iCs w:val="false"/>
          <w:color w:val="0E1525"/>
          <w:sz w:val="21"/>
          <w:szCs w:val="21"/>
        </w:rPr>
        <w:t xml:space="preserve">no reemplaza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 la suscripción: ahí es donde el negocio compone valor.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E9F0" w:sz="2"/>
              <w:left w:val="single" w:color="7A1E52" w:sz="24"/>
              <w:bottom w:val="single" w:color="F5E9F0" w:sz="2"/>
              <w:right w:val="single" w:color="F5E9F0" w:sz="2"/>
            </w:tcBorders>
            <w:shd w:fill="F5E9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F4654"/>
                <w:sz w:val="21"/>
                <w:szCs w:val="21"/>
              </w:rPr>
              <w:t xml:space="preserve">Una dev-shop vale ~1× sus ingresos. Un SaaS vale 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7A1E52"/>
                <w:sz w:val="21"/>
                <w:szCs w:val="21"/>
              </w:rPr>
              <w:t xml:space="preserve">5–10× su ingreso recurrente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F4654"/>
                <w:sz w:val="21"/>
                <w:szCs w:val="21"/>
              </w:rPr>
              <w:t xml:space="preserve">. Mismo trabajo, empresa muy distinta. La diferencia es la suscripción.</w:t>
            </w:r>
          </w:p>
        </w:tc>
      </w:tr>
    </w:tbl>
    <w:p>
      <w:pPr>
        <w:pStyle w:val="Heading2"/>
      </w:pPr>
      <w:r>
        <w:t xml:space="preserve">3.1 · Setup / implementación (una vez)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360"/>
        <w:gridCol w:w="2300"/>
      </w:tblGrid>
      <w:tr>
        <w:trPr>
          <w:tblHeader/>
        </w:trPr>
        <w:tc>
          <w:tcPr>
            <w:tcW w:type="dxa" w:w="17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7A1E5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53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7A1E5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</w:t>
            </w:r>
          </w:p>
        </w:tc>
        <w:tc>
          <w:tcPr>
            <w:tcW w:type="dxa" w:w="23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7A1E5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</w:tr>
      <w:tr>
        <w:tc>
          <w:tcPr>
            <w:tcW w:type="dxa" w:w="17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Starter</w:t>
            </w:r>
          </w:p>
        </w:tc>
        <w:tc>
          <w:tcPr>
            <w:tcW w:type="dxa" w:w="53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Piloto, ≤10 agentes, 1 integración</w:t>
            </w:r>
          </w:p>
        </w:tc>
        <w:tc>
          <w:tcPr>
            <w:tcW w:type="dxa" w:w="23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F4654"/>
                <w:sz w:val="20"/>
                <w:szCs w:val="20"/>
              </w:rPr>
              <w:t xml:space="preserve">$2,500 – $4,000</w:t>
            </w:r>
          </w:p>
        </w:tc>
      </w:tr>
      <w:tr>
        <w:tc>
          <w:tcPr>
            <w:tcW w:type="dxa" w:w="17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Pro</w:t>
            </w:r>
          </w:p>
        </w:tc>
        <w:tc>
          <w:tcPr>
            <w:tcW w:type="dxa" w:w="53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10–50 agentes, 2–3 integraciones, migración, capacitación</w:t>
            </w:r>
          </w:p>
        </w:tc>
        <w:tc>
          <w:tcPr>
            <w:tcW w:type="dxa" w:w="23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F4654"/>
                <w:sz w:val="20"/>
                <w:szCs w:val="20"/>
              </w:rPr>
              <w:t xml:space="preserve">$6,000 – $12,000</w:t>
            </w:r>
          </w:p>
        </w:tc>
      </w:tr>
      <w:tr>
        <w:tc>
          <w:tcPr>
            <w:tcW w:type="dxa" w:w="17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Enterprise</w:t>
            </w:r>
          </w:p>
        </w:tc>
        <w:tc>
          <w:tcPr>
            <w:tcW w:type="dxa" w:w="53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50+, flujos a medida, SSO, multi-cuenta</w:t>
            </w:r>
          </w:p>
        </w:tc>
        <w:tc>
          <w:tcPr>
            <w:tcW w:type="dxa" w:w="23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F4654"/>
                <w:sz w:val="20"/>
                <w:szCs w:val="20"/>
              </w:rPr>
              <w:t xml:space="preserve">desde $15,000</w:t>
            </w:r>
          </w:p>
        </w:tc>
      </w:tr>
    </w:tbl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/>
          <w:iCs/>
          <w:color w:val="8A93A3"/>
          <w:sz w:val="18"/>
          <w:szCs w:val="18"/>
        </w:rPr>
        <w:t xml:space="preserve">Regla práctica: ~4–6 meses de la suscripción, o ~$250–350/agente, con piso de $2,500. Cubre la implementación de ese cliente — no el desarrollo de la plataforma (eso se amortiza vía ingreso recurrente).</w:t>
      </w:r>
    </w:p>
    <w:p>
      <w:pPr>
        <w:pStyle w:val="Heading2"/>
      </w:pPr>
      <w:r>
        <w:t xml:space="preserve">3.2 · Suscripción (recurrente) — el motor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5360"/>
      </w:tblGrid>
      <w:tr>
        <w:trPr>
          <w:tblHeader/>
        </w:trPr>
        <w:tc>
          <w:tcPr>
            <w:tcW w:type="dxa" w:w="17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7A1E5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3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7A1E5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Precio/agente/mes</w:t>
            </w:r>
          </w:p>
        </w:tc>
        <w:tc>
          <w:tcPr>
            <w:tcW w:type="dxa" w:w="53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7A1E5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Incluye</w:t>
            </w:r>
          </w:p>
        </w:tc>
      </w:tr>
      <w:tr>
        <w:tc>
          <w:tcPr>
            <w:tcW w:type="dxa" w:w="17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Starter</w:t>
            </w:r>
          </w:p>
        </w:tc>
        <w:tc>
          <w:tcPr>
            <w:tcW w:type="dxa" w:w="23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F4654"/>
                <w:sz w:val="20"/>
                <w:szCs w:val="20"/>
              </w:rPr>
              <w:t xml:space="preserve">~$45</w:t>
            </w:r>
          </w:p>
        </w:tc>
        <w:tc>
          <w:tcPr>
            <w:tcW w:type="dxa" w:w="53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Omnicanal, campañas, reportes base</w:t>
            </w:r>
          </w:p>
        </w:tc>
      </w:tr>
      <w:tr>
        <w:tc>
          <w:tcPr>
            <w:tcW w:type="dxa" w:w="17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Pro</w:t>
            </w:r>
          </w:p>
        </w:tc>
        <w:tc>
          <w:tcPr>
            <w:tcW w:type="dxa" w:w="23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F4654"/>
                <w:sz w:val="20"/>
                <w:szCs w:val="20"/>
              </w:rPr>
              <w:t xml:space="preserve">~$39</w:t>
            </w:r>
          </w:p>
        </w:tc>
        <w:tc>
          <w:tcPr>
            <w:tcW w:type="dxa" w:w="53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+ Contact Lens, copiloto IA, Customer Profiles</w:t>
            </w:r>
          </w:p>
        </w:tc>
      </w:tr>
      <w:tr>
        <w:tc>
          <w:tcPr>
            <w:tcW w:type="dxa" w:w="17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3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F4654"/>
                <w:sz w:val="20"/>
                <w:szCs w:val="20"/>
              </w:rPr>
              <w:t xml:space="preserve">~$29 (desde)</w:t>
            </w:r>
          </w:p>
        </w:tc>
        <w:tc>
          <w:tcPr>
            <w:tcW w:type="dxa" w:w="53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+ SSO/roles avanzados, SLA, multi-cuenta, soporte dedicado</w:t>
            </w:r>
          </w:p>
        </w:tc>
      </w:tr>
    </w:tbl>
    <w:p>
      <w:pPr>
        <w:spacing w:after="100"/>
      </w:pPr>
    </w:p>
    <w:p>
      <w:pPr>
        <w:spacing w:after="80" w:before="80"/>
        <w:jc w:val="center"/>
      </w:pPr>
      <w:r>
        <w:drawing>
          <wp:inline distT="0" distB="0" distL="0" distR="0">
            <wp:extent cx="3619500" cy="2419350"/>
            <wp:effectExtent t="0" r="0" b="0" l="0"/>
            <wp:docPr id="1" name="Planes de suscripción" descr="Planes de suscripción" title="Planes de suscrip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A93A3"/>
          <w:sz w:val="17"/>
          <w:szCs w:val="17"/>
        </w:rPr>
        <w:t xml:space="preserve">El precio baja con la escala (tiering SaaS estándar). Margen bruto resultante: ~63–71%.</w:t>
      </w:r>
    </w:p>
    <w:p>
      <w:pPr>
        <w:pStyle w:val="Heading2"/>
      </w:pPr>
      <w:r>
        <w:t xml:space="preserve">3.3 · Consumo y add-ons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i w:val="false"/>
          <w:iCs w:val="false"/>
          <w:color w:val="0E1525"/>
          <w:sz w:val="21"/>
          <w:szCs w:val="21"/>
        </w:rPr>
        <w:t xml:space="preserve">Consumo AWS: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BYO, a costo, sin markup (la transparencia es argumento de venta).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i w:val="false"/>
          <w:iCs w:val="false"/>
          <w:color w:val="0E1525"/>
          <w:sz w:val="21"/>
          <w:szCs w:val="21"/>
        </w:rPr>
        <w:t xml:space="preserve">Add-on “AWS gestionado”: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markup 10–15% para quien no quiere tocar su nube.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i w:val="false"/>
          <w:iCs w:val="false"/>
          <w:color w:val="0E1525"/>
          <w:sz w:val="21"/>
          <w:szCs w:val="21"/>
        </w:rPr>
        <w:t xml:space="preserve">Palancas: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mínimo de agentes, descuento por pago anual (~15–20%), soporte premium/SLA, fee de onboarding.</w:t>
      </w:r>
    </w:p>
    <w:p>
      <w:pPr>
        <w:pStyle w:val="Heading1"/>
      </w:pPr>
      <w:r>
        <w:t xml:space="preserve">4 · Por qué este precio (los tres métodos)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rPr>
          <w:tblHeader/>
        </w:trPr>
        <w:tc>
          <w:tcPr>
            <w:tcW w:type="dxa" w:w="43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7A1E5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5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7A1E5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/agente</w:t>
            </w:r>
          </w:p>
        </w:tc>
        <w:tc>
          <w:tcPr>
            <w:tcW w:type="dxa" w:w="25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7A1E5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43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Costo-plus (costo de servir ÷ margen)</w:t>
            </w:r>
          </w:p>
        </w:tc>
        <w:tc>
          <w:tcPr>
            <w:tcW w:type="dxa" w:w="25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$37 – $67</w:t>
            </w:r>
          </w:p>
        </w:tc>
        <w:tc>
          <w:tcPr>
            <w:tcW w:type="dxa" w:w="25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Piso — asegura margen</w:t>
            </w:r>
          </w:p>
        </w:tc>
      </w:tr>
      <w:tr>
        <w:tc>
          <w:tcPr>
            <w:tcW w:type="dxa" w:w="43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Por valor (lo que ya paga × % capturado)</w:t>
            </w:r>
          </w:p>
        </w:tc>
        <w:tc>
          <w:tcPr>
            <w:tcW w:type="dxa" w:w="25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1E52"/>
                <w:sz w:val="20"/>
                <w:szCs w:val="20"/>
              </w:rPr>
              <w:t xml:space="preserve">$29 – $42</w:t>
            </w:r>
          </w:p>
        </w:tc>
        <w:tc>
          <w:tcPr>
            <w:tcW w:type="dxa" w:w="25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1E52"/>
                <w:sz w:val="20"/>
                <w:szCs w:val="20"/>
              </w:rPr>
              <w:t xml:space="preserve">El método correcto</w:t>
            </w:r>
          </w:p>
        </w:tc>
      </w:tr>
      <w:tr>
        <w:tc>
          <w:tcPr>
            <w:tcW w:type="dxa" w:w="43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Competidores (anclas de mercado)</w:t>
            </w:r>
          </w:p>
        </w:tc>
        <w:tc>
          <w:tcPr>
            <w:tcW w:type="dxa" w:w="25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$80 – $200</w:t>
            </w:r>
          </w:p>
        </w:tc>
        <w:tc>
          <w:tcPr>
            <w:tcW w:type="dxa" w:w="25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Techo — lo que existe hoy</w:t>
            </w:r>
          </w:p>
        </w:tc>
      </w:tr>
    </w:tbl>
    <w:p>
      <w:pPr>
        <w:spacing w:after="100"/>
      </w:pPr>
    </w:p>
    <w:p>
      <w:pPr>
        <w:spacing w:after="80" w:before="80"/>
        <w:jc w:val="center"/>
      </w:pPr>
      <w:r>
        <w:drawing>
          <wp:inline distT="0" distB="0" distL="0" distR="0">
            <wp:extent cx="4476750" cy="2105025"/>
            <wp:effectExtent t="0" r="0" b="0" l="0"/>
            <wp:docPr id="1" name="Tres métodos de precio" descr="Tres métodos de precio" title="Tres métodos de pre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A93A3"/>
          <w:sz w:val="17"/>
          <w:szCs w:val="17"/>
        </w:rPr>
        <w:t xml:space="preserve">ARIA captura ~⅓ del valor del stack que reemplaza y sigue siendo mucho más barato.</w:t>
      </w: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0E1525"/>
          <w:sz w:val="21"/>
          <w:szCs w:val="21"/>
        </w:rPr>
        <w:t xml:space="preserve">Anclas de competencia (licencia/usuario-mes):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Kommo $15–45 · Chattigo ~$30–60 · Salesforce $80–165 · Five9/Genesys $100–175. Stack combinado: $80–200.</w:t>
      </w:r>
    </w:p>
    <w:p>
      <w:pPr>
        <w:pStyle w:val="Heading1"/>
      </w:pPr>
      <w:r>
        <w:t xml:space="preserve">5 · Competimos contra el stack, no contra una herramienta</w:t>
      </w:r>
    </w:p>
    <w:p>
      <w:pPr>
        <w:spacing w:after="140" w:line="276"/>
      </w:pPr>
      <w:r>
        <w:rPr>
          <w:rFonts w:ascii="Arial" w:cs="Arial" w:eastAsia="Arial" w:hAnsi="Arial"/>
          <w:color w:val="3F4654"/>
          <w:sz w:val="21"/>
          <w:szCs w:val="21"/>
        </w:rPr>
        <w:t xml:space="preserve">El cliente tipo apila varias herramientas que se pisan. Así se ve el gasto hoy (ejemplo a 25 agentes):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rPr>
          <w:tblHeader/>
        </w:trPr>
        <w:tc>
          <w:tcPr>
            <w:tcW w:type="dxa" w:w="43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7A1E5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25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7A1E5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$/agente/mes</w:t>
            </w:r>
          </w:p>
        </w:tc>
        <w:tc>
          <w:tcPr>
            <w:tcW w:type="dxa" w:w="25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7A1E5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$/mes (25 ag.)</w:t>
            </w:r>
          </w:p>
        </w:tc>
      </w:tr>
      <w:tr>
        <w:tc>
          <w:tcPr>
            <w:tcW w:type="dxa" w:w="43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Salesforce (CRM)</w:t>
            </w:r>
          </w:p>
        </w:tc>
        <w:tc>
          <w:tcPr>
            <w:tcW w:type="dxa" w:w="25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~$100</w:t>
            </w:r>
          </w:p>
        </w:tc>
        <w:tc>
          <w:tcPr>
            <w:tcW w:type="dxa" w:w="25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$2,500</w:t>
            </w:r>
          </w:p>
        </w:tc>
      </w:tr>
      <w:tr>
        <w:tc>
          <w:tcPr>
            <w:tcW w:type="dxa" w:w="43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Chattigo (omnicanal)</w:t>
            </w:r>
          </w:p>
        </w:tc>
        <w:tc>
          <w:tcPr>
            <w:tcW w:type="dxa" w:w="25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~$45</w:t>
            </w:r>
          </w:p>
        </w:tc>
        <w:tc>
          <w:tcPr>
            <w:tcW w:type="dxa" w:w="25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$1,125</w:t>
            </w:r>
          </w:p>
        </w:tc>
      </w:tr>
      <w:tr>
        <w:tc>
          <w:tcPr>
            <w:tcW w:type="dxa" w:w="43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Kommo (venta WhatsApp)</w:t>
            </w:r>
          </w:p>
        </w:tc>
        <w:tc>
          <w:tcPr>
            <w:tcW w:type="dxa" w:w="25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~$18</w:t>
            </w:r>
          </w:p>
        </w:tc>
        <w:tc>
          <w:tcPr>
            <w:tcW w:type="dxa" w:w="25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$450</w:t>
            </w:r>
          </w:p>
        </w:tc>
      </w:tr>
      <w:tr>
        <w:tc>
          <w:tcPr>
            <w:tcW w:type="dxa" w:w="43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Amazon Connect + AWS (consumo)</w:t>
            </w:r>
          </w:p>
        </w:tc>
        <w:tc>
          <w:tcPr>
            <w:tcW w:type="dxa" w:w="25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~$86</w:t>
            </w:r>
          </w:p>
        </w:tc>
        <w:tc>
          <w:tcPr>
            <w:tcW w:type="dxa" w:w="25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$2,150</w:t>
            </w:r>
          </w:p>
        </w:tc>
      </w:tr>
      <w:tr>
        <w:tc>
          <w:tcPr>
            <w:tcW w:type="dxa" w:w="43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Integración / middleware / dev</w:t>
            </w:r>
          </w:p>
        </w:tc>
        <w:tc>
          <w:tcPr>
            <w:tcW w:type="dxa" w:w="25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~$40</w:t>
            </w:r>
          </w:p>
        </w:tc>
        <w:tc>
          <w:tcPr>
            <w:tcW w:type="dxa" w:w="25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$1,000</w:t>
            </w:r>
          </w:p>
        </w:tc>
      </w:tr>
      <w:tr>
        <w:tc>
          <w:tcPr>
            <w:tcW w:type="dxa" w:w="43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1525"/>
                <w:sz w:val="20"/>
                <w:szCs w:val="20"/>
              </w:rPr>
              <w:t xml:space="preserve">TOTAL hoy</w:t>
            </w:r>
          </w:p>
        </w:tc>
        <w:tc>
          <w:tcPr>
            <w:tcW w:type="dxa" w:w="25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525"/>
                <w:sz w:val="20"/>
                <w:szCs w:val="20"/>
              </w:rPr>
              <w:t xml:space="preserve">~$289</w:t>
            </w:r>
          </w:p>
        </w:tc>
        <w:tc>
          <w:tcPr>
            <w:tcW w:type="dxa" w:w="25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1525"/>
                <w:sz w:val="20"/>
                <w:szCs w:val="20"/>
              </w:rPr>
              <w:t xml:space="preserve">~$7,225</w:t>
            </w:r>
          </w:p>
        </w:tc>
      </w:tr>
    </w:tbl>
    <w:p>
      <w:pPr>
        <w:spacing w:after="100"/>
      </w:pPr>
    </w:p>
    <w:p>
      <w:pPr>
        <w:spacing w:after="80" w:before="80"/>
        <w:jc w:val="center"/>
      </w:pPr>
      <w:r>
        <w:drawing>
          <wp:inline distT="0" distB="0" distL="0" distR="0">
            <wp:extent cx="4286250" cy="2000250"/>
            <wp:effectExtent t="0" r="0" b="0" l="0"/>
            <wp:docPr id="1" name="Composición del stack" descr="Composición del stack" title="Composición del st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</w:p>
    <w:p>
      <w:pPr>
        <w:spacing w:after="140" w:line="276"/>
      </w:pPr>
      <w:r>
        <w:rPr>
          <w:rFonts w:ascii="Arial" w:cs="Arial" w:eastAsia="Arial" w:hAnsi="Arial"/>
          <w:b/>
          <w:bCs/>
          <w:i w:val="false"/>
          <w:iCs w:val="false"/>
          <w:color w:val="0E1525"/>
          <w:sz w:val="21"/>
          <w:szCs w:val="21"/>
        </w:rPr>
        <w:t xml:space="preserve">Con ARIA hay dos caminos: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i w:val="false"/>
          <w:iCs w:val="false"/>
          <w:color w:val="7A1E52"/>
          <w:sz w:val="21"/>
          <w:szCs w:val="21"/>
        </w:rPr>
        <w:t xml:space="preserve">Opción A — conservan Salesforce: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ARIA reemplaza Chattigo + Kommo + la capa de contact center → ~$225/agente, ahorro ~22% (~$19k/año).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i w:val="false"/>
          <w:iCs w:val="false"/>
          <w:color w:val="7A1E52"/>
          <w:sz w:val="21"/>
          <w:szCs w:val="21"/>
        </w:rPr>
        <w:t xml:space="preserve">Opción B — ARIA reemplaza todo: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~$125/agente, ahorro ~57% (~$49k/año).</w:t>
      </w:r>
    </w:p>
    <w:p>
      <w:pPr>
        <w:spacing w:after="80" w:before="80"/>
        <w:jc w:val="center"/>
      </w:pPr>
      <w:r>
        <w:drawing>
          <wp:inline distT="0" distB="0" distL="0" distR="0">
            <wp:extent cx="4381500" cy="2619375"/>
            <wp:effectExtent t="0" r="0" b="0" l="0"/>
            <wp:docPr id="1" name="Stack vs ARIA" descr="Stack vs ARIA" title="Stack vs A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E9F0" w:sz="2"/>
              <w:left w:val="single" w:color="7A1E52" w:sz="24"/>
              <w:bottom w:val="single" w:color="F5E9F0" w:sz="2"/>
              <w:right w:val="single" w:color="F5E9F0" w:sz="2"/>
            </w:tcBorders>
            <w:shd w:fill="F5E9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1E52"/>
                <w:sz w:val="21"/>
                <w:szCs w:val="21"/>
              </w:rPr>
              <w:t xml:space="preserve">Comparación justa: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F4654"/>
                <w:sz w:val="21"/>
                <w:szCs w:val="21"/>
              </w:rPr>
              <w:t xml:space="preserve">el software ARIA ($29–39) se compara contra la licencia del software que reemplaza ($80–200), no contra el total. La telefonía se paga con cualquiera — con ARIA, a costo.</w:t>
            </w:r>
          </w:p>
        </w:tc>
      </w:tr>
    </w:tbl>
    <w:p>
      <w:pPr>
        <w:pStyle w:val="Heading1"/>
      </w:pPr>
      <w:r>
        <w:t xml:space="preserve">6 · Caso ancla: UDEP</w:t>
      </w:r>
    </w:p>
    <w:p>
      <w:pPr>
        <w:spacing w:after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UDEP es el </w:t>
      </w:r>
      <w:r>
        <w:rPr>
          <w:rFonts w:ascii="Arial" w:cs="Arial" w:eastAsia="Arial" w:hAnsi="Arial"/>
          <w:b/>
          <w:bCs/>
          <w:i w:val="false"/>
          <w:iCs w:val="false"/>
          <w:color w:val="7A1E52"/>
          <w:sz w:val="21"/>
          <w:szCs w:val="21"/>
        </w:rPr>
        <w:t xml:space="preserve">cliente ancla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: trato especial a cambio de caso de éxito + referencia + feedback. Estimado a 25 agentes: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rPr>
          <w:tblHeader/>
        </w:trPr>
        <w:tc>
          <w:tcPr>
            <w:tcW w:type="dxa" w:w="43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7A1E5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7A1E5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Estándar</w:t>
            </w:r>
          </w:p>
        </w:tc>
        <w:tc>
          <w:tcPr>
            <w:tcW w:type="dxa" w:w="25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7A1E5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UDEP</w:t>
            </w:r>
          </w:p>
        </w:tc>
      </w:tr>
      <w:tr>
        <w:tc>
          <w:tcPr>
            <w:tcW w:type="dxa" w:w="43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Setup (una vez)</w:t>
            </w:r>
          </w:p>
        </w:tc>
        <w:tc>
          <w:tcPr>
            <w:tcW w:type="dxa" w:w="25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$8,000</w:t>
            </w:r>
          </w:p>
        </w:tc>
        <w:tc>
          <w:tcPr>
            <w:tcW w:type="dxa" w:w="25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1E52"/>
                <w:sz w:val="20"/>
                <w:szCs w:val="20"/>
              </w:rPr>
              <w:t xml:space="preserve">$4,500</w:t>
            </w:r>
          </w:p>
        </w:tc>
      </w:tr>
      <w:tr>
        <w:tc>
          <w:tcPr>
            <w:tcW w:type="dxa" w:w="43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Suscripción/agente/mes (congelada 12 m)</w:t>
            </w:r>
          </w:p>
        </w:tc>
        <w:tc>
          <w:tcPr>
            <w:tcW w:type="dxa" w:w="25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$39</w:t>
            </w:r>
          </w:p>
        </w:tc>
        <w:tc>
          <w:tcPr>
            <w:tcW w:type="dxa" w:w="25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4F5F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1E52"/>
                <w:sz w:val="20"/>
                <w:szCs w:val="20"/>
              </w:rPr>
              <w:t xml:space="preserve">$29</w:t>
            </w:r>
          </w:p>
        </w:tc>
      </w:tr>
      <w:tr>
        <w:tc>
          <w:tcPr>
            <w:tcW w:type="dxa" w:w="436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Inversión año 1</w:t>
            </w:r>
          </w:p>
        </w:tc>
        <w:tc>
          <w:tcPr>
            <w:tcW w:type="dxa" w:w="25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F4654"/>
                <w:sz w:val="20"/>
                <w:szCs w:val="20"/>
              </w:rPr>
              <w:t xml:space="preserve">$19,700</w:t>
            </w:r>
          </w:p>
        </w:tc>
        <w:tc>
          <w:tcPr>
            <w:tcW w:type="dxa" w:w="2500"/>
            <w:tcBorders>
              <w:top w:val="single" w:color="D8DBE4" w:sz="2"/>
              <w:left w:val="single" w:color="D8DBE4" w:sz="2"/>
              <w:bottom w:val="single" w:color="D8DBE4" w:sz="2"/>
              <w:right w:val="single" w:color="D8DBE4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1E52"/>
                <w:sz w:val="20"/>
                <w:szCs w:val="20"/>
              </w:rPr>
              <w:t xml:space="preserve">$13,200</w:t>
            </w:r>
          </w:p>
        </w:tc>
      </w:tr>
    </w:tbl>
    <w:p>
      <w:pPr>
        <w:spacing w:after="100"/>
      </w:pPr>
    </w:p>
    <w:p>
      <w:pPr>
        <w:spacing w:after="80" w:before="80"/>
        <w:jc w:val="center"/>
      </w:pPr>
      <w:r>
        <w:drawing>
          <wp:inline distT="0" distB="0" distL="0" distR="0">
            <wp:extent cx="3619500" cy="2181225"/>
            <wp:effectExtent t="0" r="0" b="0" l="0"/>
            <wp:docPr id="1" name="Inversión año 1 UDEP" descr="Inversión año 1 UDEP" title="Inversión año 1 UD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i w:val="false"/>
          <w:iCs w:val="false"/>
          <w:color w:val="0E1525"/>
          <w:sz w:val="21"/>
          <w:szCs w:val="21"/>
        </w:rPr>
        <w:t xml:space="preserve">3 integraciones incluidas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 (Salesforce, Amazon Connect, WhatsApp) + canales, IA, Contact Lens, Customer Profiles, campañas y soporte año 1.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i w:val="false"/>
          <w:iCs w:val="false"/>
          <w:color w:val="0E1525"/>
          <w:sz w:val="21"/>
          <w:szCs w:val="21"/>
        </w:rPr>
        <w:t xml:space="preserve">Ahorro UDEP ~$22,200/año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 conservando Salesforce; el setup se recupera en ~2 meses.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b/>
          <w:bCs/>
          <w:i w:val="false"/>
          <w:iCs w:val="false"/>
          <w:color w:val="0E1525"/>
          <w:sz w:val="21"/>
          <w:szCs w:val="21"/>
        </w:rPr>
        <w:t xml:space="preserve">Para ARIA: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4654"/>
          <w:sz w:val="21"/>
          <w:szCs w:val="21"/>
        </w:rPr>
        <w:t xml:space="preserve">aun con descuento, el recurrente deja ~60% de margen. El descuento lo financia el valor del logo, no la caja.</w:t>
      </w:r>
    </w:p>
    <w:p>
      <w:pPr>
        <w:pStyle w:val="Heading1"/>
      </w:pPr>
      <w:r>
        <w:t xml:space="preserve">7 · Objeciones frecuentes (y respuestas)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i w:val="false"/>
          <w:iCs w:val="false"/>
          <w:color w:val="7A1E52"/>
          <w:sz w:val="21"/>
          <w:szCs w:val="21"/>
        </w:rPr>
        <w:t xml:space="preserve">“¿Por qué no son baratos como Kommo ($15)?”</w:t>
      </w:r>
    </w:p>
    <w:p>
      <w:pPr>
        <w:spacing w:after="140" w:line="276"/>
      </w:pPr>
      <w:r>
        <w:rPr>
          <w:rFonts w:ascii="Arial" w:cs="Arial" w:eastAsia="Arial" w:hAnsi="Arial"/>
          <w:color w:val="3F4654"/>
          <w:sz w:val="21"/>
          <w:szCs w:val="21"/>
        </w:rPr>
        <w:t xml:space="preserve">Kommo es un CRM de venta social, no un contact center. ARIA trae voz real, IA, analítica y omnicanal. Distinto producto, distinta liga.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i w:val="false"/>
          <w:iCs w:val="false"/>
          <w:color w:val="7A1E52"/>
          <w:sz w:val="21"/>
          <w:szCs w:val="21"/>
        </w:rPr>
        <w:t xml:space="preserve">“Queremos quedarnos con Salesforce.”</w:t>
      </w:r>
    </w:p>
    <w:p>
      <w:pPr>
        <w:spacing w:after="140" w:line="276"/>
      </w:pPr>
      <w:r>
        <w:rPr>
          <w:rFonts w:ascii="Arial" w:cs="Arial" w:eastAsia="Arial" w:hAnsi="Arial"/>
          <w:color w:val="3F4654"/>
          <w:sz w:val="21"/>
          <w:szCs w:val="21"/>
        </w:rPr>
        <w:t xml:space="preserve">Perfecto: ARIA se integra con Salesforce y reemplaza el resto. Igual ahorran ~$22k/año (Opción A).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i w:val="false"/>
          <w:iCs w:val="false"/>
          <w:color w:val="7A1E52"/>
          <w:sz w:val="21"/>
          <w:szCs w:val="21"/>
        </w:rPr>
        <w:t xml:space="preserve">“El consumo de AWS suena caro.”</w:t>
      </w:r>
    </w:p>
    <w:p>
      <w:pPr>
        <w:spacing w:after="140" w:line="276"/>
      </w:pPr>
      <w:r>
        <w:rPr>
          <w:rFonts w:ascii="Arial" w:cs="Arial" w:eastAsia="Arial" w:hAnsi="Arial"/>
          <w:color w:val="3F4654"/>
          <w:sz w:val="21"/>
          <w:szCs w:val="21"/>
        </w:rPr>
        <w:t xml:space="preserve">Es el mismo que pagarían con cualquier plataforma — con ARIA lo pagan a costo, sin el markup que esconden los demás.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i w:val="false"/>
          <w:iCs w:val="false"/>
          <w:color w:val="7A1E52"/>
          <w:sz w:val="21"/>
          <w:szCs w:val="21"/>
        </w:rPr>
        <w:t xml:space="preserve">“No queremos administrar AWS.”</w:t>
      </w:r>
    </w:p>
    <w:p>
      <w:pPr>
        <w:spacing w:after="140" w:line="276"/>
      </w:pPr>
      <w:r>
        <w:rPr>
          <w:rFonts w:ascii="Arial" w:cs="Arial" w:eastAsia="Arial" w:hAnsi="Arial"/>
          <w:color w:val="3F4654"/>
          <w:sz w:val="21"/>
          <w:szCs w:val="21"/>
        </w:rPr>
        <w:t xml:space="preserve">Add-on “AWS gestionado” (markup 10–15%): ARIA opera la nube por ellos.</w:t>
      </w:r>
    </w:p>
    <w:p>
      <w:pPr>
        <w:spacing w:after="40" w:line="276"/>
      </w:pPr>
      <w:r>
        <w:rPr>
          <w:rFonts w:ascii="Arial" w:cs="Arial" w:eastAsia="Arial" w:hAnsi="Arial"/>
          <w:b/>
          <w:bCs/>
          <w:i w:val="false"/>
          <w:iCs w:val="false"/>
          <w:color w:val="7A1E52"/>
          <w:sz w:val="21"/>
          <w:szCs w:val="21"/>
        </w:rPr>
        <w:t xml:space="preserve">“No los conocemos / riesgo.”</w:t>
      </w:r>
    </w:p>
    <w:p>
      <w:pPr>
        <w:spacing w:after="140" w:line="276"/>
      </w:pPr>
      <w:r>
        <w:rPr>
          <w:rFonts w:ascii="Arial" w:cs="Arial" w:eastAsia="Arial" w:hAnsi="Arial"/>
          <w:color w:val="3F4654"/>
          <w:sz w:val="21"/>
          <w:szCs w:val="21"/>
        </w:rPr>
        <w:t xml:space="preserve">BYO: su data nunca sale de su cuenta y el acceso es revocable. Sin lock-in. Arrancamos con un piloto.</w:t>
      </w:r>
    </w:p>
    <w:p>
      <w:pPr>
        <w:pStyle w:val="Heading1"/>
      </w:pPr>
      <w:r>
        <w:t xml:space="preserve">8 · Supuestos y notas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3F4654"/>
          <w:sz w:val="21"/>
          <w:szCs w:val="21"/>
        </w:rPr>
        <w:t xml:space="preserve">Precios us-east-1, jun-2026. Connect omnicanal = AWS Price List API (real). Customer Profiles, Contact Lens chat y Amazon Q = estimados (verificar para la región del cliente).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3F4654"/>
          <w:sz w:val="21"/>
          <w:szCs w:val="21"/>
        </w:rPr>
        <w:t xml:space="preserve">Chattigo es cotizado (precio no público); Salesforce varía por plan/descuento educativo.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3F4654"/>
          <w:sz w:val="21"/>
          <w:szCs w:val="21"/>
        </w:rPr>
        <w:t xml:space="preserve">El opex por agente (soporte, dev, ventas) es estimación editable — ajustar a la estructura real de Novasys.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color w:val="3F4654"/>
          <w:sz w:val="21"/>
          <w:szCs w:val="21"/>
        </w:rPr>
        <w:t xml:space="preserve">El detalle con fórmulas vivas está en la calculadora aira-costos.xlsx (hojas Resumen y PrecioAIRA).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BE4" w:sz="4" w:space="6"/>
      </w:pBdr>
      <w:tabs>
        <w:tab w:val="right" w:pos="9360"/>
      </w:tabs>
    </w:pPr>
    <w:r>
      <w:rPr>
        <w:rFonts w:ascii="Arial" w:cs="Arial" w:eastAsia="Arial" w:hAnsi="Arial"/>
        <w:color w:val="8A93A3"/>
        <w:sz w:val="16"/>
        <w:szCs w:val="16"/>
      </w:rPr>
      <w:t xml:space="preserve">Confidencial · ARIA by Novasys</w:t>
    </w:r>
    <w:r>
      <w:rPr>
        <w:rFonts w:ascii="Arial" w:cs="Arial" w:eastAsia="Arial" w:hAnsi="Arial"/>
        <w:color w:val="8A93A3"/>
        <w:sz w:val="16"/>
        <w:szCs w:val="16"/>
      </w:rPr>
      <w:t xml:space="preserve">	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BE4" w:sz="4" w:space="6"/>
      </w:pBdr>
      <w:tabs>
        <w:tab w:val="right" w:pos="9360"/>
      </w:tabs>
    </w:pPr>
    <w:r>
      <w:rPr>
        <w:rFonts w:ascii="Arial" w:cs="Arial" w:eastAsia="Arial" w:hAnsi="Arial"/>
        <w:b/>
        <w:bCs/>
        <w:color w:val="7A1E52"/>
        <w:sz w:val="17"/>
        <w:szCs w:val="17"/>
      </w:rPr>
      <w:t xml:space="preserve">ARIA</w:t>
    </w:r>
    <w:r>
      <w:rPr>
        <w:rFonts w:ascii="Arial" w:cs="Arial" w:eastAsia="Arial" w:hAnsi="Arial"/>
        <w:color w:val="8A93A3"/>
        <w:sz w:val="17"/>
        <w:szCs w:val="17"/>
      </w:rPr>
      <w:t xml:space="preserve">  ·  by Novasys</w:t>
    </w:r>
    <w:r>
      <w:rPr>
        <w:rFonts w:ascii="Arial" w:cs="Arial" w:eastAsia="Arial" w:hAnsi="Arial"/>
        <w:color w:val="8A93A3"/>
        <w:sz w:val="17"/>
        <w:szCs w:val="17"/>
      </w:rPr>
      <w:t xml:space="preserve">	Costos y Precio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7A1E5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7A1E5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F465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0E1525"/>
      <w:sz w:val="52"/>
      <w:szCs w:val="52"/>
    </w:rPr>
  </w:style>
  <w:style w:type="paragraph" w:styleId="Heading1">
    <w:name w:val="Heading 1"/>
    <w:basedOn w:val="Normal"/>
    <w:next w:val="Normal"/>
    <w:qFormat/>
    <w:pPr>
      <w:pBdr>
        <w:bottom w:val="single" w:color="D8DBE4" w:sz="6" w:space="6"/>
      </w:pBdr>
      <w:spacing w:after="140" w:before="300"/>
      <w:outlineLvl w:val="0"/>
    </w:pPr>
    <w:rPr>
      <w:rFonts w:ascii="Arial" w:cs="Arial" w:eastAsia="Arial" w:hAnsi="Arial"/>
      <w:b/>
      <w:bCs/>
      <w:color w:val="7A1E5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E152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9A3A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648709a38fb8f8ed1dcc33bb94b2cd41696a919.png"/><Relationship Id="rId10" Type="http://schemas.openxmlformats.org/officeDocument/2006/relationships/image" Target="media/763a910c2f2d1bbf6a6863bf49145b8dd5416387.png"/><Relationship Id="rId11" Type="http://schemas.openxmlformats.org/officeDocument/2006/relationships/image" Target="media/49b708602dab5eeaca6a8819782eb02f55722886.png"/><Relationship Id="rId12" Type="http://schemas.openxmlformats.org/officeDocument/2006/relationships/image" Target="media/dbe6d7121190a78c7b4acf4d382643ed80a74cc3.png"/><Relationship Id="rId13" Type="http://schemas.openxmlformats.org/officeDocument/2006/relationships/image" Target="media/ea6e14ab89354a9cab1b0693fbdd7360f77b4096.png"/><Relationship Id="rId14" Type="http://schemas.openxmlformats.org/officeDocument/2006/relationships/image" Target="media/7a730d0a9b5707ec261ec4ea236430bc10f88c09.png"/><Relationship Id="rId15" Type="http://schemas.openxmlformats.org/officeDocument/2006/relationships/image" Target="media/8c97df14929020dee5a574d4f50075fbebf82231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2026-06-04T19:24:01.786Z</dcterms:created>
  <dcterms:modified xsi:type="dcterms:W3CDTF">2026-06-04T19:24:01.786Z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