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Thank you for checking out our chess program. To run it, follow the instructions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Make sure that you have all files copied into a safe storage location.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Open up the file named “ChessDriver.java” in jGrasp.</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Press the run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Alternatively you may choose to run the file directly from the file location by double clicking on it. This should work too.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Once the program is running, you will see three windows. In the top left hand corner is the main chess window. To begin playing, simply click on a white piece and then click on a green highlighted square to move it there. Now it is black’s turn, and you may do the same with a black piece. For further rules specifications, see the rules window, located to the right of the chess window. You may use the buttons at the bottom to navigate our many pages of rules. Simply click the “Next Page” button to advance to the next page or click the “Previous Page” button to return to the previous page.</w:t>
      </w:r>
    </w:p>
    <w:p w:rsidR="00000000" w:rsidDel="00000000" w:rsidP="00000000" w:rsidRDefault="00000000" w:rsidRPr="00000000">
      <w:pPr>
        <w:pBdr/>
        <w:contextualSpacing w:val="0"/>
        <w:rPr/>
      </w:pPr>
      <w:r w:rsidDel="00000000" w:rsidR="00000000" w:rsidRPr="00000000">
        <w:rPr>
          <w:rtl w:val="0"/>
        </w:rPr>
        <w:tab/>
        <w:t xml:space="preserve">When playing, messages may pop up on the window below the chess window, labeled “Info”, which may remind you to follow the rules. In addition, when a pawn can be promoted, simply click one of the buttons that pops up on the info window to promote said pawn into such a piece.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