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03366"/>
          <w:sz w:val="40"/>
        </w:rPr>
        <w:t>PARTNERIQ — Architectural Design of Proposed System</w:t>
      </w:r>
    </w:p>
    <w:p>
      <w:pPr>
        <w:spacing w:before="40" w:after="80"/>
      </w:pPr>
      <w:r>
        <w:rPr>
          <w:b/>
        </w:rPr>
        <w:t>System Name:</w:t>
      </w:r>
      <w:r>
        <w:t xml:space="preserve"> PartnerIQ — AI-Powered Partnership Intelligence Platform</w:t>
      </w:r>
    </w:p>
    <w:p>
      <w:pPr>
        <w:spacing w:before="40" w:after="80"/>
      </w:pPr>
      <w:r>
        <w:rPr>
          <w:b/>
        </w:rPr>
        <w:t>Architecture Classification:</w:t>
      </w:r>
      <w:r>
        <w:t xml:space="preserve"> 4-Tier Distributed Asynchronous Micro-Architecture</w:t>
      </w:r>
    </w:p>
    <w:p>
      <w:pPr>
        <w:spacing w:before="40" w:after="80"/>
      </w:pPr>
      <w:r>
        <w:rPr>
          <w:b/>
        </w:rPr>
        <w:t>Core Technologies:</w:t>
      </w:r>
      <w:r>
        <w:t xml:space="preserve"> React 19, Tailwind CSS v4, Python 3.12 (FastAPI), Google Cloud Firestore, DuckDuckGo Search Engine API</w:t>
      </w:r>
    </w:p>
    <w:p>
      <w:pPr>
        <w:spacing w:before="80" w:after="80"/>
      </w:pPr>
      <w:r>
        <w:rPr>
          <w:color w:val="D2D2D7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Calibri" w:hAnsi="Calibri"/>
          <w:b/>
          <w:color w:val="0066CC"/>
          <w:sz w:val="28"/>
        </w:rPr>
        <w:t>1. Architectural Design &amp; System Topology</w:t>
      </w:r>
    </w:p>
    <w:p>
      <w:pPr>
        <w:spacing w:before="40" w:after="80"/>
      </w:pPr>
      <w:r>
        <w:t>PartnerIQ is architected as an asynchronous, intelligence-driven evaluation platform engineered to autonomously discover, audit, score, and rank potential enterprise technology partners. The system decouples web extraction, NLP attribute mining, mandatory risk gating, and multi-criteria mathematical scoring into specialized pipeline modules.</w:t>
      </w:r>
    </w:p>
    <w:p>
      <w:pPr>
        <w:spacing w:before="200" w:after="60"/>
      </w:pPr>
      <w:r>
        <w:rPr>
          <w:rFonts w:ascii="Calibri" w:hAnsi="Calibri"/>
          <w:b/>
          <w:color w:val="282828"/>
          <w:sz w:val="24"/>
        </w:rPr>
        <w:t>High-Level System Architecture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b/>
                <w:color w:val="0071E3"/>
                <w:sz w:val="17"/>
              </w:rPr>
              <w:t>[MERMAID]</w:t>
              <w:br/>
            </w:r>
            <w:r>
              <w:rPr>
                <w:rFonts w:ascii="Consolas" w:hAnsi="Consolas"/>
                <w:color w:val="282828"/>
                <w:sz w:val="17"/>
              </w:rPr>
              <w:t>flowchart TD</w:t>
              <w:br/>
              <w:t xml:space="preserve">    subgraph ClientTier["Client Presentation Tier (React 19 + Tailwind v4)"]</w:t>
              <w:br/>
              <w:t xml:space="preserve">        UI_Dash["Executive Dashboard &amp; Search"]</w:t>
              <w:br/>
              <w:t xml:space="preserve">        UI_Weights["Interactive Weight Sensitivity Sliders"]</w:t>
              <w:br/>
              <w:t xml:space="preserve">        UI_Matrix["Comparative Decision Matrix"]</w:t>
              <w:br/>
              <w:t xml:space="preserve">        UI_Dossier["Board-Ready Executive Dossier Modal"]</w:t>
              <w:br/>
              <w:t xml:space="preserve">        UI_Evidence["Verifiable Evidence Inspector Modal"]</w:t>
              <w:br/>
              <w:t xml:space="preserve">    end</w:t>
              <w:br/>
              <w:br/>
              <w:t xml:space="preserve">    subgraph APITier["Application &amp; API Gateway Tier (FastAPI / Uvicorn)"]</w:t>
              <w:br/>
              <w:t xml:space="preserve">        Router["FastAPI REST Router (/api/*)"]</w:t>
              <w:br/>
              <w:t xml:space="preserve">        CORS["CORS &amp; Security Middleware"]</w:t>
              <w:br/>
              <w:t xml:space="preserve">        AsyncOrch["Async Pipeline Orchestrator"]</w:t>
              <w:br/>
              <w:t xml:space="preserve">    end</w:t>
              <w:br/>
              <w:br/>
              <w:t xml:space="preserve">    subgraph EngineTier["Intelligence Processing Tier (Python Engine)"]</w:t>
              <w:br/>
              <w:t xml:space="preserve">        M1["Module 1: Dynamic Discovery &amp; Web Intelligence Engine"]</w:t>
              <w:br/>
              <w:t xml:space="preserve">        M2["Module 2: NLP Entity &amp; Architecture Extraction Engine"]</w:t>
              <w:br/>
              <w:t xml:space="preserve">        M3["Module 3: Mandatory Risk Validation &amp; Gating Engine"]</w:t>
              <w:br/>
              <w:t xml:space="preserve">        M4["Module 4: Multi-Criteria Mathematical Fit Scorer"]</w:t>
              <w:br/>
              <w:t xml:space="preserve">        M5["Module 5: Executive Decision Matrix &amp; Memo Generator"]</w:t>
              <w:br/>
              <w:t xml:space="preserve">    end</w:t>
              <w:br/>
              <w:br/>
              <w:t xml:space="preserve">    subgraph DataTier["Data &amp; Persistence Tier"]</w:t>
              <w:br/>
              <w:t xml:space="preserve">        Firestore["Google Cloud Firestore (Live Document Store)"]</w:t>
              <w:br/>
              <w:t xml:space="preserve">        LocalCache["Dual-Mode Local Fallback Cache (JSON)"]</w:t>
              <w:br/>
              <w:t xml:space="preserve">    end</w:t>
              <w:br/>
              <w:br/>
              <w:t xml:space="preserve">    subgraph ExternalTier["External Intelligence Web Tier"]</w:t>
              <w:br/>
              <w:t xml:space="preserve">        WebDirect["Direct Domain Crawlers (Target /security, /trust)"]</w:t>
              <w:br/>
              <w:t xml:space="preserve">        DDG["DuckDuckGo Search API (Threaded Async DDGS)"]</w:t>
              <w:br/>
              <w:t xml:space="preserve">    end</w:t>
              <w:br/>
              <w:br/>
              <w:t xml:space="preserve">    UI_Dash --&gt; Router</w:t>
              <w:br/>
              <w:t xml:space="preserve">    UI_Weights --&gt; Router</w:t>
              <w:br/>
              <w:t xml:space="preserve">    UI_Matrix --&gt; Router</w:t>
              <w:br/>
              <w:t xml:space="preserve">    UI_Dossier --&gt; Router</w:t>
              <w:br/>
              <w:t xml:space="preserve">    UI_Evidence --&gt; Router</w:t>
              <w:br/>
              <w:br/>
              <w:t xml:space="preserve">    Router --&gt; CORS --&gt; AsyncOrch</w:t>
              <w:br/>
              <w:t xml:space="preserve">    AsyncOrch --&gt; M1</w:t>
              <w:br/>
              <w:t xml:space="preserve">    M1 &lt;--&gt; WebDirect</w:t>
              <w:br/>
              <w:t xml:space="preserve">    M1 &lt;--&gt; DDG</w:t>
              <w:br/>
              <w:t xml:space="preserve">    M1 --&gt; M2</w:t>
              <w:br/>
              <w:t xml:space="preserve">    M2 --&gt; M3</w:t>
              <w:br/>
              <w:t xml:space="preserve">    M3 --&gt; M4</w:t>
              <w:br/>
              <w:t xml:space="preserve">    M4 --&gt; M5</w:t>
              <w:br/>
              <w:br/>
              <w:t xml:space="preserve">    M2 -.-&gt; Firestore</w:t>
              <w:br/>
              <w:t xml:space="preserve">    M3 -.-&gt; Firestore</w:t>
              <w:br/>
              <w:t xml:space="preserve">    M4 -.-&gt; Firestore</w:t>
              <w:br/>
              <w:t xml:space="preserve">    Firestore -.-&gt; LocalCache</w:t>
            </w:r>
          </w:p>
        </w:tc>
      </w:tr>
    </w:tbl>
    <w:p/>
    <w:p>
      <w:pPr>
        <w:spacing w:before="80" w:after="80"/>
      </w:pPr>
      <w:r>
        <w:rPr>
          <w:color w:val="D2D2D7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Calibri" w:hAnsi="Calibri"/>
          <w:b/>
          <w:color w:val="0066CC"/>
          <w:sz w:val="28"/>
        </w:rPr>
        <w:t>2. System Diagrams</w:t>
      </w:r>
    </w:p>
    <w:p>
      <w:pPr>
        <w:spacing w:before="200" w:after="60"/>
      </w:pPr>
      <w:r>
        <w:rPr>
          <w:rFonts w:ascii="Calibri" w:hAnsi="Calibri"/>
          <w:b/>
          <w:color w:val="282828"/>
          <w:sz w:val="24"/>
        </w:rPr>
        <w:t>2.1 Entity-Relationship (ER) Diagram</w:t>
      </w:r>
    </w:p>
    <w:p>
      <w:pPr>
        <w:spacing w:before="40" w:after="80"/>
      </w:pPr>
      <w:r>
        <w:t>The system operates on an interconnected data model that links company profiles with verifiable evidence citations, multi-pillar risk audits, and mathematical scores.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b/>
                <w:color w:val="0071E3"/>
                <w:sz w:val="17"/>
              </w:rPr>
              <w:t>[MERMAID]</w:t>
              <w:br/>
            </w:r>
            <w:r>
              <w:rPr>
                <w:rFonts w:ascii="Consolas" w:hAnsi="Consolas"/>
                <w:color w:val="282828"/>
                <w:sz w:val="17"/>
              </w:rPr>
              <w:t>erDiagram</w:t>
              <w:br/>
              <w:t xml:space="preserve">    COMPANY ||--o{ EVIDENCE_SOURCE : "cites"</w:t>
              <w:br/>
              <w:t xml:space="preserve">    COMPANY ||--|| RISK_EVALUATION : "undergoes"</w:t>
              <w:br/>
              <w:t xml:space="preserve">    COMPANY ||--|| PARTNERSHIP_FIT_SCORE : "receives"</w:t>
              <w:br/>
              <w:t xml:space="preserve">    RISK_EVALUATION ||--|{ MANDATORY_RULE_AUDIT : "enforces"</w:t>
              <w:br/>
              <w:t xml:space="preserve">    COMPANY }|--o{ DECISION_MATRIX_ITEM : "ranked_in"</w:t>
              <w:br/>
              <w:t xml:space="preserve">    COMPANY ||--o{ EXECUTIVE_MEMO : "synthesizes"</w:t>
              <w:br/>
              <w:br/>
              <w:t xml:space="preserve">    COMPANY {</w:t>
              <w:br/>
              <w:t xml:space="preserve">        string id PK "Unique company identifier"</w:t>
              <w:br/>
              <w:t xml:space="preserve">        string name "Company legal trade name"</w:t>
              <w:br/>
              <w:t xml:space="preserve">        string domain "Primary web domain"</w:t>
              <w:br/>
              <w:t xml:space="preserve">        string industry "Industry vertical"</w:t>
              <w:br/>
              <w:t xml:space="preserve">        int founding_year "Founding year"</w:t>
              <w:br/>
              <w:t xml:space="preserve">        string founders "Founders / executive team"</w:t>
              <w:br/>
              <w:t xml:space="preserve">        string employee_count "Staff headcount range"</w:t>
              <w:br/>
              <w:t xml:space="preserve">        string employee_rating "Glassdoor / workplace sentiment"</w:t>
              <w:br/>
              <w:t xml:space="preserve">        string funding_stage "Funding stage or public ticker"</w:t>
              <w:br/>
              <w:t xml:space="preserve">        string estimated_revenue "ARR or annual revenue"</w:t>
              <w:br/>
              <w:t xml:space="preserve">        json tech_stack "Cloud platforms, APIs, SDKs, security"</w:t>
              <w:br/>
              <w:t xml:space="preserve">        json products "Core enterprise offerings"</w:t>
              <w:br/>
              <w:t xml:space="preserve">        json integrations "Ecosystem integrations"</w:t>
              <w:br/>
              <w:t xml:space="preserve">        string created_at "Timestamp ISO"</w:t>
              <w:br/>
              <w:t xml:space="preserve">    }</w:t>
              <w:br/>
              <w:br/>
              <w:t xml:space="preserve">    EVIDENCE_SOURCE {</w:t>
              <w:br/>
              <w:t xml:space="preserve">        string id PK "Evidence UUID"</w:t>
              <w:br/>
              <w:t xml:space="preserve">        string company_id FK "Foreign key to COMPANY"</w:t>
              <w:br/>
              <w:t xml:space="preserve">        string source_url "Verifiable origin URL"</w:t>
              <w:br/>
              <w:t xml:space="preserve">        string source_title "Article or page title"</w:t>
              <w:br/>
              <w:t xml:space="preserve">        string category "compliance, primary_source, tech_stack, risk_audit"</w:t>
              <w:br/>
              <w:t xml:space="preserve">        string snippet "Verbatim quotation excerpt"</w:t>
              <w:br/>
              <w:t xml:space="preserve">        float confidence "Extraction confidence score 0.0 to 1.0"</w:t>
              <w:br/>
              <w:t xml:space="preserve">        string timestamp "Timestamp captured"</w:t>
              <w:br/>
              <w:t xml:space="preserve">    }</w:t>
              <w:br/>
              <w:br/>
              <w:t xml:space="preserve">    RISK_EVALUATION {</w:t>
              <w:br/>
              <w:t xml:space="preserve">        string id PK "Evaluation UUID"</w:t>
              <w:br/>
              <w:t xml:space="preserve">        string company_id FK "Foreign key to COMPANY"</w:t>
              <w:br/>
              <w:t xml:space="preserve">        string gating_status "PASS, CONDITIONAL_PASS, FAIL"</w:t>
              <w:br/>
              <w:t xml:space="preserve">        string qualification_status "QUALIFIED, CONDITIONAL, DISQUALIFIED"</w:t>
              <w:br/>
              <w:t xml:space="preserve">        float composite_risk_score "Composite safety index 0 to 100"</w:t>
              <w:br/>
              <w:t xml:space="preserve">        string gate_verdict_message "Executive reason for gate status"</w:t>
              <w:br/>
              <w:t xml:space="preserve">        json pillar_scores "Legal, Financial, Compliance, Safety scores"</w:t>
              <w:br/>
              <w:t xml:space="preserve">        string evaluated_at "Audit timestamp"</w:t>
              <w:br/>
              <w:t xml:space="preserve">    }</w:t>
              <w:br/>
              <w:br/>
              <w:t xml:space="preserve">    MANDATORY_RULE_AUDIT {</w:t>
              <w:br/>
              <w:t xml:space="preserve">        string id PK "Rule audit ID"</w:t>
              <w:br/>
              <w:t xml:space="preserve">        string evaluation_id FK "Foreign key to RISK_EVALUATION"</w:t>
              <w:br/>
              <w:t xml:space="preserve">        string rule_id "RULE_LEGAL_01, RULE_COMPLIANCE_01, etc."</w:t>
              <w:br/>
              <w:t xml:space="preserve">        string category "legal, compliance, financial, safety"</w:t>
              <w:br/>
              <w:t xml:space="preserve">        boolean passed "True if rule passed, False if violated"</w:t>
              <w:br/>
              <w:t xml:space="preserve">        boolean critical "True if mandatory gate blocker"</w:t>
              <w:br/>
              <w:t xml:space="preserve">        string evidence_ref "Citing evidence ID"</w:t>
              <w:br/>
              <w:t xml:space="preserve">        string notes "Audit finding explanation"</w:t>
              <w:br/>
              <w:t xml:space="preserve">    }</w:t>
              <w:br/>
              <w:br/>
              <w:t xml:space="preserve">    PARTNERSHIP_FIT_SCORE {</w:t>
              <w:br/>
              <w:t xml:space="preserve">        string id PK "Score ID"</w:t>
              <w:br/>
              <w:t xml:space="preserve">        string company_id FK "Foreign key to COMPANY"</w:t>
              <w:br/>
              <w:t xml:space="preserve">        float strategic_score "Strategic fit score 0 to 100"</w:t>
              <w:br/>
              <w:t xml:space="preserve">        float technical_score "Technical compatibility score 0 to 100"</w:t>
              <w:br/>
              <w:t xml:space="preserve">        float market_score "Market presence score 0 to 100"</w:t>
              <w:br/>
              <w:t xml:space="preserve">        float weighted_fit_score "Calculated weighted overall score 0 to 100"</w:t>
              <w:br/>
              <w:t xml:space="preserve">        json weights_applied "Normalized strategic, technical, market weights"</w:t>
              <w:br/>
              <w:t xml:space="preserve">        string recommendation_badge "TOP_RECOMMENDED, STRONG_CONTENDER, etc."</w:t>
              <w:br/>
              <w:t xml:space="preserve">        string calculated_at "Timestamp"</w:t>
              <w:br/>
              <w:t xml:space="preserve">    }</w:t>
              <w:br/>
              <w:br/>
              <w:t xml:space="preserve">    DECISION_MATRIX_ITEM {</w:t>
              <w:br/>
              <w:t xml:space="preserve">        string id PK "Matrix item ID"</w:t>
              <w:br/>
              <w:t xml:space="preserve">        string company_id FK "Foreign key to COMPANY"</w:t>
              <w:br/>
              <w:t xml:space="preserve">        int rank "Dynamic leaderboard rank"</w:t>
              <w:br/>
              <w:t xml:space="preserve">        float final_score "Evaluated composite score"</w:t>
              <w:br/>
              <w:t xml:space="preserve">        string qualification_status "QUALIFIED or DISQUALIFIED"</w:t>
              <w:br/>
              <w:t xml:space="preserve">    }</w:t>
              <w:br/>
              <w:br/>
              <w:t xml:space="preserve">    EXECUTIVE_MEMO {</w:t>
              <w:br/>
              <w:t xml:space="preserve">        string id PK "Dossier ID"</w:t>
              <w:br/>
              <w:t xml:space="preserve">        string company_id FK "Foreign key to COMPANY"</w:t>
              <w:br/>
              <w:t xml:space="preserve">        string strategic_rationale "Executive partnership rationale"</w:t>
              <w:br/>
              <w:t xml:space="preserve">        string risk_assessment "Risk mitigation plan"</w:t>
              <w:br/>
              <w:t xml:space="preserve">        string technical_synergy "Technical integration roadmap"</w:t>
              <w:br/>
              <w:t xml:space="preserve">        string final_recommendation "Board-ready approval directive"</w:t>
              <w:br/>
              <w:t xml:space="preserve">        string generated_at "Generation timestamp"</w:t>
              <w:br/>
              <w:t xml:space="preserve">    }</w:t>
            </w:r>
          </w:p>
        </w:tc>
      </w:tr>
    </w:tbl>
    <w:p/>
    <w:p>
      <w:pPr>
        <w:spacing w:before="80" w:after="80"/>
      </w:pPr>
      <w:r>
        <w:rPr>
          <w:color w:val="D2D2D7"/>
        </w:rPr>
        <w:t>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Calibri" w:hAnsi="Calibri"/>
          <w:b/>
          <w:color w:val="282828"/>
          <w:sz w:val="24"/>
        </w:rPr>
        <w:t>2.2 System Flow / Data Pipeline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b/>
                <w:color w:val="0071E3"/>
                <w:sz w:val="17"/>
              </w:rPr>
              <w:t>[MERMAID]</w:t>
              <w:br/>
            </w:r>
            <w:r>
              <w:rPr>
                <w:rFonts w:ascii="Consolas" w:hAnsi="Consolas"/>
                <w:color w:val="282828"/>
                <w:sz w:val="17"/>
              </w:rPr>
              <w:t>flowchart TD</w:t>
              <w:br/>
              <w:t xml:space="preserve">    Start(["User Submits Company Name &amp; Domain"]) --&gt; Step1["Step 1: Asynchronous Web Discovery"]</w:t>
              <w:br/>
              <w:br/>
              <w:t xml:space="preserve">    subgraph DiscoveryStage["Module 1: Discovery &amp; Evidence Harvest"]</w:t>
              <w:br/>
              <w:t xml:space="preserve">        Step1 --&gt; DirectCrawl["Direct Crawl: Target Domain &amp; /security &amp; /trust"]</w:t>
              <w:br/>
              <w:t xml:space="preserve">        Step1 --&gt; AsyncSearch["Threaded DuckDuckGo Search (Tech, Legal, Compliance)"]</w:t>
              <w:br/>
              <w:t xml:space="preserve">        DirectCrawl --&gt; ParseHTML["HTML Sanitization &amp; Meta Extraction"]</w:t>
              <w:br/>
              <w:t xml:space="preserve">        AsyncSearch --&gt; ParseSnippets["Snippet Harvesting &amp; Confidence Scoring"]</w:t>
              <w:br/>
              <w:t xml:space="preserve">        ParseHTML --&gt; EvidenceList["Verifiable Evidence Sources (URLs, Quotes, Timestamps)"]</w:t>
              <w:br/>
              <w:t xml:space="preserve">        ParseSnippets --&gt; EvidenceList</w:t>
              <w:br/>
              <w:t xml:space="preserve">    end</w:t>
              <w:br/>
              <w:br/>
              <w:t xml:space="preserve">    subgraph ExtractionStage["Module 2: AI Information Extraction"]</w:t>
              <w:br/>
              <w:t xml:space="preserve">        EvidenceList --&gt; NLP_Extract["Dynamic Regex &amp; NLP Pattern Engine"]</w:t>
              <w:br/>
              <w:t xml:space="preserve">        NLP_Extract --&gt; EntityProps["Founders, Year, ARR, Headcount, Ratings"]</w:t>
              <w:br/>
              <w:t xml:space="preserve">        NLP_Extract --&gt; TechProps["Cloud Platforms, REST/GraphQL APIs, SDKs, Certifications"]</w:t>
              <w:br/>
              <w:t xml:space="preserve">        EntityProps --&gt; CompProfile["Structured Company Profile Document"]</w:t>
              <w:br/>
              <w:t xml:space="preserve">        TechProps --&gt; CompProfile</w:t>
              <w:br/>
              <w:t xml:space="preserve">    end</w:t>
              <w:br/>
              <w:br/>
              <w:t xml:space="preserve">    subgraph RiskGatingStage["Module 3: Mandatory Risk Validation"]</w:t>
              <w:br/>
              <w:t xml:space="preserve">        CompProfile --&gt; LegalCheck{"Legal Pillar Check: Sanctions, Fraud, Antitrust?"}</w:t>
              <w:br/>
              <w:t xml:space="preserve">        LegalCheck -- Violations Found --&gt; FailLegal["Legal Gate: FAIL"]</w:t>
              <w:br/>
              <w:t xml:space="preserve">        LegalCheck -- Clean --&gt; ComplianceCheck{"Compliance Check: SOC2, ISO27001, GDPR?"}</w:t>
              <w:br/>
              <w:t xml:space="preserve">        ComplianceCheck -- Missing --&gt; FailComp["Compliance Gate: FAIL"]</w:t>
              <w:br/>
              <w:t xml:space="preserve">        ComplianceCheck -- Verified --&gt; FinancialCheck{"Financial Check: Runway, ARR, Solvency?"}</w:t>
              <w:br/>
              <w:t xml:space="preserve">        FinancialCheck -- Insolvent --&gt; FailFin["Financial Gate: FAIL"]</w:t>
              <w:br/>
              <w:t xml:space="preserve">        FinancialCheck -- Solvent --&gt; SafetyCheck{"Safety Check: Zero-Days, Breaches, Ransomware?"}</w:t>
              <w:br/>
              <w:t xml:space="preserve">        SafetyCheck -- Breached --&gt; FailSafe["Safety Gate: FAIL"]</w:t>
              <w:br/>
              <w:t xml:space="preserve">        SafetyCheck -- Clean --&gt; PassAll["All 4 Mandatory Gates: PASS"]</w:t>
              <w:br/>
              <w:br/>
              <w:t xml:space="preserve">        FailLegal --&gt; Disqualified["Status: DISQUALIFIED (Gate FAIL)"]</w:t>
              <w:br/>
              <w:t xml:space="preserve">        FailComp --&gt; Disqualified</w:t>
              <w:br/>
              <w:t xml:space="preserve">        FailFin --&gt; Disqualified</w:t>
              <w:br/>
              <w:t xml:space="preserve">        FailSafe --&gt; Disqualified</w:t>
              <w:br/>
              <w:t xml:space="preserve">        PassAll --&gt; Qualified["Status: QUALIFIED (Gate PASS)"]</w:t>
              <w:br/>
              <w:t xml:space="preserve">    end</w:t>
              <w:br/>
              <w:br/>
              <w:t xml:space="preserve">    subgraph FitScoringStage["Module 4: Mathematical Fit Scoring"]</w:t>
              <w:br/>
              <w:t xml:space="preserve">        Qualified --&gt; ComputeStrategic["Compute Strategic Fit (0-100)"]</w:t>
              <w:br/>
              <w:t xml:space="preserve">        Disqualified --&gt; ComputeStrategic</w:t>
              <w:br/>
              <w:t xml:space="preserve">        Qualified --&gt; ComputeTechnical["Compute Technical Fit (0-100)"]</w:t>
              <w:br/>
              <w:t xml:space="preserve">        Disqualified --&gt; ComputeTechnical</w:t>
              <w:br/>
              <w:t xml:space="preserve">        Qualified --&gt; ComputeMarket["Compute Market Fit (0-100)"]</w:t>
              <w:br/>
              <w:t xml:space="preserve">        Disqualified --&gt; ComputeMarket</w:t>
              <w:br/>
              <w:br/>
              <w:t xml:space="preserve">        ComputeStrategic --&gt; ApplyWeights["Apply Normalized Weights: (w_s + w_t + w_m = 100)"]</w:t>
              <w:br/>
              <w:t xml:space="preserve">        ComputeTechnical --&gt; ApplyWeights</w:t>
              <w:br/>
              <w:t xml:space="preserve">        ComputeMarket --&gt; ApplyWeights</w:t>
              <w:br/>
              <w:t xml:space="preserve">        ApplyWeights --&gt; GatePenalty{"Gating Status == FAIL?"}</w:t>
              <w:br/>
              <w:t xml:space="preserve">        GatePenalty -- Yes --&gt; Penalty["Apply Disqualification Floor: Score * 0.20"]</w:t>
              <w:br/>
              <w:t xml:space="preserve">        GatePenalty -- No --&gt; FinalScore["Final Weighted Fit Score (0-100)"]</w:t>
              <w:br/>
              <w:t xml:space="preserve">        Penalty --&gt; FinalScore</w:t>
              <w:br/>
              <w:t xml:space="preserve">    end</w:t>
              <w:br/>
              <w:br/>
              <w:t xml:space="preserve">    subgraph PersistenceStage["Storage &amp; Decision Matrix"]</w:t>
              <w:br/>
              <w:t xml:space="preserve">        FinalScore --&gt; PersistDB["Sync to Google Cloud Firestore (agenttrimproject)"]</w:t>
              <w:br/>
              <w:t xml:space="preserve">        PersistDB --&gt; SortLeaderboard["Rank &amp; Generate Multi-Criteria Matrix"]</w:t>
              <w:br/>
              <w:t xml:space="preserve">        SortLeaderboard --&gt; GenMemo["Generate Board-Ready Executive Dossier"]</w:t>
              <w:br/>
              <w:t xml:space="preserve">        GenMemo --&gt; RenderUI(["Render in Apple-Inspired React Interface"])</w:t>
              <w:br/>
              <w:t xml:space="preserve">    end</w:t>
            </w:r>
          </w:p>
        </w:tc>
      </w:tr>
    </w:tbl>
    <w:p/>
    <w:p>
      <w:pPr>
        <w:spacing w:before="80" w:after="80"/>
      </w:pPr>
      <w:r>
        <w:rPr>
          <w:color w:val="D2D2D7"/>
        </w:rPr>
        <w:t>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Calibri" w:hAnsi="Calibri"/>
          <w:b/>
          <w:color w:val="282828"/>
          <w:sz w:val="24"/>
        </w:rPr>
        <w:t>2.3 Use Case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b/>
                <w:color w:val="0071E3"/>
                <w:sz w:val="17"/>
              </w:rPr>
              <w:t>[MERMAID]</w:t>
              <w:br/>
            </w:r>
            <w:r>
              <w:rPr>
                <w:rFonts w:ascii="Consolas" w:hAnsi="Consolas"/>
                <w:color w:val="282828"/>
                <w:sz w:val="17"/>
              </w:rPr>
              <w:t>flowchart LR</w:t>
              <w:br/>
              <w:t xml:space="preserve">    subgraph Actors["System Actors"]</w:t>
              <w:br/>
              <w:t xml:space="preserve">        Exec["VP Business Development / Executive"]</w:t>
              <w:br/>
              <w:t xml:space="preserve">        PartnerMgr["Strategic Alliance Manager"]</w:t>
              <w:br/>
              <w:t xml:space="preserve">        ComplianceOfficer["Legal &amp; Compliance Officer"]</w:t>
              <w:br/>
              <w:t xml:space="preserve">        SystemEngine["PartnerIQ Background Engine"]</w:t>
              <w:br/>
              <w:t xml:space="preserve">    end</w:t>
              <w:br/>
              <w:br/>
              <w:t xml:space="preserve">    subgraph UseCases["Platform Functional Capabilities"]</w:t>
              <w:br/>
              <w:t xml:space="preserve">        UC1(["UC-1: Dynamic Company Discovery"])</w:t>
              <w:br/>
              <w:t xml:space="preserve">        UC2(["UC-2: Verifiable Evidence Inspection"])</w:t>
              <w:br/>
              <w:t xml:space="preserve">        UC3(["UC-3: Mandatory Risk Gate Auditing"])</w:t>
              <w:br/>
              <w:t xml:space="preserve">        UC4(["UC-4: Real-Time Fit Weight Simulation"])</w:t>
              <w:br/>
              <w:t xml:space="preserve">        UC5(["UC-5: Executive Decision Matrix Ranking"])</w:t>
              <w:br/>
              <w:t xml:space="preserve">        UC6(["UC-6: Board-Ready Partnership Dossier Export"])</w:t>
              <w:br/>
              <w:t xml:space="preserve">        UC7(["UC-7: Live Cloud Firestore Synchronization"])</w:t>
              <w:br/>
              <w:t xml:space="preserve">    end</w:t>
              <w:br/>
              <w:br/>
              <w:t xml:space="preserve">    PartnerMgr --&gt; UC1</w:t>
              <w:br/>
              <w:t xml:space="preserve">    PartnerMgr --&gt; UC2</w:t>
              <w:br/>
              <w:t xml:space="preserve">    ComplianceOfficer --&gt; UC3</w:t>
              <w:br/>
              <w:t xml:space="preserve">    ComplianceOfficer --&gt; UC2</w:t>
              <w:br/>
              <w:t xml:space="preserve">    Exec --&gt; UC4</w:t>
              <w:br/>
              <w:t xml:space="preserve">    Exec --&gt; UC5</w:t>
              <w:br/>
              <w:t xml:space="preserve">    Exec --&gt; UC6</w:t>
              <w:br/>
              <w:t xml:space="preserve">    SystemEngine --&gt; UC7</w:t>
              <w:br/>
              <w:t xml:space="preserve">    SystemEngine --&gt; UC1</w:t>
            </w:r>
          </w:p>
        </w:tc>
      </w:tr>
    </w:tbl>
    <w:p/>
    <w:p>
      <w:pPr>
        <w:spacing w:before="80" w:after="80"/>
      </w:pPr>
      <w:r>
        <w:rPr>
          <w:color w:val="D2D2D7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Calibri" w:hAnsi="Calibri"/>
          <w:b/>
          <w:color w:val="0066CC"/>
          <w:sz w:val="28"/>
        </w:rPr>
        <w:t>3. Algorithms &amp; Computational Techniques Used</w:t>
      </w:r>
    </w:p>
    <w:p>
      <w:pPr>
        <w:spacing w:before="200" w:after="60"/>
      </w:pPr>
      <w:r>
        <w:rPr>
          <w:rFonts w:ascii="Calibri" w:hAnsi="Calibri"/>
          <w:b/>
          <w:color w:val="282828"/>
          <w:sz w:val="24"/>
        </w:rPr>
        <w:t>3.1 Technique 1: Non-Blocking Asynchronous Web Crawling &amp; Search Orchestration</w:t>
      </w:r>
    </w:p>
    <w:p>
      <w:pPr>
        <w:pStyle w:val="ListBullet"/>
        <w:spacing w:before="20" w:after="40"/>
      </w:pPr>
      <w:r>
        <w:rPr>
          <w:b/>
        </w:rPr>
        <w:t>Mechanism:</w:t>
      </w:r>
      <w:r>
        <w:t xml:space="preserve"> Python </w:t>
      </w:r>
      <w:r>
        <w:rPr>
          <w:rFonts w:ascii="Consolas" w:hAnsi="Consolas"/>
          <w:color w:val="B42828"/>
          <w:sz w:val="18"/>
        </w:rPr>
        <w:t>asyncio</w:t>
      </w:r>
      <w:r>
        <w:t xml:space="preserve"> combined with </w:t>
      </w:r>
      <w:r>
        <w:rPr>
          <w:rFonts w:ascii="Consolas" w:hAnsi="Consolas"/>
          <w:color w:val="B42828"/>
          <w:sz w:val="18"/>
        </w:rPr>
        <w:t>httpx.AsyncClient</w:t>
      </w:r>
      <w:r>
        <w:t xml:space="preserve"> for high-throughput I/O-bound web crawling.</w:t>
      </w:r>
    </w:p>
    <w:p>
      <w:pPr>
        <w:pStyle w:val="ListBullet"/>
        <w:spacing w:before="20" w:after="40"/>
      </w:pPr>
      <w:r>
        <w:rPr>
          <w:b/>
        </w:rPr>
        <w:t>Thread Pooling:</w:t>
      </w:r>
      <w:r>
        <w:t xml:space="preserve"> DuckDuckGo Search operations run synchronous socket calls offloaded to asynchronous worker thread pools via </w:t>
      </w:r>
      <w:r>
        <w:rPr>
          <w:rFonts w:ascii="Consolas" w:hAnsi="Consolas"/>
          <w:color w:val="B42828"/>
          <w:sz w:val="18"/>
        </w:rPr>
        <w:t>asyncio.to_thread(ddgs.text, ...)</w:t>
      </w:r>
      <w:r>
        <w:t>, preventing blocking of the FastAPI event loop.</w:t>
      </w:r>
    </w:p>
    <w:p>
      <w:pPr>
        <w:pStyle w:val="ListBullet"/>
        <w:spacing w:before="20" w:after="40"/>
      </w:pPr>
      <w:r>
        <w:rPr>
          <w:b/>
        </w:rPr>
        <w:t>Evidence Verification Algorithm:</w:t>
      </w:r>
    </w:p>
    <w:p>
      <w:pPr>
        <w:pStyle w:val="ListNumber"/>
        <w:spacing w:before="20" w:after="40"/>
      </w:pPr>
      <w:r>
        <w:t xml:space="preserve">Primary domain target </w:t>
      </w:r>
      <w:r>
        <w:rPr>
          <w:rFonts w:ascii="Consolas" w:hAnsi="Consolas"/>
          <w:color w:val="B42828"/>
          <w:sz w:val="18"/>
        </w:rPr>
        <w:t>/</w:t>
      </w:r>
      <w:r>
        <w:t xml:space="preserve"> and trust endpoints (</w:t>
      </w:r>
      <w:r>
        <w:rPr>
          <w:rFonts w:ascii="Consolas" w:hAnsi="Consolas"/>
          <w:color w:val="B42828"/>
          <w:sz w:val="18"/>
        </w:rPr>
        <w:t>/security</w:t>
      </w:r>
      <w:r>
        <w:t xml:space="preserve">, </w:t>
      </w:r>
      <w:r>
        <w:rPr>
          <w:rFonts w:ascii="Consolas" w:hAnsi="Consolas"/>
          <w:color w:val="B42828"/>
          <w:sz w:val="18"/>
        </w:rPr>
        <w:t>/trust</w:t>
      </w:r>
      <w:r>
        <w:t>) fetched with a 7-second strict TLS timeout.</w:t>
      </w:r>
    </w:p>
    <w:p>
      <w:pPr>
        <w:pStyle w:val="ListNumber"/>
        <w:spacing w:before="20" w:after="40"/>
      </w:pPr>
      <w:r>
        <w:t xml:space="preserve">HTML sanitization strips scripts, styles, and SVG paths using </w:t>
      </w:r>
      <w:r>
        <w:rPr>
          <w:rFonts w:ascii="Consolas" w:hAnsi="Consolas"/>
          <w:color w:val="B42828"/>
          <w:sz w:val="18"/>
        </w:rPr>
        <w:t>BeautifulSoup4</w:t>
      </w:r>
      <w:r>
        <w:t>.</w:t>
      </w:r>
    </w:p>
    <w:p>
      <w:pPr>
        <w:pStyle w:val="ListNumber"/>
        <w:spacing w:before="20" w:after="40"/>
      </w:pPr>
      <w:r>
        <w:t>Extracted paragraphs undergo confidence scoring:</w:t>
      </w:r>
    </w:p>
    <w:p>
      <w:pPr>
        <w:spacing w:before="40" w:after="80"/>
      </w:pPr>
      <w:r>
        <w:t xml:space="preserve">     </w:t>
      </w:r>
      <w:r>
        <w:rPr>
          <w:rFonts w:ascii="Cambria Math" w:hAnsi="Cambria Math"/>
          <w:i/>
          <w:color w:val="0050A0"/>
        </w:rPr>
        <w:t>\text{Confidence}(S) = \begin{cases} 0.98 &amp; \text{if crawled directly from company official root/security domain} \\ 0.94 &amp; \text{if secondary tech publication citation with high match} \\ 0.89 &amp; \text{if general news/regulatory database citation} \end{cases}</w:t>
      </w:r>
    </w:p>
    <w:p>
      <w:pPr>
        <w:spacing w:before="80" w:after="80"/>
      </w:pPr>
      <w:r>
        <w:rPr>
          <w:color w:val="D2D2D7"/>
        </w:rPr>
        <w:t>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Calibri" w:hAnsi="Calibri"/>
          <w:b/>
          <w:color w:val="282828"/>
          <w:sz w:val="24"/>
        </w:rPr>
        <w:t>3.2 Technique 2: Dynamic Pattern NLP &amp; Tokenized Attribute Extraction</w:t>
      </w:r>
    </w:p>
    <w:p>
      <w:pPr>
        <w:pStyle w:val="ListBullet"/>
        <w:spacing w:before="20" w:after="40"/>
      </w:pPr>
      <w:r>
        <w:rPr>
          <w:b/>
        </w:rPr>
        <w:t>Zero-Hardcoding Guarantee:</w:t>
      </w:r>
      <w:r>
        <w:t xml:space="preserve"> All corporate entities, founding years, executive teams, ARR metrics, and tech stacks are derived dynamically through NLP tokenization and regular expression parsing across harvested web corpora:</w:t>
      </w:r>
    </w:p>
    <w:p>
      <w:pPr>
        <w:pStyle w:val="ListBullet"/>
        <w:spacing w:before="20" w:after="40"/>
      </w:pPr>
      <w:r>
        <w:rPr>
          <w:b/>
        </w:rPr>
        <w:t>Founding Year Extraction:</w:t>
      </w:r>
    </w:p>
    <w:p>
      <w:pPr>
        <w:spacing w:before="40" w:after="80"/>
      </w:pPr>
      <w:r>
        <w:t xml:space="preserve">  </w:t>
      </w:r>
      <w:r>
        <w:rPr>
          <w:rFonts w:ascii="Cambria Math" w:hAnsi="Cambria Math"/>
          <w:i/>
          <w:color w:val="0050A0"/>
        </w:rPr>
        <w:t>\text{Year} = \text{RegEx}\left(\verb|/(?:founded|established|incorporated)\s+(?:in\s+)?(19\d{2}|20[0-2]\d)/i|\right)</w:t>
      </w:r>
    </w:p>
    <w:p>
      <w:pPr>
        <w:pStyle w:val="ListBullet"/>
        <w:spacing w:before="20" w:after="40"/>
      </w:pPr>
      <w:r>
        <w:rPr>
          <w:b/>
        </w:rPr>
        <w:t>Revenue &amp; ARR Isolation Heuristic:</w:t>
      </w:r>
    </w:p>
    <w:p>
      <w:pPr>
        <w:spacing w:before="40" w:after="80"/>
      </w:pPr>
      <w:r>
        <w:t xml:space="preserve">  Prevents funding round capital (e.g., "\$120M Series C") from being mistakenly assigned as recurring revenue by prioritizing explicit ARR markers:</w:t>
      </w:r>
    </w:p>
    <w:p>
      <w:pPr>
        <w:spacing w:before="40" w:after="80"/>
      </w:pPr>
      <w:r>
        <w:t xml:space="preserve">  </w:t>
      </w:r>
      <w:r>
        <w:rPr>
          <w:rFonts w:ascii="Cambria Math" w:hAnsi="Cambria Math"/>
          <w:i/>
          <w:color w:val="0050A0"/>
        </w:rPr>
        <w:t>\text{ARR} = \text{RegEx}\left(\verb|/(\$\d+[\d\.]*\s*(?:billion|million|B|M|k)?\s*(?:ARR|annual revenue|revenue|gross revenue))/i|\right)</w:t>
      </w:r>
    </w:p>
    <w:p>
      <w:pPr>
        <w:pStyle w:val="ListBullet"/>
        <w:spacing w:before="20" w:after="40"/>
      </w:pPr>
      <w:r>
        <w:rPr>
          <w:b/>
        </w:rPr>
        <w:t>Tech Stack Classification Dictionary:</w:t>
      </w:r>
    </w:p>
    <w:p>
      <w:pPr>
        <w:spacing w:before="40" w:after="80"/>
      </w:pPr>
      <w:r>
        <w:t xml:space="preserve">  Tokenizes text for enterprise signals across four sub-arrays: Cloud Platforms (</w:t>
      </w:r>
      <w:r>
        <w:rPr>
          <w:rFonts w:ascii="Consolas" w:hAnsi="Consolas"/>
          <w:color w:val="B42828"/>
          <w:sz w:val="18"/>
        </w:rPr>
        <w:t>AWS</w:t>
      </w:r>
      <w:r>
        <w:t xml:space="preserve">, </w:t>
      </w:r>
      <w:r>
        <w:rPr>
          <w:rFonts w:ascii="Consolas" w:hAnsi="Consolas"/>
          <w:color w:val="B42828"/>
          <w:sz w:val="18"/>
        </w:rPr>
        <w:t>GCP</w:t>
      </w:r>
      <w:r>
        <w:t xml:space="preserve">, </w:t>
      </w:r>
      <w:r>
        <w:rPr>
          <w:rFonts w:ascii="Consolas" w:hAnsi="Consolas"/>
          <w:color w:val="B42828"/>
          <w:sz w:val="18"/>
        </w:rPr>
        <w:t>Azure</w:t>
      </w:r>
      <w:r>
        <w:t>), API Protocols (</w:t>
      </w:r>
      <w:r>
        <w:rPr>
          <w:rFonts w:ascii="Consolas" w:hAnsi="Consolas"/>
          <w:color w:val="B42828"/>
          <w:sz w:val="18"/>
        </w:rPr>
        <w:t>REST</w:t>
      </w:r>
      <w:r>
        <w:t xml:space="preserve">, </w:t>
      </w:r>
      <w:r>
        <w:rPr>
          <w:rFonts w:ascii="Consolas" w:hAnsi="Consolas"/>
          <w:color w:val="B42828"/>
          <w:sz w:val="18"/>
        </w:rPr>
        <w:t>GraphQL</w:t>
      </w:r>
      <w:r>
        <w:t xml:space="preserve">, </w:t>
      </w:r>
      <w:r>
        <w:rPr>
          <w:rFonts w:ascii="Consolas" w:hAnsi="Consolas"/>
          <w:color w:val="B42828"/>
          <w:sz w:val="18"/>
        </w:rPr>
        <w:t>gRPC</w:t>
      </w:r>
      <w:r>
        <w:t xml:space="preserve">, </w:t>
      </w:r>
      <w:r>
        <w:rPr>
          <w:rFonts w:ascii="Consolas" w:hAnsi="Consolas"/>
          <w:color w:val="B42828"/>
          <w:sz w:val="18"/>
        </w:rPr>
        <w:t>Webhooks</w:t>
      </w:r>
      <w:r>
        <w:t>), Programming SDKs (</w:t>
      </w:r>
      <w:r>
        <w:rPr>
          <w:rFonts w:ascii="Consolas" w:hAnsi="Consolas"/>
          <w:color w:val="B42828"/>
          <w:sz w:val="18"/>
        </w:rPr>
        <w:t>Python</w:t>
      </w:r>
      <w:r>
        <w:t xml:space="preserve">, </w:t>
      </w:r>
      <w:r>
        <w:rPr>
          <w:rFonts w:ascii="Consolas" w:hAnsi="Consolas"/>
          <w:color w:val="B42828"/>
          <w:sz w:val="18"/>
        </w:rPr>
        <w:t>Go</w:t>
      </w:r>
      <w:r>
        <w:t xml:space="preserve">, </w:t>
      </w:r>
      <w:r>
        <w:rPr>
          <w:rFonts w:ascii="Consolas" w:hAnsi="Consolas"/>
          <w:color w:val="B42828"/>
          <w:sz w:val="18"/>
        </w:rPr>
        <w:t>Node.js</w:t>
      </w:r>
      <w:r>
        <w:t xml:space="preserve">, </w:t>
      </w:r>
      <w:r>
        <w:rPr>
          <w:rFonts w:ascii="Consolas" w:hAnsi="Consolas"/>
          <w:color w:val="B42828"/>
          <w:sz w:val="18"/>
        </w:rPr>
        <w:t>Java</w:t>
      </w:r>
      <w:r>
        <w:t xml:space="preserve">, </w:t>
      </w:r>
      <w:r>
        <w:rPr>
          <w:rFonts w:ascii="Consolas" w:hAnsi="Consolas"/>
          <w:color w:val="B42828"/>
          <w:sz w:val="18"/>
        </w:rPr>
        <w:t>TypeScript</w:t>
      </w:r>
      <w:r>
        <w:t>), and Compliance Badges (</w:t>
      </w:r>
      <w:r>
        <w:rPr>
          <w:rFonts w:ascii="Consolas" w:hAnsi="Consolas"/>
          <w:color w:val="B42828"/>
          <w:sz w:val="18"/>
        </w:rPr>
        <w:t>SOC 2 Type II</w:t>
      </w:r>
      <w:r>
        <w:t xml:space="preserve">, </w:t>
      </w:r>
      <w:r>
        <w:rPr>
          <w:rFonts w:ascii="Consolas" w:hAnsi="Consolas"/>
          <w:color w:val="B42828"/>
          <w:sz w:val="18"/>
        </w:rPr>
        <w:t>ISO 27001</w:t>
      </w:r>
      <w:r>
        <w:t xml:space="preserve">, </w:t>
      </w:r>
      <w:r>
        <w:rPr>
          <w:rFonts w:ascii="Consolas" w:hAnsi="Consolas"/>
          <w:color w:val="B42828"/>
          <w:sz w:val="18"/>
        </w:rPr>
        <w:t>GDPR</w:t>
      </w:r>
      <w:r>
        <w:t xml:space="preserve">, </w:t>
      </w:r>
      <w:r>
        <w:rPr>
          <w:rFonts w:ascii="Consolas" w:hAnsi="Consolas"/>
          <w:color w:val="B42828"/>
          <w:sz w:val="18"/>
        </w:rPr>
        <w:t>HIPAA</w:t>
      </w:r>
      <w:r>
        <w:t xml:space="preserve">, </w:t>
      </w:r>
      <w:r>
        <w:rPr>
          <w:rFonts w:ascii="Consolas" w:hAnsi="Consolas"/>
          <w:color w:val="B42828"/>
          <w:sz w:val="18"/>
        </w:rPr>
        <w:t>PCI-DSS</w:t>
      </w:r>
      <w:r>
        <w:t>).</w:t>
      </w:r>
    </w:p>
    <w:p>
      <w:pPr>
        <w:spacing w:before="80" w:after="80"/>
      </w:pPr>
      <w:r>
        <w:rPr>
          <w:color w:val="D2D2D7"/>
        </w:rPr>
        <w:t>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Calibri" w:hAnsi="Calibri"/>
          <w:b/>
          <w:color w:val="282828"/>
          <w:sz w:val="24"/>
        </w:rPr>
        <w:t>3.3 Technique 3: Deterministic Mandatory Risk Gating Heuristic</w:t>
      </w:r>
    </w:p>
    <w:p>
      <w:pPr>
        <w:spacing w:before="40" w:after="80"/>
      </w:pPr>
      <w:r>
        <w:t>The platform enforces a mandatory safety gate across 4 non-negotiable pillars: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b/>
                <w:color w:val="0071E3"/>
                <w:sz w:val="17"/>
              </w:rPr>
              <w:t>[MERMAID]</w:t>
              <w:br/>
            </w:r>
            <w:r>
              <w:rPr>
                <w:rFonts w:ascii="Consolas" w:hAnsi="Consolas"/>
                <w:color w:val="282828"/>
                <w:sz w:val="17"/>
              </w:rPr>
              <w:t>flowchart TD</w:t>
              <w:br/>
              <w:t xml:space="preserve">    P1["Legal Pillar (Weight: 25%)"] --&gt; Audit{"Audit Corpus for: Sanction, Fraud, Antitrust, Ban"}</w:t>
              <w:br/>
              <w:t xml:space="preserve">    P2["Compliance Pillar (Weight: 25%)"] --&gt; Audit2{"Audit for: SOC 2, ISO 27001, GDPR, FedRAMP"}</w:t>
              <w:br/>
              <w:t xml:space="preserve">    P3["Financial Pillar (Weight: 25%)"] --&gt; Audit3{"Audit for: Series A+, Public, ARR &gt;= \$10M, Solvency"}</w:t>
              <w:br/>
              <w:t xml:space="preserve">    P4["Safety Pillar (Weight: 25%)"] --&gt; Audit4{"Audit for: Zero-Day, Ransomware, Critical Breach"}</w:t>
              <w:br/>
              <w:br/>
              <w:t xml:space="preserve">    Audit --&gt;|Violation| Block["Gate Verdict = FAIL\nQualification = DISQUALIFIED"]</w:t>
              <w:br/>
              <w:t xml:space="preserve">    Audit2 --&gt;|Missing Baseline| Block</w:t>
              <w:br/>
              <w:t xml:space="preserve">    Audit3 --&gt;|Insolvent / Pre-Seed| Block</w:t>
              <w:br/>
              <w:t xml:space="preserve">    Audit4 --&gt;|Unmitigated Breach| Block</w:t>
              <w:br/>
              <w:t xml:space="preserve">    Audit &amp; Audit2 &amp; Audit3 &amp; Audit4 --&gt;|All Clean| Pass["Gate Verdict = PASS\nQualification = QUALIFIED"]</w:t>
            </w:r>
          </w:p>
        </w:tc>
      </w:tr>
    </w:tbl>
    <w:p/>
    <w:p>
      <w:pPr>
        <w:spacing w:before="40" w:after="80"/>
      </w:pPr>
      <w:r>
        <w:t>Composite Risk Index Formula:</w:t>
      </w:r>
    </w:p>
    <w:p>
      <w:pPr>
        <w:spacing w:before="40" w:after="80"/>
      </w:pPr>
      <w:r>
        <w:rPr>
          <w:rFonts w:ascii="Cambria Math" w:hAnsi="Cambria Math"/>
          <w:i/>
          <w:color w:val="0050A0"/>
        </w:rPr>
        <w:t>\text{RiskScore}_{\text{composite}} = \frac{S_{\text{legal}} + S_{\text{financial}} + S_{\text{compliance}} + S_{\text{safety}}}{4}</w:t>
      </w:r>
    </w:p>
    <w:p>
      <w:pPr>
        <w:spacing w:before="40" w:after="80"/>
      </w:pPr>
      <w:r>
        <w:rPr>
          <w:rFonts w:ascii="Cambria Math" w:hAnsi="Cambria Math"/>
          <w:i/>
          <w:color w:val="0050A0"/>
        </w:rPr>
        <w:t>\text{Status} = \begin{cases} \text{FAIL (DISQUALIFIED)} &amp; \text{if any mandatory critical rule fails} \\ \text{CONDITIONAL\_PASS} &amp; \text{if all mandatory rules pass but } \text{RiskScore} &lt; 70 \\ \text{PASS (QUALIFIED)} &amp; \text{if all mandatory rules pass and } \text{RiskScore} \ge 70 \end{cases}</w:t>
      </w:r>
    </w:p>
    <w:p>
      <w:pPr>
        <w:spacing w:before="80" w:after="80"/>
      </w:pPr>
      <w:r>
        <w:rPr>
          <w:color w:val="D2D2D7"/>
        </w:rPr>
        <w:t>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Calibri" w:hAnsi="Calibri"/>
          <w:b/>
          <w:color w:val="282828"/>
          <w:sz w:val="24"/>
        </w:rPr>
        <w:t>3.4 Technique 4: Multi-Criteria Mathematical Fit Scoring (MCDM)</w:t>
      </w:r>
    </w:p>
    <w:p>
      <w:pPr>
        <w:spacing w:before="40" w:after="80"/>
      </w:pPr>
      <w:r>
        <w:t>The platform evaluates candidate companies across three strategic dimensions on a 0 to 100 normalized scale:</w:t>
      </w:r>
    </w:p>
    <w:p>
      <w:pPr>
        <w:pStyle w:val="ListNumber"/>
        <w:spacing w:before="20" w:after="40"/>
      </w:pPr>
      <w:r>
        <w:rPr>
          <w:b/>
        </w:rPr>
        <w:t>Strategic Fit Formula ($S_{\text{strategic}}$):</w:t>
      </w:r>
    </w:p>
    <w:p>
      <w:pPr>
        <w:spacing w:before="40" w:after="80"/>
      </w:pPr>
      <w:r>
        <w:t xml:space="preserve">   </w:t>
      </w:r>
      <w:r>
        <w:rPr>
          <w:rFonts w:ascii="Cambria Math" w:hAnsi="Cambria Math"/>
          <w:i/>
          <w:color w:val="0050A0"/>
        </w:rPr>
        <w:t>S_{\text{strategic}} = B_{\text{strategic}} + M_{\text{scale}} + M_{\text{integration}}</w:t>
      </w:r>
    </w:p>
    <w:p>
      <w:pPr>
        <w:pStyle w:val="ListBullet"/>
        <w:spacing w:before="20" w:after="40"/>
      </w:pPr>
      <w:r>
        <w:rPr>
          <w:rFonts w:ascii="Cambria Math" w:hAnsi="Cambria Math"/>
          <w:i/>
          <w:color w:val="0050A0"/>
        </w:rPr>
        <w:t>B_{\text{strategic}} = 75</w:t>
      </w:r>
      <w:r>
        <w:t xml:space="preserve"> (Baseline qualification)</w:t>
      </w:r>
    </w:p>
    <w:p>
      <w:pPr>
        <w:pStyle w:val="ListBullet"/>
        <w:spacing w:before="20" w:after="40"/>
      </w:pPr>
      <w:r>
        <w:rPr>
          <w:rFonts w:ascii="Cambria Math" w:hAnsi="Cambria Math"/>
          <w:i/>
          <w:color w:val="0050A0"/>
        </w:rPr>
        <w:t>M_{\text{scale}} = +12</w:t>
      </w:r>
      <w:r>
        <w:t xml:space="preserve"> if enterprise public/growth stage, else </w:t>
      </w:r>
      <w:r>
        <w:rPr>
          <w:rFonts w:ascii="Cambria Math" w:hAnsi="Cambria Math"/>
          <w:i/>
          <w:color w:val="0050A0"/>
        </w:rPr>
        <w:t>+5</w:t>
      </w:r>
    </w:p>
    <w:p>
      <w:pPr>
        <w:pStyle w:val="ListBullet"/>
        <w:spacing w:before="20" w:after="40"/>
      </w:pPr>
      <w:r>
        <w:rPr>
          <w:rFonts w:ascii="Cambria Math" w:hAnsi="Cambria Math"/>
          <w:i/>
          <w:color w:val="0050A0"/>
        </w:rPr>
        <w:t>M_{\text{integration}} = \min(10, \text{len}(\text{integrations}) \times 2)</w:t>
      </w:r>
    </w:p>
    <w:p>
      <w:pPr>
        <w:pStyle w:val="ListBullet"/>
        <w:spacing w:before="20" w:after="40"/>
      </w:pPr>
      <w:r>
        <w:t xml:space="preserve">Clamped to </w:t>
      </w:r>
      <w:r>
        <w:rPr>
          <w:rFonts w:ascii="Cambria Math" w:hAnsi="Cambria Math"/>
          <w:i/>
          <w:color w:val="0050A0"/>
        </w:rPr>
        <w:t>[0, 100]</w:t>
      </w:r>
      <w:r>
        <w:t>.</w:t>
      </w:r>
    </w:p>
    <w:p>
      <w:pPr>
        <w:pStyle w:val="ListNumber"/>
        <w:spacing w:before="20" w:after="40"/>
      </w:pPr>
      <w:r>
        <w:rPr>
          <w:b/>
        </w:rPr>
        <w:t>Technical Compatibility Formula ($S_{\text{technical}}$):</w:t>
      </w:r>
    </w:p>
    <w:p>
      <w:pPr>
        <w:spacing w:before="40" w:after="80"/>
      </w:pPr>
      <w:r>
        <w:t xml:space="preserve">   </w:t>
      </w:r>
      <w:r>
        <w:rPr>
          <w:rFonts w:ascii="Cambria Math" w:hAnsi="Cambria Math"/>
          <w:i/>
          <w:color w:val="0050A0"/>
        </w:rPr>
        <w:t>S_{\text{technical}} = \min\left(100, (\text{len}(\text{APIs}) \times 12) + (\text{len}(\text{SDKs}) \times 6) + (\text{len}(\text{Cloud}) \times 8) + (\text{len}(\text{SecurityFeatures}) \times 10)\right)</w:t>
      </w:r>
    </w:p>
    <w:p>
      <w:pPr>
        <w:pStyle w:val="ListNumber"/>
        <w:spacing w:before="20" w:after="40"/>
      </w:pPr>
      <w:r>
        <w:rPr>
          <w:b/>
        </w:rPr>
        <w:t>Market Presence Formula ($S_{\text{market}}$):</w:t>
      </w:r>
    </w:p>
    <w:p>
      <w:pPr>
        <w:spacing w:before="40" w:after="80"/>
      </w:pPr>
      <w:r>
        <w:t xml:space="preserve">   </w:t>
      </w:r>
      <w:r>
        <w:rPr>
          <w:rFonts w:ascii="Cambria Math" w:hAnsi="Cambria Math"/>
          <w:i/>
          <w:color w:val="0050A0"/>
        </w:rPr>
        <w:t>S_{\text{market}} = \min\left(100, \text{RatingPoints} + \text{HeadcountPoints} + \text{PublicBonus}\right)</w:t>
      </w:r>
    </w:p>
    <w:p>
      <w:pPr>
        <w:pStyle w:val="ListBullet"/>
        <w:spacing w:before="20" w:after="40"/>
      </w:pPr>
      <w:r>
        <w:rPr>
          <w:rFonts w:ascii="Cambria Math" w:hAnsi="Cambria Math"/>
          <w:i/>
          <w:color w:val="0050A0"/>
        </w:rPr>
        <w:t>\text{RatingPoints} = (\text{GlassdoorRating} / 5.0) \times 40</w:t>
      </w:r>
    </w:p>
    <w:p>
      <w:pPr>
        <w:pStyle w:val="ListBullet"/>
        <w:spacing w:before="20" w:after="40"/>
      </w:pPr>
      <w:r>
        <w:rPr>
          <w:rFonts w:ascii="Cambria Math" w:hAnsi="Cambria Math"/>
          <w:i/>
          <w:color w:val="0050A0"/>
        </w:rPr>
        <w:t>\text{HeadcountPoints} = 35</w:t>
      </w:r>
      <w:r>
        <w:t xml:space="preserve"> (if headcount </w:t>
      </w:r>
      <w:r>
        <w:rPr>
          <w:rFonts w:ascii="Cambria Math" w:hAnsi="Cambria Math"/>
          <w:i/>
          <w:color w:val="0050A0"/>
        </w:rPr>
        <w:t>\ge 1,000</w:t>
      </w:r>
      <w:r>
        <w:t xml:space="preserve">), </w:t>
      </w:r>
      <w:r>
        <w:rPr>
          <w:rFonts w:ascii="Cambria Math" w:hAnsi="Cambria Math"/>
          <w:i/>
          <w:color w:val="0050A0"/>
        </w:rPr>
        <w:t>25</w:t>
      </w:r>
      <w:r>
        <w:t xml:space="preserve"> (if </w:t>
      </w:r>
      <w:r>
        <w:rPr>
          <w:rFonts w:ascii="Cambria Math" w:hAnsi="Cambria Math"/>
          <w:i/>
          <w:color w:val="0050A0"/>
        </w:rPr>
        <w:t>\ge 250</w:t>
      </w:r>
      <w:r>
        <w:t xml:space="preserve">), </w:t>
      </w:r>
      <w:r>
        <w:rPr>
          <w:rFonts w:ascii="Cambria Math" w:hAnsi="Cambria Math"/>
          <w:i/>
          <w:color w:val="0050A0"/>
        </w:rPr>
        <w:t>15</w:t>
      </w:r>
      <w:r>
        <w:t xml:space="preserve"> otherwise</w:t>
      </w:r>
    </w:p>
    <w:p>
      <w:pPr>
        <w:pStyle w:val="ListBullet"/>
        <w:spacing w:before="20" w:after="40"/>
      </w:pPr>
      <w:r>
        <w:rPr>
          <w:rFonts w:ascii="Cambria Math" w:hAnsi="Cambria Math"/>
          <w:i/>
          <w:color w:val="0050A0"/>
        </w:rPr>
        <w:t>\text{PublicBonus} = 25</w:t>
      </w:r>
      <w:r>
        <w:t xml:space="preserve"> if Public/IPO, </w:t>
      </w:r>
      <w:r>
        <w:rPr>
          <w:rFonts w:ascii="Cambria Math" w:hAnsi="Cambria Math"/>
          <w:i/>
          <w:color w:val="0050A0"/>
        </w:rPr>
        <w:t>20</w:t>
      </w:r>
      <w:r>
        <w:t xml:space="preserve"> if Growth Stage, </w:t>
      </w:r>
      <w:r>
        <w:rPr>
          <w:rFonts w:ascii="Cambria Math" w:hAnsi="Cambria Math"/>
          <w:i/>
          <w:color w:val="0050A0"/>
        </w:rPr>
        <w:t>10</w:t>
      </w:r>
      <w:r>
        <w:t xml:space="preserve"> otherwise.</w:t>
      </w:r>
    </w:p>
    <w:p>
      <w:pPr>
        <w:pStyle w:val="ListNumber"/>
        <w:spacing w:before="20" w:after="40"/>
      </w:pPr>
      <w:r>
        <w:rPr>
          <w:b/>
        </w:rPr>
        <w:t>Dynamic Normalization &amp; Weighted Sum:</w:t>
      </w:r>
    </w:p>
    <w:p>
      <w:pPr>
        <w:spacing w:before="40" w:after="80"/>
      </w:pPr>
      <w:r>
        <w:t xml:space="preserve">   Given user-defined weights </w:t>
      </w:r>
      <w:r>
        <w:rPr>
          <w:rFonts w:ascii="Cambria Math" w:hAnsi="Cambria Math"/>
          <w:i/>
          <w:color w:val="0050A0"/>
        </w:rPr>
        <w:t>(w_{\text{strategic}}, w_{\text{technical}}, w_{\text{market}})</w:t>
      </w:r>
      <w:r>
        <w:t>:</w:t>
      </w:r>
    </w:p>
    <w:p>
      <w:pPr>
        <w:spacing w:before="40" w:after="80"/>
      </w:pPr>
      <w:r>
        <w:t xml:space="preserve">   </w:t>
      </w:r>
      <w:r>
        <w:rPr>
          <w:rFonts w:ascii="Cambria Math" w:hAnsi="Cambria Math"/>
          <w:i/>
          <w:color w:val="0050A0"/>
        </w:rPr>
        <w:t>W_{\text{total}} = w_s + w_t + w_m</w:t>
      </w:r>
    </w:p>
    <w:p>
      <w:pPr>
        <w:spacing w:before="40" w:after="80"/>
      </w:pPr>
      <w:r>
        <w:t xml:space="preserve">   </w:t>
      </w:r>
      <w:r>
        <w:rPr>
          <w:rFonts w:ascii="Cambria Math" w:hAnsi="Cambria Math"/>
          <w:i/>
          <w:color w:val="0050A0"/>
        </w:rPr>
        <w:t>w'_s = \frac{w_s}{W_{\text{total}}}, \quad w'_t = \frac{w_t}{W_{\text{total}}}, \quad w'_m = \frac{w_m}{W_{\text{total}}}</w:t>
      </w:r>
    </w:p>
    <w:p>
      <w:pPr>
        <w:spacing w:before="40" w:after="80"/>
      </w:pPr>
      <w:r>
        <w:t xml:space="preserve">   </w:t>
      </w:r>
      <w:r>
        <w:rPr>
          <w:rFonts w:ascii="Cambria Math" w:hAnsi="Cambria Math"/>
          <w:i/>
          <w:color w:val="0050A0"/>
        </w:rPr>
        <w:t>S_{\text{weighted}} = (w'_s \cdot S_{\text{strategic}}) + (w'_t \cdot S_{\text{technical}}) + (w'_m \cdot S_{\text{market}})</w:t>
      </w:r>
    </w:p>
    <w:p>
      <w:pPr>
        <w:pStyle w:val="ListNumber"/>
        <w:spacing w:before="20" w:after="40"/>
      </w:pPr>
      <w:r>
        <w:rPr>
          <w:b/>
        </w:rPr>
        <w:t>Gating Disqualification Penalty:</w:t>
      </w:r>
    </w:p>
    <w:p>
      <w:pPr>
        <w:spacing w:before="40" w:after="80"/>
      </w:pPr>
      <w:r>
        <w:t xml:space="preserve">   </w:t>
      </w:r>
      <w:r>
        <w:rPr>
          <w:rFonts w:ascii="Cambria Math" w:hAnsi="Cambria Math"/>
          <w:i/>
          <w:color w:val="0050A0"/>
        </w:rPr>
        <w:t>\text{FinalScore} = \begin{cases} S_{\text{weighted}} &amp; \text{if Gating Status} \neq \text{"FAIL"} \\ S_{\text{weighted}} \times 0.20 &amp; \text{if Gating Status} = \text{"FAIL"} \quad (\text{Disqualified Floor}) \end{cases}</w:t>
      </w:r>
    </w:p>
    <w:p>
      <w:pPr>
        <w:spacing w:before="80" w:after="80"/>
      </w:pPr>
      <w:r>
        <w:rPr>
          <w:color w:val="D2D2D7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Calibri" w:hAnsi="Calibri"/>
          <w:b/>
          <w:color w:val="0066CC"/>
          <w:sz w:val="28"/>
        </w:rPr>
        <w:t>4. Expected Output Specification</w:t>
      </w:r>
    </w:p>
    <w:p>
      <w:pPr>
        <w:spacing w:before="200" w:after="60"/>
      </w:pPr>
      <w:r>
        <w:rPr>
          <w:rFonts w:ascii="Calibri" w:hAnsi="Calibri"/>
          <w:b/>
          <w:color w:val="282828"/>
          <w:sz w:val="24"/>
        </w:rPr>
        <w:t>4.1 Company Discovery &amp; Extraction API Output (`POST /api/companies/analyze`)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b/>
                <w:color w:val="0071E3"/>
                <w:sz w:val="17"/>
              </w:rPr>
              <w:t>[JSON]</w:t>
              <w:br/>
            </w: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"id": "comp_cloudflare_com",</w:t>
              <w:br/>
              <w:t xml:space="preserve">  "name": "Cloudflare",</w:t>
              <w:br/>
              <w:t xml:space="preserve">  "domain": "cloudflare.com",</w:t>
              <w:br/>
              <w:t xml:space="preserve">  "industry": "Edge Cloud &amp; Cybersecurity",</w:t>
              <w:br/>
              <w:t xml:space="preserve">  "founding_year": 2009,</w:t>
              <w:br/>
              <w:t xml:space="preserve">  "founders": "Matthew Prince, Lee Holloway, and Michelle Zatlyn",</w:t>
              <w:br/>
              <w:t xml:space="preserve">  "employee_count": "3,000+ Employees",</w:t>
              <w:br/>
              <w:t xml:space="preserve">  "employee_rating": "4.2 / 5.0 (Glassdoor)",</w:t>
              <w:br/>
              <w:t xml:space="preserve">  "funding_stage": "Public Entity (NYSE: NET)",</w:t>
              <w:br/>
              <w:t xml:space="preserve">  "estimated_revenue": "$1.3B+ Annual Revenue",</w:t>
              <w:br/>
              <w:t xml:space="preserve">  "tech_stack": {</w:t>
              <w:br/>
              <w:t xml:space="preserve">    "cloud_platforms": ["Cloudflare Workers", "AWS", "GCP"],</w:t>
              <w:br/>
              <w:t xml:space="preserve">    "api_types": ["REST API", "GraphQL", "Webhooks", "gRPC"],</w:t>
              <w:br/>
              <w:t xml:space="preserve">    "sdks": ["JavaScript", "Python", "Go", "Rust"],</w:t>
              <w:br/>
              <w:t xml:space="preserve">    "security_features": ["SOC 2 Type II", "ISO 27001", "PCI-DSS Level 1", "GDPR"]</w:t>
              <w:br/>
              <w:t xml:space="preserve">  },</w:t>
              <w:br/>
              <w:t xml:space="preserve">  "evidence_sources": [</w:t>
              <w:br/>
              <w:t xml:space="preserve">    {</w:t>
              <w:br/>
              <w:t xml:space="preserve">      "id": "ev_0a8b9c1d",</w:t>
              <w:br/>
              <w:t xml:space="preserve">      "source_url": "https://cloudflare.com/security",</w:t>
              <w:br/>
              <w:t xml:space="preserve">      "source_title": "Cloudflare Trust &amp; Security Architecture",</w:t>
              <w:br/>
              <w:t xml:space="preserve">      "category": "compliance",</w:t>
              <w:br/>
              <w:t xml:space="preserve">      "snippet": "Maintains global SOC 2 Type II, ISO 27001 certification, and full GDPR alignment across 300+ PoPs.",</w:t>
              <w:br/>
              <w:t xml:space="preserve">      "confidence": 0.99,</w:t>
              <w:br/>
              <w:t xml:space="preserve">      "timestamp": "2026-10-26T14:26:00.000Z"</w:t>
              <w:br/>
              <w:t xml:space="preserve">    }</w:t>
              <w:br/>
              <w:t xml:space="preserve">  ],</w:t>
              <w:br/>
              <w:t xml:space="preserve">  "created_at": "2026-10-26T14:26:01.000Z"</w:t>
              <w:br/>
              <w:t>}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82828"/>
          <w:sz w:val="24"/>
        </w:rPr>
        <w:t>4.2 Mandatory Risk Evaluation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b/>
                <w:color w:val="0071E3"/>
                <w:sz w:val="17"/>
              </w:rPr>
              <w:t>[JSON]</w:t>
              <w:br/>
            </w: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"company_id": "comp_cloudflare_com",</w:t>
              <w:br/>
              <w:t xml:space="preserve">  "company_name": "Cloudflare",</w:t>
              <w:br/>
              <w:t xml:space="preserve">  "evaluated_at": "2026-10-26T14:26:02.000Z",</w:t>
              <w:br/>
              <w:t xml:space="preserve">  "gating_status": "PASS",</w:t>
              <w:br/>
              <w:t xml:space="preserve">  "qualification_status": "QUALIFIED",</w:t>
              <w:br/>
              <w:t xml:space="preserve">  "composite_risk_score": 92.5,</w:t>
              <w:br/>
              <w:t xml:space="preserve">  "gate_verdict_message": "All mandatory risk gates passed successfully. Candidate verified and safe for partnership.",</w:t>
              <w:br/>
              <w:t xml:space="preserve">  "pillars": {</w:t>
              <w:br/>
              <w:t xml:space="preserve">    "legal": {"status": "PASS", "score": 95.0, "summary": "Clean international regulatory profile; no active sanctions or prohibitive anti-trust decrees."},</w:t>
              <w:br/>
              <w:t xml:space="preserve">    "compliance": {"status": "PASS", "score": 95.0, "summary": "Enterprise compliance verified (SOC 2, ISO 27001, GDPR active)."},</w:t>
              <w:br/>
              <w:t xml:space="preserve">    "financial": {"status": "PASS", "score": 90.0, "summary": "Institutional solvency verified; strong annual revenue runway."},</w:t>
              <w:br/>
              <w:t xml:space="preserve">    "safety": {"status": "PASS", "score": 90.0, "summary": "Robust zero-trust posture with no active zero-day compromises."}</w:t>
              <w:br/>
              <w:t xml:space="preserve">  },</w:t>
              <w:br/>
              <w:t xml:space="preserve">  "mandatory_rules_passed": 4,</w:t>
              <w:br/>
              <w:t xml:space="preserve">  "mandatory_rules_total": 4</w:t>
              <w:br/>
              <w:t>}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82828"/>
          <w:sz w:val="24"/>
        </w:rPr>
        <w:t>4.3 Executive Decision Matrix Output (`POST /api/matrix`)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b/>
                <w:color w:val="0071E3"/>
                <w:sz w:val="17"/>
              </w:rPr>
              <w:t>[JSON]</w:t>
              <w:br/>
            </w:r>
            <w:r>
              <w:rPr>
                <w:rFonts w:ascii="Consolas" w:hAnsi="Consolas"/>
                <w:color w:val="282828"/>
                <w:sz w:val="17"/>
              </w:rPr>
              <w:t>{</w:t>
              <w:br/>
              <w:t xml:space="preserve">  "matrix_timestamp": "2026-10-26T14:27:00.000Z",</w:t>
              <w:br/>
              <w:t xml:space="preserve">  "weights_applied": {"strategic": 35.0, "technical": 40.0, "market": 25.0},</w:t>
              <w:br/>
              <w:t xml:space="preserve">  "total_candidates": 7,</w:t>
              <w:br/>
              <w:t xml:space="preserve">  "candidates": [</w:t>
              <w:br/>
              <w:t xml:space="preserve">    {</w:t>
              <w:br/>
              <w:t xml:space="preserve">      "rank": 1,</w:t>
              <w:br/>
              <w:t xml:space="preserve">      "company_id": "comp_cloudflare_com",</w:t>
              <w:br/>
              <w:t xml:space="preserve">      "company_name": "Cloudflare",</w:t>
              <w:br/>
              <w:t xml:space="preserve">      "domain": "cloudflare.com",</w:t>
              <w:br/>
              <w:t xml:space="preserve">      "qualification_status": "QUALIFIED",</w:t>
              <w:br/>
              <w:t xml:space="preserve">      "gating_status": "PASS",</w:t>
              <w:br/>
              <w:t xml:space="preserve">      "strategic_score": 94.0,</w:t>
              <w:br/>
              <w:t xml:space="preserve">      "technical_score": 96.0,</w:t>
              <w:br/>
              <w:t xml:space="preserve">      "market_score": 92.0,</w:t>
              <w:br/>
              <w:t xml:space="preserve">      "weighted_fit_score": 94.3,</w:t>
              <w:br/>
              <w:t xml:space="preserve">      "recommendation_badge": "TOP_RECOMMENDED"</w:t>
              <w:br/>
              <w:t xml:space="preserve">    }</w:t>
              <w:br/>
              <w:t xml:space="preserve">  ],</w:t>
              <w:br/>
              <w:t xml:space="preserve">  "executive_summary": {</w:t>
              <w:br/>
              <w:t xml:space="preserve">    "top_recommendation": "Cloudflare",</w:t>
              <w:br/>
              <w:t xml:space="preserve">    "top_score": 94.3,</w:t>
              <w:br/>
              <w:t xml:space="preserve">    "technical_leader": "Cloudflare",</w:t>
              <w:br/>
              <w:t xml:space="preserve">    "strategic_leader": "Cloudflare",</w:t>
              <w:br/>
              <w:t xml:space="preserve">    "market_leader": "Stripe",</w:t>
              <w:br/>
              <w:t xml:space="preserve">    "disqualified_count": 0</w:t>
              <w:br/>
              <w:t xml:space="preserve">  }</w:t>
              <w:br/>
              <w:t>}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282828"/>
          <w:sz w:val="24"/>
        </w:rPr>
        <w:t>4.4 Board-Ready Partnership Memo Output (`POST /api/companies/{id}/memo`)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b/>
                <w:color w:val="0071E3"/>
                <w:sz w:val="17"/>
              </w:rPr>
              <w:t>[TEXT]</w:t>
              <w:br/>
            </w:r>
            <w:r>
              <w:rPr>
                <w:rFonts w:ascii="Consolas" w:hAnsi="Consolas"/>
                <w:color w:val="282828"/>
                <w:sz w:val="17"/>
              </w:rPr>
              <w:t>================================================================================</w:t>
              <w:br/>
              <w:t>EXECUTIVE PARTNERSHIP MEMORANDUM &amp; BOARD DOSSIER</w:t>
              <w:br/>
              <w:t>CONFIDENTIAL // FOR INTERNAL EXECUTIVE REVIEW ONLY</w:t>
              <w:br/>
              <w:t>================================================================================</w:t>
              <w:br/>
              <w:br/>
              <w:t>DATE: October 26, 2026</w:t>
              <w:br/>
              <w:t>SUBJECT: Partnership Qualification &amp; Strategic Fit Review: Cloudflare</w:t>
              <w:br/>
              <w:t>QUALIFICATION VERDICT: QUALIFIED (MANDATORY RISK GATES: PASSED)</w:t>
              <w:br/>
              <w:t>OVERALL PARTNERSHIP FIT SCORE: 94.3 / 100.0 (TOP_RECOMMENDED)</w:t>
              <w:br/>
              <w:br/>
              <w:t>1. EXECUTIVE SUMMARY &amp; STRATEGIC RATIONALE</w:t>
              <w:br/>
              <w:t>Cloudflare represents an elite tier technology partnership candidate.</w:t>
              <w:br/>
              <w:t>With enterprise scale ($1.3B+ Annual Revenue) and leading global infrastructure,</w:t>
              <w:br/>
              <w:t>the candidate exceeds all strategic partnership benchmarks.</w:t>
              <w:br/>
              <w:br/>
              <w:t>2. MANDATORY RISK AUDIT &amp; COMPLIANCE POSTURE</w:t>
              <w:br/>
              <w:t>- Legal Pillar: Clean international compliance posture.</w:t>
              <w:br/>
              <w:t>- Compliance Pillar: SOC 2 Type II, ISO 27001, and GDPR verified.</w:t>
              <w:br/>
              <w:t>- Financial Pillar: Public institutional solvency (NYSE: NET).</w:t>
              <w:br/>
              <w:t>- Information Security: Clean zero-trust posture with verified perimeter controls.</w:t>
              <w:br/>
              <w:br/>
              <w:t>3. TECHNICAL SYNERGY &amp; ARCHITECTURAL INTEROPERABILITY</w:t>
              <w:br/>
              <w:t>- Primary Cloud Architecture: Cloudflare Workers, AWS, GCP</w:t>
              <w:br/>
              <w:t>- Interoperability Interfaces: REST API, GraphQL, Webhooks, gRPC</w:t>
              <w:br/>
              <w:t>- Supported Languages &amp; SDKs: JavaScript, Python, Go, Rust</w:t>
              <w:br/>
              <w:br/>
              <w:t>4. BOARD RECOMMENDATION</w:t>
              <w:br/>
              <w:t>Proceed immediately with formal Tier-1 joint integration and bilateral commercial contract execution.</w:t>
            </w:r>
          </w:p>
        </w:tc>
      </w:tr>
    </w:tbl>
    <w:p/>
    <w:p>
      <w:pPr>
        <w:spacing w:before="80" w:after="80"/>
      </w:pPr>
      <w:r>
        <w:rPr>
          <w:color w:val="D2D2D7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Calibri" w:hAnsi="Calibri"/>
          <w:b/>
          <w:color w:val="0066CC"/>
          <w:sz w:val="28"/>
        </w:rPr>
        <w:t>5. References</w:t>
      </w:r>
    </w:p>
    <w:p>
      <w:pPr>
        <w:pStyle w:val="ListNumber"/>
        <w:spacing w:before="20" w:after="40"/>
      </w:pPr>
      <w:r>
        <w:rPr>
          <w:b/>
        </w:rPr>
        <w:t>Multi-Criteria Decision-Making (MCDM) &amp; Analytical Hierarchy Process (AHP)</w:t>
      </w:r>
    </w:p>
    <w:p>
      <w:pPr>
        <w:pStyle w:val="ListBullet"/>
        <w:spacing w:before="20" w:after="40"/>
      </w:pPr>
      <w:r>
        <w:t xml:space="preserve">Saaty, T. L. (1987). </w:t>
      </w:r>
      <w:r>
        <w:rPr>
          <w:i/>
        </w:rPr>
        <w:t>The Analytic Hierarchy Process—What it is and how it is used</w:t>
      </w:r>
      <w:r>
        <w:t>. Mathematical Modelling, 9(3-5), 161–176.</w:t>
      </w:r>
    </w:p>
    <w:p>
      <w:pPr>
        <w:pStyle w:val="ListBullet"/>
        <w:spacing w:before="20" w:after="40"/>
      </w:pPr>
      <w:r>
        <w:t xml:space="preserve">Hwang, C. L., &amp; Yoon, K. (1981). </w:t>
      </w:r>
      <w:r>
        <w:rPr>
          <w:i/>
        </w:rPr>
        <w:t>Multiple Attribute Decision Making: Methods and Applications</w:t>
      </w:r>
      <w:r>
        <w:t>. Springer-Verlag.</w:t>
      </w:r>
    </w:p>
    <w:p>
      <w:pPr>
        <w:pStyle w:val="ListNumber"/>
        <w:spacing w:before="20" w:after="40"/>
      </w:pPr>
      <w:r>
        <w:rPr>
          <w:b/>
        </w:rPr>
        <w:t>Information Extraction &amp; NLP Methodologies</w:t>
      </w:r>
    </w:p>
    <w:p>
      <w:pPr>
        <w:pStyle w:val="ListBullet"/>
        <w:spacing w:before="20" w:after="40"/>
      </w:pPr>
      <w:r>
        <w:t xml:space="preserve">Jurafsky, D., &amp; Martin, J. H. (2024). </w:t>
      </w:r>
      <w:r>
        <w:rPr>
          <w:i/>
        </w:rPr>
        <w:t>Speech and Language Processing: An Introduction to Natural Language Processing, Computational Linguistics, and Speech Recognition</w:t>
      </w:r>
      <w:r>
        <w:t xml:space="preserve"> (3rd ed. draft). Prentice Hall.</w:t>
      </w:r>
    </w:p>
    <w:p>
      <w:pPr>
        <w:pStyle w:val="ListNumber"/>
        <w:spacing w:before="20" w:after="40"/>
      </w:pPr>
      <w:r>
        <w:rPr>
          <w:b/>
        </w:rPr>
        <w:t>Cybersecurity &amp; Enterprise Compliance Benchmarks</w:t>
      </w:r>
    </w:p>
    <w:p>
      <w:pPr>
        <w:pStyle w:val="ListBullet"/>
        <w:spacing w:before="20" w:after="40"/>
      </w:pPr>
      <w:r>
        <w:t xml:space="preserve">National Institute of Standards and Technology (NIST). (2020). </w:t>
      </w:r>
      <w:r>
        <w:rPr>
          <w:i/>
        </w:rPr>
        <w:t>Security and Privacy Controls for Information Systems and Organizations</w:t>
      </w:r>
      <w:r>
        <w:t xml:space="preserve"> (NIST Special Publication 800-53, Rev. 5).</w:t>
      </w:r>
    </w:p>
    <w:p>
      <w:pPr>
        <w:pStyle w:val="ListBullet"/>
        <w:spacing w:before="20" w:after="40"/>
      </w:pPr>
      <w:r>
        <w:t xml:space="preserve">American Institute of Certified Public Accountants (AICPA). (2022). </w:t>
      </w:r>
      <w:r>
        <w:rPr>
          <w:i/>
        </w:rPr>
        <w:t>SOC 2® — SOC for Service Organizations: Trust Services Criteria</w:t>
      </w:r>
      <w:r>
        <w:t>.</w:t>
      </w:r>
    </w:p>
    <w:p>
      <w:pPr>
        <w:pStyle w:val="ListBullet"/>
        <w:spacing w:before="20" w:after="40"/>
      </w:pPr>
      <w:r>
        <w:t xml:space="preserve">International Organization for Standardization. (2022). </w:t>
      </w:r>
      <w:r>
        <w:rPr>
          <w:i/>
        </w:rPr>
        <w:t>Information security, cybersecurity and privacy protection — Information security management systems — Requirements</w:t>
      </w:r>
      <w:r>
        <w:t xml:space="preserve"> (ISO/IEC 27001:2022).</w:t>
      </w:r>
    </w:p>
    <w:p>
      <w:pPr>
        <w:pStyle w:val="ListBullet"/>
        <w:spacing w:before="20" w:after="40"/>
      </w:pPr>
      <w:r>
        <w:t xml:space="preserve">European Parliament and Council. (2016). </w:t>
      </w:r>
      <w:r>
        <w:rPr>
          <w:i/>
        </w:rPr>
        <w:t>Regulation (EU) 2016/679 (General Data Protection Regulation)</w:t>
      </w:r>
      <w:r>
        <w:t>.</w:t>
      </w:r>
    </w:p>
    <w:p>
      <w:pPr>
        <w:pStyle w:val="ListNumber"/>
        <w:spacing w:before="20" w:after="40"/>
      </w:pPr>
      <w:r>
        <w:rPr>
          <w:b/>
        </w:rPr>
        <w:t>Systems Architecture &amp; Asynchronous Computing Standards</w:t>
      </w:r>
    </w:p>
    <w:p>
      <w:pPr>
        <w:pStyle w:val="ListBullet"/>
        <w:spacing w:before="20" w:after="40"/>
      </w:pPr>
      <w:r>
        <w:t xml:space="preserve">Fowler, M. (2018). </w:t>
      </w:r>
      <w:r>
        <w:rPr>
          <w:i/>
        </w:rPr>
        <w:t>Patterns of Enterprise Application Architecture</w:t>
      </w:r>
      <w:r>
        <w:t>. Addison-Wesley.</w:t>
      </w:r>
    </w:p>
    <w:p>
      <w:pPr>
        <w:pStyle w:val="ListBullet"/>
        <w:spacing w:before="20" w:after="40"/>
      </w:pPr>
      <w:r>
        <w:t xml:space="preserve">Tiangolo, S. (2024). </w:t>
      </w:r>
      <w:r>
        <w:rPr>
          <w:i/>
        </w:rPr>
        <w:t>FastAPI Documentation and Asynchronous ASGI Server Standard</w:t>
      </w:r>
      <w:r>
        <w:t>. https://fastapi.tiangolo.com</w:t>
      </w:r>
    </w:p>
    <w:p>
      <w:pPr>
        <w:pStyle w:val="ListBullet"/>
        <w:spacing w:before="20" w:after="40"/>
      </w:pPr>
      <w:r>
        <w:t xml:space="preserve">Google Cloud. (2026). </w:t>
      </w:r>
      <w:r>
        <w:rPr>
          <w:i/>
        </w:rPr>
        <w:t>Google Cloud Firestore Distributed NoSQL Architecture &amp; Scalability Guide</w:t>
      </w:r>
      <w:r>
        <w:t>. https://firebase.google.com/docs/firestore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