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eader-n250"/>
    <w:p>
      <w:pPr>
        <w:pStyle w:val="Heading1"/>
      </w:pPr>
      <w:r>
        <w:t xml:space="preserve">Export ddPCR data</w:t>
      </w:r>
    </w:p>
    <w:p>
      <w:pPr>
        <w:pStyle w:val="FirstParagraph"/>
      </w:pPr>
      <w:r>
        <w:t xml:space="preserve">Adelaide Roguet 3-25-21</w:t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This workflow describes how to transfer raw ddPCR data from GLGC's computer to the shared SARS-CoV-2 folder located on OneDrive.</w:t>
      </w:r>
    </w:p>
    <w:p>
      <w:pPr>
        <w:pStyle w:val="BodyText"/>
      </w:pPr>
      <w:r>
        <w:t xml:space="preserve">It describes: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How to export the raw ddPCR (amplitude and cluster) data on your USB key</w:t>
      </w:r>
    </w:p>
    <w:p>
      <w:pPr>
        <w:numPr>
          <w:ilvl w:val="0"/>
          <w:numId w:val="1001"/>
        </w:numPr>
      </w:pPr>
      <w:r>
        <w:t xml:space="preserve">How to export the metadata on your USB keep</w:t>
      </w:r>
    </w:p>
    <w:p>
      <w:pPr>
        <w:numPr>
          <w:ilvl w:val="0"/>
          <w:numId w:val="1001"/>
        </w:numPr>
      </w:pPr>
      <w:r>
        <w:t xml:space="preserve">How to copy the data from your USB key to OneDrive</w:t>
      </w:r>
    </w:p>
    <w:p>
      <w:pPr>
        <w:pStyle w:val="FirstParagraph"/>
      </w:pPr>
    </w:p>
    <w:p>
      <w:pPr>
        <w:pStyle w:val="BodyText"/>
      </w:pPr>
    </w:p>
    <w:bookmarkStart w:id="20" w:name="header-n265"/>
    <w:p>
      <w:pPr>
        <w:pStyle w:val="Heading3"/>
      </w:pPr>
      <w:r>
        <w:t xml:space="preserve">Export Amplitude and Cluster Data on your USB key</w:t>
      </w:r>
    </w:p>
    <w:p>
      <w:pPr>
        <w:pStyle w:val="FirstParagraph"/>
      </w:pPr>
      <w:r>
        <w:rPr>
          <w:iCs/>
          <w:i/>
        </w:rPr>
        <w:t xml:space="preserve">Computer located at the GLGC in the BioRad QX200 Droplet Digital PCR System area</w:t>
      </w:r>
    </w:p>
    <w:p>
      <w:pPr>
        <w:numPr>
          <w:ilvl w:val="0"/>
          <w:numId w:val="1002"/>
        </w:numPr>
      </w:pPr>
      <w:r>
        <w:t xml:space="preserve">Open QuantaSoft to load your run information</w:t>
      </w:r>
    </w:p>
    <w:p>
      <w:pPr>
        <w:numPr>
          <w:ilvl w:val="0"/>
          <w:numId w:val="1002"/>
        </w:numPr>
      </w:pPr>
      <w:r>
        <w:t xml:space="preserve">Load your plate results.</w:t>
      </w:r>
      <w:r>
        <w:br/>
      </w:r>
      <w:r>
        <w:t xml:space="preserve"> </w:t>
      </w:r>
      <w:r>
        <w:t xml:space="preserve">- Click on</w:t>
      </w:r>
      <w:r>
        <w:t xml:space="preserve"> </w:t>
      </w:r>
      <w:r>
        <w:rPr>
          <w:bCs/>
          <w:b/>
        </w:rPr>
        <w:t xml:space="preserve">Load</w:t>
      </w:r>
      <w:r>
        <w:t xml:space="preserve"> </w:t>
      </w:r>
      <w:r>
        <w:t xml:space="preserve">(Figure 1 #1)</w:t>
      </w:r>
      <w:r>
        <w:br/>
      </w:r>
      <w:r>
        <w:t xml:space="preserve"> </w:t>
      </w:r>
      <w:r>
        <w:t xml:space="preserve">- Select the run folder</w:t>
      </w:r>
      <w:r>
        <w:br/>
      </w:r>
      <w:r>
        <w:t xml:space="preserve"> </w:t>
      </w:r>
      <w:r>
        <w:t xml:space="preserve">- Double click on the only file that appears in the folder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rPr>
          <w:bCs/>
          <w:b/>
        </w:rPr>
        <w:t xml:space="preserve">Figure 1</w:t>
      </w:r>
    </w:p>
    <w:p>
      <w:pPr>
        <w:numPr>
          <w:ilvl w:val="0"/>
          <w:numId w:val="1003"/>
        </w:numPr>
      </w:pPr>
      <w:r>
        <w:t xml:space="preserve">If the plate was already loaded, make sure you are on the tab “Setup” (Figure 2 #1)</w:t>
      </w:r>
    </w:p>
    <w:p>
      <w:pPr>
        <w:numPr>
          <w:ilvl w:val="0"/>
          <w:numId w:val="1003"/>
        </w:numPr>
      </w:pPr>
      <w:r>
        <w:t xml:space="preserve">Click on "Option" (Figure 1 #2))</w:t>
      </w:r>
    </w:p>
    <w:p>
      <w:pPr>
        <w:numPr>
          <w:ilvl w:val="0"/>
          <w:numId w:val="1003"/>
        </w:numPr>
      </w:pPr>
      <w:r>
        <w:t xml:space="preserve">Select all the wells you want to process (Figure 2 #2)</w:t>
      </w:r>
    </w:p>
    <w:p>
      <w:pPr>
        <w:numPr>
          <w:ilvl w:val="0"/>
          <w:numId w:val="1000"/>
        </w:numPr>
        <w:pStyle w:val="BlockText"/>
      </w:pPr>
      <w:r>
        <w:t xml:space="preserve">If some wells are fillers, do not select them, it will avoid R errors later</w:t>
      </w:r>
    </w:p>
    <w:p>
      <w:pPr>
        <w:numPr>
          <w:ilvl w:val="0"/>
          <w:numId w:val="1003"/>
        </w:numPr>
      </w:pPr>
      <w:r>
        <w:t xml:space="preserve">Click on “Export Amplitude and Cluster Data” (Figure 2 #3)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rPr>
          <w:bCs/>
          <w:b/>
        </w:rPr>
        <w:t xml:space="preserve">Figure 2</w:t>
      </w:r>
    </w:p>
    <w:p>
      <w:pPr>
        <w:pStyle w:val="BodyText"/>
      </w:pPr>
    </w:p>
    <w:p>
      <w:pPr>
        <w:numPr>
          <w:ilvl w:val="0"/>
          <w:numId w:val="1004"/>
        </w:numPr>
      </w:pPr>
      <w:r>
        <w:t xml:space="preserve">While in the QuantaSoft dialog window: Create a folder on your USB key to store the ddPCR amplification data. The folder has to be named as followed: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Year</w:t>
      </w:r>
      <w:r>
        <w:t xml:space="preserve"> </w:t>
      </w:r>
      <w:r>
        <w:t xml:space="preserve">dash</w:t>
      </w:r>
      <w:r>
        <w:t xml:space="preserve"> </w:t>
      </w:r>
      <w:r>
        <w:rPr>
          <w:bCs/>
          <w:b/>
        </w:rPr>
        <w:t xml:space="preserve">Month</w:t>
      </w:r>
      <w:r>
        <w:t xml:space="preserve"> </w:t>
      </w:r>
      <w:r>
        <w:t xml:space="preserve">dash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t xml:space="preserve">space</w:t>
      </w:r>
      <w:r>
        <w:t xml:space="preserve"> </w:t>
      </w:r>
      <w:r>
        <w:rPr>
          <w:bCs/>
          <w:b/>
        </w:rPr>
        <w:t xml:space="preserve">Target(s)</w:t>
      </w:r>
      <w:r>
        <w:br/>
      </w:r>
      <w:r>
        <w:t xml:space="preserve">Good examples: 2021-2-23 N1N2 or 2020-12-3 N1N2</w:t>
      </w:r>
      <w:r>
        <w:br/>
      </w:r>
      <w:r>
        <w:t xml:space="preserve">Bad examples: 2021-02-23 N1N2 or 20-12-3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t xml:space="preserve">While in the QuantaSoft dialog window: Open the folder freshly created and click on “Select Folder” (Figure 2).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rPr>
          <w:bCs/>
          <w:b/>
        </w:rPr>
        <w:t xml:space="preserve">Figure 2</w:t>
      </w:r>
      <w:r>
        <w:t xml:space="preserve"> </w:t>
      </w:r>
    </w:p>
    <w:p>
      <w:pPr>
        <w:pStyle w:val="BodyText"/>
      </w:pPr>
    </w:p>
    <w:bookmarkEnd w:id="20"/>
    <w:bookmarkStart w:id="21" w:name="header-n313"/>
    <w:p>
      <w:pPr>
        <w:pStyle w:val="Heading3"/>
      </w:pPr>
      <w:r>
        <w:t xml:space="preserve">Export metadata</w:t>
      </w:r>
    </w:p>
    <w:p>
      <w:pPr>
        <w:pStyle w:val="FirstParagraph"/>
      </w:pPr>
      <w:r>
        <w:rPr>
          <w:iCs/>
          <w:i/>
        </w:rPr>
        <w:t xml:space="preserve">During the process of the ddPCR data, R will associate to each well to the sample name and the target ran. This information is stored in a .csv file located in the folder containing the run-RAW ddPCR data.</w:t>
      </w:r>
    </w:p>
    <w:p>
      <w:pPr>
        <w:numPr>
          <w:ilvl w:val="0"/>
          <w:numId w:val="1005"/>
        </w:numPr>
      </w:pPr>
      <w:r>
        <w:t xml:space="preserve">Access the folder that contains your run raw data. A shortcut should be accessible from the Desktop (Figure 3), otherwise, the pathway to access your run is:</w:t>
      </w:r>
    </w:p>
    <w:p>
      <w:pPr>
        <w:numPr>
          <w:ilvl w:val="0"/>
          <w:numId w:val="1000"/>
        </w:numPr>
        <w:pStyle w:val="BlockText"/>
      </w:pPr>
      <w:r>
        <w:t xml:space="preserve">Computer &gt; Windows7_OS (C:) &gt; QuantaLife &gt; Data &gt; YOUR RUN ID FOLDER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rPr>
          <w:bCs/>
          <w:b/>
        </w:rPr>
        <w:t xml:space="preserve">Figure 3</w:t>
      </w:r>
    </w:p>
    <w:p>
      <w:pPr>
        <w:pStyle w:val="BodyText"/>
      </w:pPr>
    </w:p>
    <w:p>
      <w:pPr>
        <w:numPr>
          <w:ilvl w:val="0"/>
          <w:numId w:val="1006"/>
        </w:numPr>
      </w:pPr>
      <w:r>
        <w:t xml:space="preserve">Locate the .csv file (Figure 4). THERE IS ONLY ONE. Copy and paste this file in your USB freshly created folder.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rPr>
          <w:bCs/>
          <w:b/>
        </w:rPr>
        <w:t xml:space="preserve">Figure 4</w:t>
      </w:r>
      <w:r>
        <w:t xml:space="preserve"> </w:t>
      </w:r>
    </w:p>
    <w:p>
      <w:pPr>
        <w:pStyle w:val="BodyText"/>
      </w:pPr>
    </w:p>
    <w:bookmarkEnd w:id="21"/>
    <w:bookmarkStart w:id="22" w:name="header-n331"/>
    <w:p>
      <w:pPr>
        <w:pStyle w:val="Heading3"/>
      </w:pPr>
      <w:r>
        <w:t xml:space="preserve">Transfer the data to the OneDrive SARS-CoV-2 folder</w:t>
      </w:r>
    </w:p>
    <w:p>
      <w:pPr>
        <w:numPr>
          <w:ilvl w:val="0"/>
          <w:numId w:val="1007"/>
        </w:numPr>
      </w:pPr>
      <w:r>
        <w:t xml:space="preserve">Copy and paste the whole folder from your USB key to the directory</w:t>
      </w:r>
      <w:r>
        <w:t xml:space="preserve"> </w:t>
      </w:r>
      <w:r>
        <w:rPr>
          <w:bCs/>
          <w:b/>
        </w:rPr>
        <w:t xml:space="preserve">ddPCR data</w:t>
      </w:r>
    </w:p>
    <w:p>
      <w:pPr>
        <w:numPr>
          <w:ilvl w:val="0"/>
          <w:numId w:val="1000"/>
        </w:numPr>
        <w:pStyle w:val="BlockText"/>
      </w:pPr>
      <w:r>
        <w:t xml:space="preserve">SARS-CoV-2 &gt; DATA &gt; ddPCR data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22"/>
    <w:bookmarkStart w:id="23" w:name="header-n339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QuantaSoft exports one file per reaction. All files contain 3 columns:</w:t>
      </w:r>
      <w:r>
        <w:t xml:space="preserve"> </w:t>
      </w:r>
    </w:p>
    <w:p>
      <w:pPr>
        <w:numPr>
          <w:ilvl w:val="0"/>
          <w:numId w:val="1008"/>
        </w:numPr>
        <w:pStyle w:val="BlockText"/>
      </w:pPr>
      <w:r>
        <w:t xml:space="preserve">Column 1 displays the amplification detected using channel 1 (FAM) within each droplet (1 droplet = 1 row)</w:t>
      </w:r>
    </w:p>
    <w:p>
      <w:pPr>
        <w:numPr>
          <w:ilvl w:val="0"/>
          <w:numId w:val="1008"/>
        </w:numPr>
        <w:pStyle w:val="BlockText"/>
      </w:pPr>
      <w:r>
        <w:t xml:space="preserve">Column 2 displays the amplification detected using the channel 2 (HEX) within each droplet</w:t>
      </w:r>
    </w:p>
    <w:p>
      <w:pPr>
        <w:numPr>
          <w:ilvl w:val="0"/>
          <w:numId w:val="1008"/>
        </w:numPr>
        <w:pStyle w:val="BlockText"/>
      </w:pPr>
      <w:r>
        <w:t xml:space="preserve">Column 3 shows the cluster to which the droplet has been classified: negative droplet, FAM-positive droplet, HEX-positive droplet, or FAM/HEX positive droplet</w:t>
      </w:r>
    </w:p>
    <w:p>
      <w:pPr>
        <w:numPr>
          <w:ilvl w:val="0"/>
          <w:numId w:val="1000"/>
        </w:numPr>
        <w:pStyle w:val="BlockText"/>
      </w:pPr>
      <w:r>
        <w:t xml:space="preserve">If you run a FAM or HEX singleplex assay, the column 2 or 1 will be emptied, respectively.</w:t>
      </w:r>
    </w:p>
    <w:p>
      <w:pPr>
        <w:pStyle w:val="FirstParagraph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23"/>
    <w:bookmarkStart w:id="24" w:name="header-n353"/>
    <w:p>
      <w:pPr>
        <w:pStyle w:val="Heading3"/>
      </w:pPr>
      <w:r>
        <w:t xml:space="preserve">Troubleshooting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I cannot open the shortcut to access my folder's run</w:t>
      </w:r>
      <w:r>
        <w:br/>
      </w:r>
      <w:r>
        <w:rPr>
          <w:bCs/>
          <w:b/>
        </w:rPr>
        <w:t xml:space="preserve">I cannot copy/paste</w:t>
      </w:r>
    </w:p>
    <w:p>
      <w:pPr>
        <w:pStyle w:val="SourceCode"/>
      </w:pPr>
      <w:r>
        <w:rPr>
          <w:rStyle w:val="VerbatimChar"/>
        </w:rPr>
        <w:t xml:space="preserve">1. Open Windows Task Manager</w:t>
      </w:r>
      <w:r>
        <w:br/>
      </w:r>
      <w:r>
        <w:rPr>
          <w:rStyle w:val="VerbatimChar"/>
        </w:rPr>
        <w:t xml:space="preserve">2. Click on the tab **Processes**</w:t>
      </w:r>
      <w:r>
        <w:br/>
      </w:r>
      <w:r>
        <w:rPr>
          <w:rStyle w:val="VerbatimChar"/>
        </w:rPr>
        <w:t xml:space="preserve">3. Click on **explorer.exe**</w:t>
      </w:r>
      <w:r>
        <w:br/>
      </w:r>
      <w:r>
        <w:rPr>
          <w:rStyle w:val="VerbatimChar"/>
        </w:rPr>
        <w:t xml:space="preserve">4. Click on **End Process**</w:t>
      </w:r>
      <w:r>
        <w:br/>
      </w:r>
      <w:r>
        <w:rPr>
          <w:rStyle w:val="VerbatimChar"/>
        </w:rPr>
        <w:t xml:space="preserve">   &gt; All the icons on the Desktop will disappear, but that is okay</w:t>
      </w:r>
      <w:r>
        <w:br/>
      </w:r>
      <w:r>
        <w:rPr>
          <w:rStyle w:val="VerbatimChar"/>
        </w:rPr>
        <w:t xml:space="preserve">5. Click on the tab **Applications**</w:t>
      </w:r>
      <w:r>
        <w:br/>
      </w:r>
      <w:r>
        <w:rPr>
          <w:rStyle w:val="VerbatimChar"/>
        </w:rPr>
        <w:t xml:space="preserve">6. Click on **New Task...**</w:t>
      </w:r>
      <w:r>
        <w:br/>
      </w:r>
      <w:r>
        <w:rPr>
          <w:rStyle w:val="VerbatimChar"/>
        </w:rPr>
        <w:t xml:space="preserve">7. Write **explorer.exe** and press **enter**</w:t>
      </w:r>
      <w:r>
        <w:br/>
      </w:r>
      <w:r>
        <w:rPr>
          <w:rStyle w:val="VerbatimChar"/>
        </w:rPr>
        <w:t xml:space="preserve">8. Done!</w:t>
      </w:r>
    </w:p>
    <w:p>
      <w:pPr>
        <w:pStyle w:val="FirstParagraph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2021-03-26T03:16:00Z</dcterms:created>
  <dcterms:modified xsi:type="dcterms:W3CDTF">2021-03-26T03:16:00Z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