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1346F" w:rsidR="00F1346F" w:rsidP="00F1346F" w:rsidRDefault="00F1346F" w14:paraId="1F61EF1C" w14:textId="77777777">
      <w:pPr>
        <w:jc w:val="center"/>
        <w:rPr>
          <w:rFonts w:ascii="Courier New" w:hAnsi="Courier New" w:cs="Courier New"/>
          <w:color w:val="000000" w:themeColor="text1"/>
          <w:sz w:val="24"/>
          <w:szCs w:val="24"/>
        </w:rPr>
      </w:pPr>
      <w:r w:rsidRPr="00F1346F">
        <w:rPr>
          <w:rStyle w:val="normaltextrun"/>
          <w:rFonts w:ascii="Courier New" w:hAnsi="Courier New" w:cs="Courier New"/>
          <w:b/>
          <w:bCs/>
          <w:color w:val="000000" w:themeColor="text1"/>
          <w:sz w:val="24"/>
          <w:szCs w:val="24"/>
          <w:shd w:val="clear" w:color="auto" w:fill="FFFFFF"/>
        </w:rPr>
        <w:t>MFO POLICY AND ADMINISTRATIVE</w:t>
      </w:r>
      <w:r w:rsidRPr="00F1346F">
        <w:rPr>
          <w:rStyle w:val="normaltextrun"/>
          <w:rFonts w:ascii="Cambria Math" w:hAnsi="Cambria Math" w:cs="Cambria Math"/>
          <w:b/>
          <w:bCs/>
          <w:color w:val="000000" w:themeColor="text1"/>
          <w:sz w:val="24"/>
          <w:szCs w:val="24"/>
          <w:shd w:val="clear" w:color="auto" w:fill="FFFFFF"/>
        </w:rPr>
        <w:t> </w:t>
      </w:r>
      <w:r w:rsidRPr="00F1346F">
        <w:rPr>
          <w:rStyle w:val="normaltextrun"/>
          <w:rFonts w:ascii="Courier New" w:hAnsi="Courier New" w:cs="Courier New"/>
          <w:b/>
          <w:bCs/>
          <w:color w:val="000000" w:themeColor="text1"/>
          <w:sz w:val="24"/>
          <w:szCs w:val="24"/>
          <w:shd w:val="clear" w:color="auto" w:fill="FFFFFF"/>
        </w:rPr>
        <w:t>MANUAL</w:t>
      </w:r>
    </w:p>
    <w:p w:rsidRPr="00F1346F" w:rsidR="00F1346F" w:rsidP="00F1346F" w:rsidRDefault="00F1346F" w14:paraId="672A6659" w14:textId="77777777">
      <w:pPr>
        <w:pStyle w:val="paragraph"/>
        <w:spacing w:before="0" w:beforeAutospacing="0" w:after="0" w:afterAutospacing="0"/>
        <w:jc w:val="center"/>
        <w:textAlignment w:val="baseline"/>
        <w:rPr>
          <w:rFonts w:ascii="Courier New" w:hAnsi="Courier New" w:cs="Courier New"/>
          <w:color w:val="000000" w:themeColor="text1"/>
        </w:rPr>
      </w:pPr>
    </w:p>
    <w:p w:rsidRPr="00F1346F" w:rsidR="00F1346F" w:rsidP="00F1346F" w:rsidRDefault="00F1346F" w14:paraId="5E5FD5EE" w14:textId="77777777">
      <w:pPr>
        <w:pStyle w:val="paragraph"/>
        <w:spacing w:before="0" w:beforeAutospacing="0" w:after="0" w:afterAutospacing="0"/>
        <w:jc w:val="center"/>
        <w:textAlignment w:val="baseline"/>
        <w:rPr>
          <w:rFonts w:ascii="Courier New" w:hAnsi="Courier New" w:cs="Courier New"/>
          <w:color w:val="000000" w:themeColor="text1"/>
        </w:rPr>
      </w:pPr>
      <w:r w:rsidRPr="00F1346F">
        <w:rPr>
          <w:rStyle w:val="normaltextrun"/>
          <w:rFonts w:ascii="Courier New" w:hAnsi="Courier New" w:cs="Courier New"/>
          <w:b/>
          <w:bCs/>
          <w:color w:val="000000" w:themeColor="text1"/>
          <w:shd w:val="clear" w:color="auto" w:fill="FFFFFF"/>
        </w:rPr>
        <w:t xml:space="preserve">VOLUME </w:t>
      </w:r>
      <w:r w:rsidRPr="00F1346F" w:rsidR="003619E4">
        <w:rPr>
          <w:rStyle w:val="normaltextrun"/>
          <w:rFonts w:ascii="Courier New" w:hAnsi="Courier New" w:cs="Courier New"/>
          <w:b/>
          <w:bCs/>
          <w:color w:val="000000" w:themeColor="text1"/>
          <w:shd w:val="clear" w:color="auto" w:fill="FFFFFF"/>
        </w:rPr>
        <w:t>1</w:t>
      </w:r>
      <w:r w:rsidR="003619E4">
        <w:rPr>
          <w:rStyle w:val="normaltextrun"/>
          <w:rFonts w:ascii="Courier New" w:hAnsi="Courier New" w:cs="Courier New"/>
          <w:b/>
          <w:bCs/>
          <w:color w:val="000000" w:themeColor="text1"/>
          <w:shd w:val="clear" w:color="auto" w:fill="FFFFFF"/>
        </w:rPr>
        <w:t xml:space="preserve">: INFORMATION SECURITY </w:t>
      </w:r>
      <w:r w:rsidRPr="00F1346F">
        <w:rPr>
          <w:rStyle w:val="normaltextrun"/>
          <w:rFonts w:ascii="Courier New" w:hAnsi="Courier New" w:cs="Courier New"/>
          <w:b/>
          <w:bCs/>
          <w:color w:val="000000" w:themeColor="text1"/>
          <w:shd w:val="clear" w:color="auto" w:fill="FFFFFF"/>
        </w:rPr>
        <w:t>POLICY</w:t>
      </w:r>
    </w:p>
    <w:p w:rsidRPr="00F1346F" w:rsidR="00F1346F" w:rsidRDefault="00F1346F" w14:paraId="0A37501D" w14:textId="77777777">
      <w:pPr>
        <w:pStyle w:val="Heading1"/>
        <w:rPr>
          <w:rFonts w:ascii="Courier New" w:hAnsi="Courier New" w:cs="Courier New"/>
          <w:color w:val="000000" w:themeColor="text1"/>
          <w:sz w:val="24"/>
          <w:szCs w:val="24"/>
        </w:rPr>
      </w:pPr>
    </w:p>
    <w:p w:rsidRPr="00F1346F" w:rsidR="00D11D0A" w:rsidP="003619E4" w:rsidRDefault="003619E4" w14:paraId="22E0FC93" w14:textId="77777777">
      <w:pPr>
        <w:pStyle w:val="Heading1"/>
        <w:tabs>
          <w:tab w:val="center" w:pos="4320"/>
          <w:tab w:val="right" w:pos="8640"/>
        </w:tabs>
        <w:rPr>
          <w:rFonts w:ascii="Courier New" w:hAnsi="Courier New" w:cs="Courier New"/>
          <w:color w:val="000000" w:themeColor="text1"/>
          <w:sz w:val="24"/>
          <w:szCs w:val="24"/>
        </w:rPr>
      </w:pPr>
      <w:r>
        <w:rPr>
          <w:rFonts w:ascii="Courier New" w:hAnsi="Courier New" w:cs="Courier New"/>
          <w:color w:val="000000" w:themeColor="text1"/>
          <w:sz w:val="24"/>
          <w:szCs w:val="24"/>
        </w:rPr>
        <w:tab/>
      </w:r>
      <w:r w:rsidRPr="00F1346F" w:rsidR="00D43FBB">
        <w:rPr>
          <w:rFonts w:ascii="Courier New" w:hAnsi="Courier New" w:cs="Courier New"/>
          <w:color w:val="000000" w:themeColor="text1"/>
          <w:sz w:val="24"/>
          <w:szCs w:val="24"/>
        </w:rPr>
        <w:t>Table of Contents</w:t>
      </w:r>
      <w:r>
        <w:rPr>
          <w:rFonts w:ascii="Courier New" w:hAnsi="Courier New" w:cs="Courier New"/>
          <w:color w:val="000000" w:themeColor="text1"/>
          <w:sz w:val="24"/>
          <w:szCs w:val="24"/>
        </w:rPr>
        <w:tab/>
      </w:r>
    </w:p>
    <w:p w:rsidRPr="00F1346F" w:rsidR="00D11D0A" w:rsidRDefault="00D43FBB" w14:paraId="297EDB5A"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1. Purpose &amp; Objectives</w:t>
      </w:r>
    </w:p>
    <w:p w:rsidRPr="00F1346F" w:rsidR="00D11D0A" w:rsidRDefault="00D43FBB" w14:paraId="21513F81"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2. Scope &amp; Applicability</w:t>
      </w:r>
    </w:p>
    <w:p w:rsidRPr="00F1346F" w:rsidR="00D11D0A" w:rsidRDefault="00D43FBB" w14:paraId="30486D3F"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3. Policy Framework &amp; Governance</w:t>
      </w:r>
    </w:p>
    <w:p w:rsidRPr="00F1346F" w:rsidR="00D11D0A" w:rsidRDefault="00D43FBB" w14:paraId="6EA85D0D"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4. Roles &amp; Responsibilities</w:t>
      </w:r>
    </w:p>
    <w:p w:rsidRPr="00F1346F" w:rsidR="00D11D0A" w:rsidRDefault="00D43FBB" w14:paraId="7BA50DAE"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5. Risk Management</w:t>
      </w:r>
    </w:p>
    <w:p w:rsidRPr="00F1346F" w:rsidR="00D11D0A" w:rsidRDefault="00D43FBB" w14:paraId="7257BE7B"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6. Information Classification &amp; Handling</w:t>
      </w:r>
    </w:p>
    <w:p w:rsidRPr="00F1346F" w:rsidR="00D11D0A" w:rsidRDefault="00D43FBB" w14:paraId="4A07258B"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7. Asset Management</w:t>
      </w:r>
    </w:p>
    <w:p w:rsidRPr="00F1346F" w:rsidR="00D11D0A" w:rsidRDefault="00D43FBB" w14:paraId="4702BB96"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8. Access Management (IAM, PAM, Access Control)</w:t>
      </w:r>
    </w:p>
    <w:p w:rsidRPr="00F1346F" w:rsidR="00D11D0A" w:rsidRDefault="00D43FBB" w14:paraId="1D227B70"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9. Operations Security</w:t>
      </w:r>
    </w:p>
    <w:p w:rsidRPr="00F1346F" w:rsidR="00D11D0A" w:rsidRDefault="00D43FBB" w14:paraId="4E4412AF"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10. Incident Management</w:t>
      </w:r>
    </w:p>
    <w:p w:rsidRPr="00F1346F" w:rsidR="00D11D0A" w:rsidRDefault="00D43FBB" w14:paraId="380E9BD6"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11. Business Continuity &amp; Disaster Recovery</w:t>
      </w:r>
    </w:p>
    <w:p w:rsidRPr="00F1346F" w:rsidR="00D11D0A" w:rsidRDefault="00D43FBB" w14:paraId="31C3F827"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12. Supplier &amp; Third-Party Security</w:t>
      </w:r>
    </w:p>
    <w:p w:rsidRPr="00F1346F" w:rsidR="00D11D0A" w:rsidRDefault="00D43FBB" w14:paraId="3453A86B"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13. Security Awareness &amp; Training</w:t>
      </w:r>
    </w:p>
    <w:p w:rsidRPr="00F1346F" w:rsidR="00D11D0A" w:rsidRDefault="00D43FBB" w14:paraId="410D81B0"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14. Policy Exceptions &amp; Risk Acceptance</w:t>
      </w:r>
    </w:p>
    <w:p w:rsidRPr="00F1346F" w:rsidR="00D11D0A" w:rsidRDefault="00D43FBB" w14:paraId="041B435A"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15. Compliance &amp; Disciplinary Actions</w:t>
      </w:r>
    </w:p>
    <w:p w:rsidRPr="00F1346F" w:rsidR="00D11D0A" w:rsidRDefault="00D43FBB" w14:paraId="2082D94A"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16. Metrics &amp; Continuous Improvement</w:t>
      </w:r>
    </w:p>
    <w:p w:rsidRPr="00F1346F" w:rsidR="00D11D0A" w:rsidRDefault="00D43FBB" w14:paraId="47378A7B"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17. Document Control &amp; Records</w:t>
      </w:r>
    </w:p>
    <w:p w:rsidRPr="00F1346F" w:rsidR="00D11D0A" w:rsidRDefault="00D43FBB" w14:paraId="7B3C7704"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Annex A – Glossary</w:t>
      </w:r>
    </w:p>
    <w:p w:rsidRPr="00F1346F" w:rsidR="00D11D0A" w:rsidRDefault="00D43FBB" w14:paraId="40DD79CF"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lastRenderedPageBreak/>
        <w:t>Annex B – RACI (Roles &amp; Responsibilities)</w:t>
      </w:r>
    </w:p>
    <w:p w:rsidRPr="00F1346F" w:rsidR="00D11D0A" w:rsidRDefault="00D43FBB" w14:paraId="3776E0FF"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Annex C – Risk Acceptance Authority Matrix</w:t>
      </w:r>
    </w:p>
    <w:p w:rsidRPr="00F1346F" w:rsidR="00D11D0A" w:rsidRDefault="00D43FBB" w14:paraId="22EF37DC"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Annex D – Security Exception Request (Template)</w:t>
      </w:r>
    </w:p>
    <w:p w:rsidRPr="00F1346F" w:rsidR="00D11D0A" w:rsidRDefault="00D43FBB" w14:paraId="231C486D"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Annex E – Policy-to-NIST CSF Mapping</w:t>
      </w:r>
    </w:p>
    <w:p w:rsidRPr="0064585A" w:rsidR="00D11D0A" w:rsidP="0064585A" w:rsidRDefault="00D43FBB" w14:paraId="6183411B" w14:textId="77777777">
      <w:pPr>
        <w:rPr>
          <w:rFonts w:ascii="Courier New" w:hAnsi="Courier New" w:cs="Courier New"/>
          <w:b/>
          <w:color w:val="000000" w:themeColor="text1"/>
          <w:sz w:val="24"/>
          <w:szCs w:val="24"/>
        </w:rPr>
      </w:pPr>
      <w:r w:rsidRPr="0064585A">
        <w:rPr>
          <w:rFonts w:ascii="Courier New" w:hAnsi="Courier New" w:cs="Courier New"/>
          <w:b/>
          <w:color w:val="000000" w:themeColor="text1"/>
          <w:sz w:val="24"/>
          <w:szCs w:val="24"/>
        </w:rPr>
        <w:t>1. Purpose &amp; Objectives</w:t>
      </w:r>
    </w:p>
    <w:p w:rsidRPr="00F1346F" w:rsidR="00D11D0A" w:rsidRDefault="00D43FBB" w14:paraId="34733864"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xml:space="preserve">This Information Security Policy (ISP) establishes governance, principles, and minimum requirements for protecting MFO systems, services, and information. The objectives are to: </w:t>
      </w:r>
    </w:p>
    <w:p w:rsidRPr="00F1346F" w:rsidR="00D11D0A" w:rsidRDefault="00D43FBB" w14:paraId="2532C0E7"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Preserve confidentiality, integrity, availability, authenticity, and non</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repudiation of information.</w:t>
      </w:r>
    </w:p>
    <w:p w:rsidRPr="00F1346F" w:rsidR="00D11D0A" w:rsidRDefault="00D43FBB" w14:paraId="1EA5441F"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Safeguard mission continuity and operational readiness.</w:t>
      </w:r>
    </w:p>
    <w:p w:rsidRPr="00F1346F" w:rsidR="00D11D0A" w:rsidRDefault="00D43FBB" w14:paraId="03E725C8"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Mitigate financial, legal, and reputational risks.</w:t>
      </w:r>
    </w:p>
    <w:p w:rsidRPr="00F1346F" w:rsidR="00D11D0A" w:rsidRDefault="00D43FBB" w14:paraId="51C9FFE0"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Prevent unauthorized disclosure and leakage of MFO information.</w:t>
      </w:r>
    </w:p>
    <w:p w:rsidRPr="00F1346F" w:rsidR="00D11D0A" w:rsidRDefault="00D43FBB" w14:paraId="24B0758C"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Drive compliance with MFO policies, user agreements, and applicable directives.</w:t>
      </w:r>
    </w:p>
    <w:p w:rsidRPr="00F1346F" w:rsidR="00D11D0A" w:rsidRDefault="00D43FBB" w14:paraId="5F49676E"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2. Scope &amp; Applicability</w:t>
      </w:r>
    </w:p>
    <w:p w:rsidRPr="00F1346F" w:rsidR="00D11D0A" w:rsidRDefault="00D43FBB" w14:paraId="460C3E6F"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This policy applies to all locations and all MFO members, including civilian employees, military staff, contractors, partners, and third parties with access to MFO information or technology resources. It covers all assets (on</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premises and cloud), networks, applications, endpoints, data repositories, and mission platforms.</w:t>
      </w:r>
    </w:p>
    <w:p w:rsidRPr="00F1346F" w:rsidR="00D11D0A" w:rsidRDefault="00D43FBB" w14:paraId="16E5016C"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3. Policy Framework &amp; Governance</w:t>
      </w:r>
    </w:p>
    <w:p w:rsidRPr="00F1346F" w:rsidR="00D11D0A" w:rsidRDefault="00D43FBB" w14:paraId="78D55A14"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xml:space="preserve">3.1 Policy hierarchy. This ISP is the master policy. It is supported by domain policies and SOPs, including (at minimum): Acceptable Use, IAM, PAM, Access Control, </w:t>
      </w:r>
      <w:r w:rsidRPr="00F1346F">
        <w:rPr>
          <w:rFonts w:ascii="Courier New" w:hAnsi="Courier New" w:cs="Courier New"/>
          <w:color w:val="000000" w:themeColor="text1"/>
          <w:sz w:val="24"/>
          <w:szCs w:val="24"/>
        </w:rPr>
        <w:lastRenderedPageBreak/>
        <w:t>Incident Response, Change Management, and related procedures.</w:t>
      </w:r>
    </w:p>
    <w:p w:rsidRPr="00F1346F" w:rsidR="00D11D0A" w:rsidRDefault="00D43FBB" w14:paraId="12F6EFB5" w14:textId="5C888FD2">
      <w:pPr>
        <w:rPr>
          <w:rFonts w:ascii="Courier New" w:hAnsi="Courier New" w:cs="Courier New"/>
          <w:color w:val="000000" w:themeColor="text1"/>
          <w:sz w:val="24"/>
          <w:szCs w:val="24"/>
        </w:rPr>
      </w:pPr>
      <w:r w:rsidRPr="5B1A9D0B" w:rsidR="00D43FBB">
        <w:rPr>
          <w:rFonts w:ascii="Courier New" w:hAnsi="Courier New" w:cs="Courier New"/>
          <w:color w:val="000000" w:themeColor="text1" w:themeTint="FF" w:themeShade="FF"/>
          <w:sz w:val="24"/>
          <w:szCs w:val="24"/>
        </w:rPr>
        <w:t>3.2 Standards alignment.</w:t>
      </w:r>
      <w:r w:rsidRPr="5B1A9D0B" w:rsidR="00D43FBB">
        <w:rPr>
          <w:rFonts w:ascii="Courier New" w:hAnsi="Courier New" w:cs="Courier New"/>
          <w:color w:val="000000" w:themeColor="text1" w:themeTint="FF" w:themeShade="FF"/>
          <w:sz w:val="24"/>
          <w:szCs w:val="24"/>
        </w:rPr>
        <w:t xml:space="preserve"> </w:t>
      </w:r>
      <w:r w:rsidRPr="5B1A9D0B" w:rsidR="1728697D">
        <w:rPr>
          <w:rFonts w:ascii="Courier New" w:hAnsi="Courier New" w:cs="Courier New"/>
          <w:color w:val="000000" w:themeColor="text1" w:themeTint="FF" w:themeShade="FF"/>
          <w:sz w:val="24"/>
          <w:szCs w:val="24"/>
        </w:rPr>
        <w:t>T</w:t>
      </w:r>
      <w:r w:rsidRPr="5B1A9D0B" w:rsidR="00D43FBB">
        <w:rPr>
          <w:rFonts w:ascii="Courier New" w:hAnsi="Courier New" w:cs="Courier New"/>
          <w:color w:val="000000" w:themeColor="text1" w:themeTint="FF" w:themeShade="FF"/>
          <w:sz w:val="24"/>
          <w:szCs w:val="24"/>
        </w:rPr>
        <w:t>he ISP aligns with the NIST</w:t>
      </w:r>
      <w:r w:rsidRPr="5B1A9D0B" w:rsidR="174CE6B1">
        <w:rPr>
          <w:rFonts w:ascii="Courier New" w:hAnsi="Courier New" w:cs="Courier New"/>
          <w:color w:val="000000" w:themeColor="text1" w:themeTint="FF" w:themeShade="FF"/>
          <w:sz w:val="24"/>
          <w:szCs w:val="24"/>
        </w:rPr>
        <w:t xml:space="preserve"> CSF v2.0</w:t>
      </w:r>
      <w:r w:rsidRPr="5B1A9D0B" w:rsidR="00D43FBB">
        <w:rPr>
          <w:rFonts w:ascii="Courier New" w:hAnsi="Courier New" w:cs="Courier New"/>
          <w:color w:val="000000" w:themeColor="text1" w:themeTint="FF" w:themeShade="FF"/>
          <w:sz w:val="24"/>
          <w:szCs w:val="24"/>
        </w:rPr>
        <w:t xml:space="preserve"> </w:t>
      </w:r>
      <w:r w:rsidRPr="5B1A9D0B" w:rsidR="00D43FBB">
        <w:rPr>
          <w:rFonts w:ascii="Courier New" w:hAnsi="Courier New" w:cs="Courier New"/>
          <w:color w:val="000000" w:themeColor="text1" w:themeTint="FF" w:themeShade="FF"/>
          <w:sz w:val="24"/>
          <w:szCs w:val="24"/>
        </w:rPr>
        <w:t>Cybersecurity Framework (</w:t>
      </w:r>
      <w:r w:rsidRPr="5B1A9D0B" w:rsidR="29A89186">
        <w:rPr>
          <w:rFonts w:ascii="Courier New" w:hAnsi="Courier New" w:cs="Courier New"/>
          <w:color w:val="000000" w:themeColor="text1" w:themeTint="FF" w:themeShade="FF"/>
          <w:sz w:val="24"/>
          <w:szCs w:val="24"/>
        </w:rPr>
        <w:t>Govern</w:t>
      </w:r>
      <w:r w:rsidRPr="5B1A9D0B" w:rsidR="5F6E881F">
        <w:rPr>
          <w:rFonts w:ascii="Courier New" w:hAnsi="Courier New" w:cs="Courier New"/>
          <w:color w:val="000000" w:themeColor="text1" w:themeTint="FF" w:themeShade="FF"/>
          <w:sz w:val="24"/>
          <w:szCs w:val="24"/>
        </w:rPr>
        <w:t>-</w:t>
      </w:r>
      <w:r w:rsidRPr="5B1A9D0B" w:rsidR="00D43FBB">
        <w:rPr>
          <w:rFonts w:ascii="Courier New" w:hAnsi="Courier New" w:cs="Courier New"/>
          <w:color w:val="000000" w:themeColor="text1" w:themeTint="FF" w:themeShade="FF"/>
          <w:sz w:val="24"/>
          <w:szCs w:val="24"/>
        </w:rPr>
        <w:t>Identify</w:t>
      </w:r>
      <w:r w:rsidRPr="5B1A9D0B" w:rsidR="00D43FBB">
        <w:rPr>
          <w:rFonts w:ascii="Cambria Math" w:hAnsi="Cambria Math" w:cs="Cambria Math"/>
          <w:color w:val="000000" w:themeColor="text1" w:themeTint="FF" w:themeShade="FF"/>
          <w:sz w:val="24"/>
          <w:szCs w:val="24"/>
        </w:rPr>
        <w:t>‑</w:t>
      </w:r>
      <w:r w:rsidRPr="5B1A9D0B" w:rsidR="00D43FBB">
        <w:rPr>
          <w:rFonts w:ascii="Courier New" w:hAnsi="Courier New" w:cs="Courier New"/>
          <w:color w:val="000000" w:themeColor="text1" w:themeTint="FF" w:themeShade="FF"/>
          <w:sz w:val="24"/>
          <w:szCs w:val="24"/>
        </w:rPr>
        <w:t>Protect</w:t>
      </w:r>
      <w:r w:rsidRPr="5B1A9D0B" w:rsidR="00D43FBB">
        <w:rPr>
          <w:rFonts w:ascii="Cambria Math" w:hAnsi="Cambria Math" w:cs="Cambria Math"/>
          <w:color w:val="000000" w:themeColor="text1" w:themeTint="FF" w:themeShade="FF"/>
          <w:sz w:val="24"/>
          <w:szCs w:val="24"/>
        </w:rPr>
        <w:t>‑</w:t>
      </w:r>
      <w:r w:rsidRPr="5B1A9D0B" w:rsidR="00D43FBB">
        <w:rPr>
          <w:rFonts w:ascii="Courier New" w:hAnsi="Courier New" w:cs="Courier New"/>
          <w:color w:val="000000" w:themeColor="text1" w:themeTint="FF" w:themeShade="FF"/>
          <w:sz w:val="24"/>
          <w:szCs w:val="24"/>
        </w:rPr>
        <w:t>Detect</w:t>
      </w:r>
      <w:r w:rsidRPr="5B1A9D0B" w:rsidR="00D43FBB">
        <w:rPr>
          <w:rFonts w:ascii="Cambria Math" w:hAnsi="Cambria Math" w:cs="Cambria Math"/>
          <w:color w:val="000000" w:themeColor="text1" w:themeTint="FF" w:themeShade="FF"/>
          <w:sz w:val="24"/>
          <w:szCs w:val="24"/>
        </w:rPr>
        <w:t>‑</w:t>
      </w:r>
      <w:r w:rsidRPr="5B1A9D0B" w:rsidR="00D43FBB">
        <w:rPr>
          <w:rFonts w:ascii="Courier New" w:hAnsi="Courier New" w:cs="Courier New"/>
          <w:color w:val="000000" w:themeColor="text1" w:themeTint="FF" w:themeShade="FF"/>
          <w:sz w:val="24"/>
          <w:szCs w:val="24"/>
        </w:rPr>
        <w:t>Respond</w:t>
      </w:r>
      <w:r w:rsidRPr="5B1A9D0B" w:rsidR="00D43FBB">
        <w:rPr>
          <w:rFonts w:ascii="Cambria Math" w:hAnsi="Cambria Math" w:cs="Cambria Math"/>
          <w:color w:val="000000" w:themeColor="text1" w:themeTint="FF" w:themeShade="FF"/>
          <w:sz w:val="24"/>
          <w:szCs w:val="24"/>
        </w:rPr>
        <w:t>‑</w:t>
      </w:r>
      <w:r w:rsidRPr="5B1A9D0B" w:rsidR="00D43FBB">
        <w:rPr>
          <w:rFonts w:ascii="Courier New" w:hAnsi="Courier New" w:cs="Courier New"/>
          <w:color w:val="000000" w:themeColor="text1" w:themeTint="FF" w:themeShade="FF"/>
          <w:sz w:val="24"/>
          <w:szCs w:val="24"/>
        </w:rPr>
        <w:t xml:space="preserve">Recover) and incorporates practices from ISO/IEC 27001/27002 where </w:t>
      </w:r>
      <w:r w:rsidRPr="5B1A9D0B" w:rsidR="00D43FBB">
        <w:rPr>
          <w:rFonts w:ascii="Courier New" w:hAnsi="Courier New" w:cs="Courier New"/>
          <w:color w:val="000000" w:themeColor="text1" w:themeTint="FF" w:themeShade="FF"/>
          <w:sz w:val="24"/>
          <w:szCs w:val="24"/>
        </w:rPr>
        <w:t>appropriate</w:t>
      </w:r>
      <w:r w:rsidRPr="5B1A9D0B" w:rsidR="00D43FBB">
        <w:rPr>
          <w:rFonts w:ascii="Courier New" w:hAnsi="Courier New" w:cs="Courier New"/>
          <w:color w:val="000000" w:themeColor="text1" w:themeTint="FF" w:themeShade="FF"/>
          <w:sz w:val="24"/>
          <w:szCs w:val="24"/>
        </w:rPr>
        <w:t>.</w:t>
      </w:r>
    </w:p>
    <w:p w:rsidRPr="00F1346F" w:rsidR="00D11D0A" w:rsidRDefault="00D43FBB" w14:paraId="5655C212"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3.3 Governance model. The Director General (DG) has ultimate accountability for information security and discharges this through the Chief Information Officer (CIO). The CIO (and Deputy CIO) owns the security program, approves policies and exceptions per Annex C, and chairs the Information Security Committee (ISC). Until a dedicated CISO/Information Security Officer role is appointed, the CIO/DCIO fulfills this function and may delegate operations to the ICT Security lead.</w:t>
      </w:r>
    </w:p>
    <w:p w:rsidRPr="00F1346F" w:rsidR="00D11D0A" w:rsidRDefault="00D43FBB" w14:paraId="288106E4"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4. Roles &amp; Responsibilities</w:t>
      </w:r>
    </w:p>
    <w:p w:rsidRPr="00F1346F" w:rsidR="00D11D0A" w:rsidRDefault="00D43FBB" w14:paraId="4CE5D143"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Director General (DG): Sets risk appetite; approves highest</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risk acceptances; authorizes external communications.</w:t>
      </w:r>
    </w:p>
    <w:p w:rsidRPr="00F1346F" w:rsidR="00D11D0A" w:rsidRDefault="00D43FBB" w14:paraId="4FCE34B2"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CIO / Deputy CIO (DCIO): Accountable for the security program; approves policies, exceptions, and risk acceptances per Annex C; sponsors resourcing.</w:t>
      </w:r>
    </w:p>
    <w:p w:rsidRPr="00F1346F" w:rsidR="00D11D0A" w:rsidRDefault="00D43FBB" w14:paraId="41487759"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ICT Security Lead / Security Specialist: Operates the security program; manages controls, monitoring, incident coordination, awareness, and reporting.</w:t>
      </w:r>
    </w:p>
    <w:p w:rsidRPr="00F1346F" w:rsidR="00D11D0A" w:rsidRDefault="00D43FBB" w14:paraId="2FFC8A74"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System Owners: Ensure security requirements are implemented in their systems; maintain access lists and logs; support audits.</w:t>
      </w:r>
    </w:p>
    <w:p w:rsidRPr="00F1346F" w:rsidR="00D11D0A" w:rsidRDefault="00D43FBB" w14:paraId="600CE972"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Data Owners / Process Owners: Classify information; approve access to data; define handling requirements.</w:t>
      </w:r>
    </w:p>
    <w:p w:rsidRPr="00F1346F" w:rsidR="00D11D0A" w:rsidRDefault="00D43FBB" w14:paraId="2D2D8410"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lastRenderedPageBreak/>
        <w:t>• Service Desk / Core &amp; Network Services: Enforce onboarding/offboarding, access changes, and operational controls.</w:t>
      </w:r>
    </w:p>
    <w:p w:rsidRPr="00F1346F" w:rsidR="00D11D0A" w:rsidRDefault="00D43FBB" w14:paraId="236D1874"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Internal Audit / Risk: Provide independent oversight, risk tracking, and assurance.</w:t>
      </w:r>
    </w:p>
    <w:p w:rsidRPr="00F1346F" w:rsidR="00D11D0A" w:rsidRDefault="00D43FBB" w14:paraId="367752F2"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All MFO Members &amp; Third Parties: Comply with this policy, complete required training, report incidents and suspected violations promptly.</w:t>
      </w:r>
    </w:p>
    <w:p w:rsidRPr="00F1346F" w:rsidR="00D11D0A" w:rsidRDefault="00D43FBB" w14:paraId="49553B94"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5. Risk Management</w:t>
      </w:r>
    </w:p>
    <w:p w:rsidRPr="00F1346F" w:rsidR="00D11D0A" w:rsidRDefault="00D43FBB" w14:paraId="3F687F8F"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xml:space="preserve">MFO maintains a centralized security risk register; however, process maturity will be improved as follows: </w:t>
      </w:r>
    </w:p>
    <w:p w:rsidRPr="00F1346F" w:rsidR="00D11D0A" w:rsidRDefault="00D43FBB" w14:paraId="682B8F32"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Risk Identification &amp; Assessment: All significant projects, systems, and changes must include a security risk assessment.</w:t>
      </w:r>
    </w:p>
    <w:p w:rsidRPr="00F1346F" w:rsidR="00D11D0A" w:rsidRDefault="00D43FBB" w14:paraId="69309B4F"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Risk Register: Single repository owned by CIO/DCIO; risks tracked with owner, status, and target treatment date.</w:t>
      </w:r>
    </w:p>
    <w:p w:rsidRPr="00F1346F" w:rsidR="00D11D0A" w:rsidRDefault="00D43FBB" w14:paraId="4F9DE201"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Treatment: Mitigate, transfer, avoid, or accept; apply proportional controls and document residual risk.</w:t>
      </w:r>
    </w:p>
    <w:p w:rsidRPr="00F1346F" w:rsidR="00D11D0A" w:rsidRDefault="00D43FBB" w14:paraId="0B74F0B0"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Risk Acceptance: Approvals per Annex C with explicit duration/expiry and compensating controls; cataloged in the register.</w:t>
      </w:r>
    </w:p>
    <w:p w:rsidRPr="00F1346F" w:rsidR="00D11D0A" w:rsidRDefault="00D43FBB" w14:paraId="46BFB56B"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Review: Quarterly review of the register by ISC; annual summary to DG.</w:t>
      </w:r>
    </w:p>
    <w:p w:rsidRPr="00F1346F" w:rsidR="00D11D0A" w:rsidRDefault="00D43FBB" w14:paraId="12C6FF7F"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6. Information Classification &amp; Handling</w:t>
      </w:r>
    </w:p>
    <w:p w:rsidRPr="00F1346F" w:rsidR="00D11D0A" w:rsidRDefault="00D43FBB" w14:paraId="6EB351F7"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xml:space="preserve">MFO classifies information at minimum into: Public, Internal, Confidential, and Restricted. Data Owners assign classification and define handling rules. Requirements include: </w:t>
      </w:r>
    </w:p>
    <w:p w:rsidRPr="00F1346F" w:rsidR="00D11D0A" w:rsidRDefault="00D43FBB" w14:paraId="623A1424"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Labeling and handling consistent with classification.</w:t>
      </w:r>
    </w:p>
    <w:p w:rsidRPr="00F1346F" w:rsidR="00D11D0A" w:rsidRDefault="00D43FBB" w14:paraId="4F69CB20"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lastRenderedPageBreak/>
        <w:t>• Limiting external sharing to authorized recipients; DLP/technical enforcement to be introduced where feasible.</w:t>
      </w:r>
    </w:p>
    <w:p w:rsidRPr="00F1346F" w:rsidR="00D11D0A" w:rsidRDefault="00D43FBB" w14:paraId="28BFC070"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Encryption for Restricted/Confidential data at rest and in transit where technically feasible.</w:t>
      </w:r>
    </w:p>
    <w:p w:rsidRPr="00F1346F" w:rsidR="00D11D0A" w:rsidRDefault="00D43FBB" w14:paraId="4B7612A3"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Prohibition of storing MFO data on personal devices except via approved, managed channels.</w:t>
      </w:r>
    </w:p>
    <w:p w:rsidRPr="00F1346F" w:rsidR="00D11D0A" w:rsidRDefault="00D43FBB" w14:paraId="72E0F7A3"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Sanitization or destruction of media per retention and disposal procedures.</w:t>
      </w:r>
    </w:p>
    <w:p w:rsidRPr="00F1346F" w:rsidR="00D11D0A" w:rsidRDefault="00D43FBB" w14:paraId="0E0CAC51"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7. Asset Management</w:t>
      </w:r>
    </w:p>
    <w:p w:rsidRPr="00F1346F" w:rsidR="00D11D0A" w:rsidRDefault="00D43FBB" w14:paraId="39997078"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All information assets (hardware, software, services, data sets) must be inventoried with ownership, location, criticality, and patch/support status. Unauthorized or end</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of</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support assets must be risk</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assessed and remediated or decommissioned.</w:t>
      </w:r>
    </w:p>
    <w:p w:rsidRPr="00F1346F" w:rsidR="00D11D0A" w:rsidRDefault="00D43FBB" w14:paraId="620032C7"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8. Access Management (IAM, PAM, Access Control)</w:t>
      </w:r>
    </w:p>
    <w:p w:rsidRPr="00F1346F" w:rsidR="00D11D0A" w:rsidRDefault="00D43FBB" w14:paraId="34D070FA"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Access control shall follow least privilege and need</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to</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 xml:space="preserve">know principles and the subordinate policies: </w:t>
      </w:r>
    </w:p>
    <w:p w:rsidRPr="00F1346F" w:rsidR="00D11D0A" w:rsidRDefault="00D43FBB" w14:paraId="34A8B74C"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IAM: Authoritative sources (HR for civilians; manual for military/contractors), JML processes, MFA for all users, periodic reviews.</w:t>
      </w:r>
    </w:p>
    <w:p w:rsidRPr="00F1346F" w:rsidR="00D11D0A" w:rsidRDefault="00D43FBB" w14:paraId="45A0D91D"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PAM: MFA for all privileged access; move toward separate privileged accounts; adopt vaulting and session recording; quarterly reviews.</w:t>
      </w:r>
    </w:p>
    <w:p w:rsidRPr="00F1346F" w:rsidR="00D11D0A" w:rsidRDefault="00D43FBB" w14:paraId="57F4F8F5"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Access Control: RBAC for AD/O365/SAP; SoD matrix; formalized temporary/time</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bound access; exception register.</w:t>
      </w:r>
    </w:p>
    <w:p w:rsidRPr="00F1346F" w:rsidR="00D11D0A" w:rsidRDefault="00D43FBB" w14:paraId="4AB25993"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9. Operations Security</w:t>
      </w:r>
    </w:p>
    <w:p w:rsidRPr="00F1346F" w:rsidR="00D11D0A" w:rsidRDefault="00D43FBB" w14:paraId="508CDB68"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Operational controls include secure configuration, vulnerability and patch management, malware protection, backup integrity, logging and monitoring, and formal change management. Changes must follow documented procedures with testing, approvals, rollback, and recordkeeping.</w:t>
      </w:r>
    </w:p>
    <w:p w:rsidRPr="00F1346F" w:rsidR="00D11D0A" w:rsidRDefault="00D43FBB" w14:paraId="4FE51E3F"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lastRenderedPageBreak/>
        <w:t>10. Incident Management</w:t>
      </w:r>
    </w:p>
    <w:p w:rsidRPr="00F1346F" w:rsidR="00D11D0A" w:rsidRDefault="00D43FBB" w14:paraId="108BF644"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MFO will manage security incidents per the Incident Response Policy: detection and reporting (Service Desk + monitoring), escalation via CCIR/DGCIR, containment, eradication, recovery, communications via DG/Strategic Engagement, forensics and chain</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of</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custody development, and mandatory post</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incident reviews for significant events. Annual IR exercises are required.</w:t>
      </w:r>
    </w:p>
    <w:p w:rsidRPr="00F1346F" w:rsidR="00D11D0A" w:rsidRDefault="00D43FBB" w14:paraId="24A85443"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11. Business Continuity &amp; Disaster Recovery</w:t>
      </w:r>
    </w:p>
    <w:p w:rsidRPr="00F1346F" w:rsidR="00D11D0A" w:rsidRDefault="00D43FBB" w14:paraId="08AC48B0" w14:textId="034592C4">
      <w:pPr>
        <w:rPr>
          <w:rFonts w:ascii="Courier New" w:hAnsi="Courier New" w:cs="Courier New"/>
          <w:color w:val="000000" w:themeColor="text1"/>
          <w:sz w:val="24"/>
          <w:szCs w:val="24"/>
        </w:rPr>
      </w:pPr>
      <w:r w:rsidRPr="32A72ABE">
        <w:rPr>
          <w:rFonts w:ascii="Courier New" w:hAnsi="Courier New" w:cs="Courier New"/>
          <w:color w:val="000000" w:themeColor="text1"/>
          <w:sz w:val="24"/>
          <w:szCs w:val="24"/>
        </w:rPr>
        <w:t xml:space="preserve">Each critical system must have documented recovery objectives (RTO/RPO), tested backup and </w:t>
      </w:r>
      <w:r w:rsidRPr="32A72ABE" w:rsidR="3C6EDB45">
        <w:rPr>
          <w:rFonts w:ascii="Courier New" w:hAnsi="Courier New" w:cs="Courier New"/>
          <w:color w:val="000000" w:themeColor="text1"/>
          <w:sz w:val="24"/>
          <w:szCs w:val="24"/>
        </w:rPr>
        <w:t>restored</w:t>
      </w:r>
      <w:r w:rsidRPr="32A72ABE">
        <w:rPr>
          <w:rFonts w:ascii="Courier New" w:hAnsi="Courier New" w:cs="Courier New"/>
          <w:color w:val="000000" w:themeColor="text1"/>
          <w:sz w:val="24"/>
          <w:szCs w:val="24"/>
        </w:rPr>
        <w:t xml:space="preserve"> procedures, and participation in continuity planning. DR tests shall occur at least annually or after major changes.</w:t>
      </w:r>
    </w:p>
    <w:p w:rsidRPr="00F1346F" w:rsidR="00D11D0A" w:rsidRDefault="00D43FBB" w14:paraId="2388CAF8"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12. Supplier &amp; Third-Party Security</w:t>
      </w:r>
    </w:p>
    <w:p w:rsidRPr="00F1346F" w:rsidR="00D11D0A" w:rsidRDefault="00D43FBB" w14:paraId="6164778D"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Third</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party access requires contractual security clauses, confidentiality, defined use, and prompt termination when no longer needed. Higher</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risk suppliers require security due diligence and, where appropriate, right</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to</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audit and incident notification obligations.</w:t>
      </w:r>
    </w:p>
    <w:p w:rsidRPr="00F1346F" w:rsidR="00D11D0A" w:rsidRDefault="00D43FBB" w14:paraId="55793BC6"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13. Security Awareness &amp; Training</w:t>
      </w:r>
    </w:p>
    <w:p w:rsidRPr="00F1346F" w:rsidR="00D11D0A" w:rsidRDefault="00D43FBB" w14:paraId="4DF3281E"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All members must complete onboarding AUP acknowledgement and annual cybersecurity training. Targeted role</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based training is required for privileged users, developers, and system owners. Awareness content shall be refreshed periodically and after major incidents.</w:t>
      </w:r>
    </w:p>
    <w:p w:rsidRPr="00F1346F" w:rsidR="00D11D0A" w:rsidRDefault="00D43FBB" w14:paraId="1952DB9F"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14. Policy Exceptions &amp; Risk Acceptance</w:t>
      </w:r>
    </w:p>
    <w:p w:rsidRPr="00F1346F" w:rsidR="00D11D0A" w:rsidRDefault="00D43FBB" w14:paraId="6CEC7A30"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Exceptions may be granted where business need outweighs risk and compensating controls are in place. Requests are submitted via Service Desk using the template in Annex D. Approvals follow Annex C with defined expiry and documented rationale. All exceptions are recorded in the centralized register.</w:t>
      </w:r>
    </w:p>
    <w:p w:rsidRPr="00F1346F" w:rsidR="00D11D0A" w:rsidRDefault="00D43FBB" w14:paraId="46C55776"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lastRenderedPageBreak/>
        <w:t>15. Compliance &amp; Disciplinary Actions</w:t>
      </w:r>
    </w:p>
    <w:p w:rsidRPr="00F1346F" w:rsidR="00D11D0A" w:rsidRDefault="00D43FBB" w14:paraId="360E4641" w14:textId="5FDA9373">
      <w:pPr>
        <w:rPr>
          <w:rFonts w:ascii="Courier New" w:hAnsi="Courier New" w:cs="Courier New"/>
          <w:color w:val="000000" w:themeColor="text1"/>
          <w:sz w:val="24"/>
          <w:szCs w:val="24"/>
        </w:rPr>
      </w:pPr>
      <w:r w:rsidRPr="32A72ABE">
        <w:rPr>
          <w:rFonts w:ascii="Courier New" w:hAnsi="Courier New" w:cs="Courier New"/>
          <w:color w:val="000000" w:themeColor="text1"/>
          <w:sz w:val="24"/>
          <w:szCs w:val="24"/>
        </w:rPr>
        <w:t>Non</w:t>
      </w:r>
      <w:r w:rsidRPr="32A72ABE">
        <w:rPr>
          <w:rFonts w:ascii="Cambria Math" w:hAnsi="Cambria Math" w:cs="Cambria Math"/>
          <w:color w:val="000000" w:themeColor="text1"/>
          <w:sz w:val="24"/>
          <w:szCs w:val="24"/>
        </w:rPr>
        <w:t>‑</w:t>
      </w:r>
      <w:r w:rsidRPr="32A72ABE">
        <w:rPr>
          <w:rFonts w:ascii="Courier New" w:hAnsi="Courier New" w:cs="Courier New"/>
          <w:color w:val="000000" w:themeColor="text1"/>
          <w:sz w:val="24"/>
          <w:szCs w:val="24"/>
        </w:rPr>
        <w:t xml:space="preserve">compliance may result in disciplinary measures consistent with the User Agreement and applicable HR or mission rules, up to and including repatriation for military staff or termination for civilian staff. Serious violations may be referred </w:t>
      </w:r>
      <w:r w:rsidRPr="32A72ABE" w:rsidR="3A7FE8F5">
        <w:rPr>
          <w:rFonts w:ascii="Courier New" w:hAnsi="Courier New" w:cs="Courier New"/>
          <w:color w:val="000000" w:themeColor="text1"/>
          <w:sz w:val="24"/>
          <w:szCs w:val="24"/>
        </w:rPr>
        <w:t>to as</w:t>
      </w:r>
      <w:r w:rsidRPr="32A72ABE">
        <w:rPr>
          <w:rFonts w:ascii="Courier New" w:hAnsi="Courier New" w:cs="Courier New"/>
          <w:color w:val="000000" w:themeColor="text1"/>
          <w:sz w:val="24"/>
          <w:szCs w:val="24"/>
        </w:rPr>
        <w:t xml:space="preserve"> legal or administrative action.</w:t>
      </w:r>
    </w:p>
    <w:p w:rsidRPr="00F1346F" w:rsidR="00D11D0A" w:rsidRDefault="00D43FBB" w14:paraId="1635C166"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16. Metrics &amp; Continuous Improvement</w:t>
      </w:r>
    </w:p>
    <w:p w:rsidRPr="00F1346F" w:rsidR="00D11D0A" w:rsidRDefault="00D43FBB" w14:paraId="08871C5A"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The program will track key metrics (e.g., time to deprovision leavers, MFA coverage, privileged review closure, incident MTTD/MTTR, % systems patched within SLA, % completed training). Results are reviewed by the ISC and drive continuous improvement.</w:t>
      </w:r>
    </w:p>
    <w:p w:rsidRPr="00F1346F" w:rsidR="00D11D0A" w:rsidRDefault="00D43FBB" w14:paraId="721263EB"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17. Document Control &amp; Records</w:t>
      </w:r>
    </w:p>
    <w:p w:rsidRPr="00F1346F" w:rsidR="00D11D0A" w:rsidRDefault="00D43FBB" w14:paraId="21B5DD39" w14:textId="3A6CE103">
      <w:pPr>
        <w:rPr>
          <w:rFonts w:ascii="Courier New" w:hAnsi="Courier New" w:cs="Courier New"/>
          <w:color w:val="000000" w:themeColor="text1"/>
          <w:sz w:val="24"/>
          <w:szCs w:val="24"/>
        </w:rPr>
      </w:pPr>
      <w:r w:rsidRPr="32A72ABE">
        <w:rPr>
          <w:rFonts w:ascii="Courier New" w:hAnsi="Courier New" w:cs="Courier New"/>
          <w:color w:val="000000" w:themeColor="text1"/>
          <w:sz w:val="24"/>
          <w:szCs w:val="24"/>
        </w:rPr>
        <w:t xml:space="preserve">This policy is reviewed annually and whenever significant changes occur. Approved versions and prior revisions are retained in the designated SharePoint repository with version control. Records supporting this policy (risk register, exceptions, approvals, training attestations, incident reports) are maintained per </w:t>
      </w:r>
      <w:r w:rsidRPr="32A72ABE" w:rsidR="073100B2">
        <w:rPr>
          <w:rFonts w:ascii="Courier New" w:hAnsi="Courier New" w:cs="Courier New"/>
          <w:color w:val="000000" w:themeColor="text1"/>
          <w:sz w:val="24"/>
          <w:szCs w:val="24"/>
        </w:rPr>
        <w:t>records of</w:t>
      </w:r>
      <w:r w:rsidRPr="32A72ABE">
        <w:rPr>
          <w:rFonts w:ascii="Courier New" w:hAnsi="Courier New" w:cs="Courier New"/>
          <w:color w:val="000000" w:themeColor="text1"/>
          <w:sz w:val="24"/>
          <w:szCs w:val="24"/>
        </w:rPr>
        <w:t xml:space="preserve"> retention requirements.</w:t>
      </w:r>
    </w:p>
    <w:p w:rsidRPr="00F1346F" w:rsidR="00D11D0A" w:rsidRDefault="00D43FBB" w14:paraId="0F69BBCD"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Annex A – Glossary</w:t>
      </w:r>
    </w:p>
    <w:p w:rsidRPr="00F1346F" w:rsidR="00D11D0A" w:rsidRDefault="00D43FBB" w14:paraId="4A812296" w14:textId="77777777">
      <w:pPr>
        <w:rPr>
          <w:rFonts w:ascii="Courier New" w:hAnsi="Courier New" w:cs="Courier New"/>
          <w:color w:val="000000" w:themeColor="text1"/>
          <w:sz w:val="24"/>
          <w:szCs w:val="24"/>
        </w:rPr>
      </w:pPr>
      <w:r w:rsidRPr="00F1346F">
        <w:rPr>
          <w:rFonts w:ascii="Courier New" w:hAnsi="Courier New" w:cs="Courier New"/>
          <w:b/>
          <w:color w:val="000000" w:themeColor="text1"/>
          <w:sz w:val="24"/>
          <w:szCs w:val="24"/>
        </w:rPr>
        <w:t xml:space="preserve">Confidentiality: </w:t>
      </w:r>
      <w:r w:rsidRPr="00F1346F">
        <w:rPr>
          <w:rFonts w:ascii="Courier New" w:hAnsi="Courier New" w:cs="Courier New"/>
          <w:color w:val="000000" w:themeColor="text1"/>
          <w:sz w:val="24"/>
          <w:szCs w:val="24"/>
        </w:rPr>
        <w:t>Ensuring information is accessible only to authorized parties.</w:t>
      </w:r>
    </w:p>
    <w:p w:rsidRPr="00F1346F" w:rsidR="00D11D0A" w:rsidRDefault="00D43FBB" w14:paraId="6C899B61" w14:textId="77777777">
      <w:pPr>
        <w:rPr>
          <w:rFonts w:ascii="Courier New" w:hAnsi="Courier New" w:cs="Courier New"/>
          <w:color w:val="000000" w:themeColor="text1"/>
          <w:sz w:val="24"/>
          <w:szCs w:val="24"/>
        </w:rPr>
      </w:pPr>
      <w:r w:rsidRPr="00F1346F">
        <w:rPr>
          <w:rFonts w:ascii="Courier New" w:hAnsi="Courier New" w:cs="Courier New"/>
          <w:b/>
          <w:color w:val="000000" w:themeColor="text1"/>
          <w:sz w:val="24"/>
          <w:szCs w:val="24"/>
        </w:rPr>
        <w:t xml:space="preserve">Integrity: </w:t>
      </w:r>
      <w:r w:rsidRPr="00F1346F">
        <w:rPr>
          <w:rFonts w:ascii="Courier New" w:hAnsi="Courier New" w:cs="Courier New"/>
          <w:color w:val="000000" w:themeColor="text1"/>
          <w:sz w:val="24"/>
          <w:szCs w:val="24"/>
        </w:rPr>
        <w:t>Safeguarding accuracy and completeness of information and processing methods.</w:t>
      </w:r>
    </w:p>
    <w:p w:rsidRPr="00F1346F" w:rsidR="00D11D0A" w:rsidRDefault="00D43FBB" w14:paraId="1657984F" w14:textId="77777777">
      <w:pPr>
        <w:rPr>
          <w:rFonts w:ascii="Courier New" w:hAnsi="Courier New" w:cs="Courier New"/>
          <w:color w:val="000000" w:themeColor="text1"/>
          <w:sz w:val="24"/>
          <w:szCs w:val="24"/>
        </w:rPr>
      </w:pPr>
      <w:r w:rsidRPr="00F1346F">
        <w:rPr>
          <w:rFonts w:ascii="Courier New" w:hAnsi="Courier New" w:cs="Courier New"/>
          <w:b/>
          <w:color w:val="000000" w:themeColor="text1"/>
          <w:sz w:val="24"/>
          <w:szCs w:val="24"/>
        </w:rPr>
        <w:t xml:space="preserve">Availability: </w:t>
      </w:r>
      <w:r w:rsidRPr="00F1346F">
        <w:rPr>
          <w:rFonts w:ascii="Courier New" w:hAnsi="Courier New" w:cs="Courier New"/>
          <w:color w:val="000000" w:themeColor="text1"/>
          <w:sz w:val="24"/>
          <w:szCs w:val="24"/>
        </w:rPr>
        <w:t>Ensuring authorized users have access to information and assets when required.</w:t>
      </w:r>
    </w:p>
    <w:p w:rsidRPr="00F1346F" w:rsidR="00D11D0A" w:rsidRDefault="00D43FBB" w14:paraId="49FD8E74" w14:textId="77777777">
      <w:pPr>
        <w:rPr>
          <w:rFonts w:ascii="Courier New" w:hAnsi="Courier New" w:cs="Courier New"/>
          <w:color w:val="000000" w:themeColor="text1"/>
          <w:sz w:val="24"/>
          <w:szCs w:val="24"/>
        </w:rPr>
      </w:pPr>
      <w:r w:rsidRPr="00F1346F">
        <w:rPr>
          <w:rFonts w:ascii="Courier New" w:hAnsi="Courier New" w:cs="Courier New"/>
          <w:b/>
          <w:color w:val="000000" w:themeColor="text1"/>
          <w:sz w:val="24"/>
          <w:szCs w:val="24"/>
        </w:rPr>
        <w:t>Non</w:t>
      </w:r>
      <w:r w:rsidRPr="00F1346F">
        <w:rPr>
          <w:rFonts w:ascii="Cambria Math" w:hAnsi="Cambria Math" w:cs="Cambria Math"/>
          <w:b/>
          <w:color w:val="000000" w:themeColor="text1"/>
          <w:sz w:val="24"/>
          <w:szCs w:val="24"/>
        </w:rPr>
        <w:t>‑</w:t>
      </w:r>
      <w:r w:rsidRPr="00F1346F">
        <w:rPr>
          <w:rFonts w:ascii="Courier New" w:hAnsi="Courier New" w:cs="Courier New"/>
          <w:b/>
          <w:color w:val="000000" w:themeColor="text1"/>
          <w:sz w:val="24"/>
          <w:szCs w:val="24"/>
        </w:rPr>
        <w:t xml:space="preserve">repudiation: </w:t>
      </w:r>
      <w:r w:rsidRPr="00F1346F">
        <w:rPr>
          <w:rFonts w:ascii="Courier New" w:hAnsi="Courier New" w:cs="Courier New"/>
          <w:color w:val="000000" w:themeColor="text1"/>
          <w:sz w:val="24"/>
          <w:szCs w:val="24"/>
        </w:rPr>
        <w:t>Assurance that an action or event cannot be denied by the parties involved.</w:t>
      </w:r>
    </w:p>
    <w:p w:rsidRPr="00F1346F" w:rsidR="00D11D0A" w:rsidRDefault="00D43FBB" w14:paraId="69BBAD0E" w14:textId="77777777">
      <w:pPr>
        <w:rPr>
          <w:rFonts w:ascii="Courier New" w:hAnsi="Courier New" w:cs="Courier New"/>
          <w:color w:val="000000" w:themeColor="text1"/>
          <w:sz w:val="24"/>
          <w:szCs w:val="24"/>
        </w:rPr>
      </w:pPr>
      <w:r w:rsidRPr="00F1346F">
        <w:rPr>
          <w:rFonts w:ascii="Courier New" w:hAnsi="Courier New" w:cs="Courier New"/>
          <w:b/>
          <w:color w:val="000000" w:themeColor="text1"/>
          <w:sz w:val="24"/>
          <w:szCs w:val="24"/>
        </w:rPr>
        <w:t xml:space="preserve">Risk Acceptance: </w:t>
      </w:r>
      <w:r w:rsidRPr="00F1346F">
        <w:rPr>
          <w:rFonts w:ascii="Courier New" w:hAnsi="Courier New" w:cs="Courier New"/>
          <w:color w:val="000000" w:themeColor="text1"/>
          <w:sz w:val="24"/>
          <w:szCs w:val="24"/>
        </w:rPr>
        <w:t>Formal decision to accept identified risk within agreed tolerance for a defined period.</w:t>
      </w:r>
    </w:p>
    <w:p w:rsidRPr="00F1346F" w:rsidR="00D11D0A" w:rsidRDefault="00D43FBB" w14:paraId="2045989D"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lastRenderedPageBreak/>
        <w:t>Annex B – RACI (Roles &amp; Responsibilities)</w:t>
      </w:r>
    </w:p>
    <w:p w:rsidRPr="00F1346F" w:rsidR="00D11D0A" w:rsidRDefault="00D43FBB" w14:paraId="5AD25B76"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DG – Accountable (A) for overall security risk; Informed (I) of major incidents and risk acceptances.</w:t>
      </w:r>
    </w:p>
    <w:p w:rsidRPr="00F1346F" w:rsidR="00D11D0A" w:rsidRDefault="00D43FBB" w14:paraId="7466F8F2"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CIO/DCIO – Accountable (A) for the program; Responsible (R) for policy approvals; Consulted (C) on high</w:t>
      </w:r>
      <w:r w:rsidRPr="00F1346F">
        <w:rPr>
          <w:rFonts w:ascii="Cambria Math" w:hAnsi="Cambria Math" w:cs="Cambria Math"/>
          <w:color w:val="000000" w:themeColor="text1"/>
          <w:sz w:val="24"/>
          <w:szCs w:val="24"/>
        </w:rPr>
        <w:t>‑</w:t>
      </w:r>
      <w:r w:rsidRPr="00F1346F">
        <w:rPr>
          <w:rFonts w:ascii="Courier New" w:hAnsi="Courier New" w:cs="Courier New"/>
          <w:color w:val="000000" w:themeColor="text1"/>
          <w:sz w:val="24"/>
          <w:szCs w:val="24"/>
        </w:rPr>
        <w:t>risk decisions.</w:t>
      </w:r>
    </w:p>
    <w:p w:rsidRPr="00F1346F" w:rsidR="00D11D0A" w:rsidRDefault="00D43FBB" w14:paraId="03C1833A"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ICT Security Lead – Responsible (R) for controls operations, monitoring, IR coordination, and awareness; Consulted (C) on exceptions.</w:t>
      </w:r>
    </w:p>
    <w:p w:rsidRPr="00F1346F" w:rsidR="00D11D0A" w:rsidRDefault="00D43FBB" w14:paraId="6AB54251"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System Owners – Responsible (R) for implementing controls; Accountable (A) for their systems’ compliance.</w:t>
      </w:r>
    </w:p>
    <w:p w:rsidRPr="00F1346F" w:rsidR="00D11D0A" w:rsidRDefault="00D43FBB" w14:paraId="64170F87"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Data Owners – Responsible (R) for classification and access approvals; Consulted (C) for exceptions.</w:t>
      </w:r>
    </w:p>
    <w:p w:rsidRPr="00F1346F" w:rsidR="00D11D0A" w:rsidRDefault="00D43FBB" w14:paraId="649ECDAD"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Service Desk/Core &amp; Network Services – Responsible (R) for JML execution and recordkeeping.</w:t>
      </w:r>
    </w:p>
    <w:p w:rsidRPr="00F1346F" w:rsidR="00D11D0A" w:rsidRDefault="00D43FBB" w14:paraId="05AFF034"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Internal Audit – Consulted (C) for controls assurance; Informed (I) on risk and exceptions.</w:t>
      </w:r>
    </w:p>
    <w:p w:rsidRPr="00F1346F" w:rsidR="00D11D0A" w:rsidRDefault="00D43FBB" w14:paraId="3943D435"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All Users/Third Parties – Responsible (R) for complying with policy and reporting suspected incidents.</w:t>
      </w:r>
    </w:p>
    <w:p w:rsidRPr="00F1346F" w:rsidR="00D11D0A" w:rsidRDefault="00D43FBB" w14:paraId="444126E2"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Annex C – Risk Acceptance Authority Matrix</w:t>
      </w:r>
    </w:p>
    <w:p w:rsidRPr="00F1346F" w:rsidR="00D11D0A" w:rsidRDefault="00D43FBB" w14:paraId="744B6F2F"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Low risk – CIO/DCIO may approve up to 12 months with compensating controls.</w:t>
      </w:r>
    </w:p>
    <w:p w:rsidRPr="00F1346F" w:rsidR="00D11D0A" w:rsidRDefault="00D43FBB" w14:paraId="2C5BB711"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Moderate risk – CIO with DG informed; maximum 6–12 months; quarterly review required.</w:t>
      </w:r>
    </w:p>
    <w:p w:rsidRPr="00F1346F" w:rsidR="00D11D0A" w:rsidRDefault="00D43FBB" w14:paraId="1E4C3AF9"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High/Critical risk – DG or Force Commander approval required; maximum 3–6 months; monthly review; explicit exit plan.</w:t>
      </w:r>
    </w:p>
    <w:p w:rsidRPr="00F1346F" w:rsidR="00D11D0A" w:rsidRDefault="00D43FBB" w14:paraId="6652D4CF" w14:textId="77777777">
      <w:pPr>
        <w:pStyle w:val="Heading2"/>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Annex D – Security Exception Request (Template)</w:t>
      </w:r>
    </w:p>
    <w:p w:rsidRPr="00F1346F" w:rsidR="00D11D0A" w:rsidRDefault="00D43FBB" w14:paraId="48B001D7"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Requester / Unit:</w:t>
      </w:r>
    </w:p>
    <w:p w:rsidRPr="00F1346F" w:rsidR="00D11D0A" w:rsidRDefault="00D43FBB" w14:paraId="2FFD389F"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System / Data in scope:</w:t>
      </w:r>
    </w:p>
    <w:p w:rsidRPr="00F1346F" w:rsidR="00D11D0A" w:rsidRDefault="00D43FBB" w14:paraId="325E57DD" w14:textId="77777777">
      <w:pPr>
        <w:rPr>
          <w:rFonts w:ascii="Courier New" w:hAnsi="Courier New" w:cs="Courier New"/>
          <w:color w:val="000000" w:themeColor="text1"/>
          <w:sz w:val="24"/>
          <w:szCs w:val="24"/>
        </w:rPr>
      </w:pPr>
      <w:r w:rsidRPr="5B1A9D0B" w:rsidR="00D43FBB">
        <w:rPr>
          <w:rFonts w:ascii="Courier New" w:hAnsi="Courier New" w:cs="Courier New"/>
          <w:color w:val="000000" w:themeColor="text1" w:themeTint="FF" w:themeShade="FF"/>
          <w:sz w:val="24"/>
          <w:szCs w:val="24"/>
        </w:rPr>
        <w:t xml:space="preserve">• Policy/Control </w:t>
      </w:r>
      <w:r w:rsidRPr="5B1A9D0B" w:rsidR="00D43FBB">
        <w:rPr>
          <w:rFonts w:ascii="Courier New" w:hAnsi="Courier New" w:eastAsia="ＭＳ 明朝" w:cs="Courier New" w:asciiTheme="minorAscii" w:hAnsiTheme="minorAscii" w:eastAsiaTheme="minorEastAsia" w:cstheme="minorBidi"/>
          <w:color w:val="000000" w:themeColor="text1" w:themeTint="FF" w:themeShade="FF"/>
          <w:sz w:val="24"/>
          <w:szCs w:val="24"/>
          <w:lang w:eastAsia="en-US" w:bidi="ar-SA"/>
        </w:rPr>
        <w:t xml:space="preserve">being </w:t>
      </w:r>
      <w:r w:rsidRPr="5B1A9D0B" w:rsidR="00D43FBB">
        <w:rPr>
          <w:rFonts w:ascii="Courier New" w:hAnsi="Courier New" w:eastAsia="ＭＳ 明朝" w:cs="Courier New" w:asciiTheme="minorAscii" w:hAnsiTheme="minorAscii" w:eastAsiaTheme="minorEastAsia" w:cstheme="minorBidi"/>
          <w:color w:val="000000" w:themeColor="text1" w:themeTint="FF" w:themeShade="FF"/>
          <w:sz w:val="24"/>
          <w:szCs w:val="24"/>
          <w:lang w:eastAsia="en-US" w:bidi="ar-SA"/>
        </w:rPr>
        <w:t>excepted</w:t>
      </w:r>
      <w:r w:rsidRPr="5B1A9D0B" w:rsidR="00D43FBB">
        <w:rPr>
          <w:rFonts w:ascii="Courier New" w:hAnsi="Courier New" w:eastAsia="ＭＳ 明朝" w:cs="Courier New" w:asciiTheme="minorAscii" w:hAnsiTheme="minorAscii" w:eastAsiaTheme="minorEastAsia" w:cstheme="minorBidi"/>
          <w:color w:val="000000" w:themeColor="text1" w:themeTint="FF" w:themeShade="FF"/>
          <w:sz w:val="24"/>
          <w:szCs w:val="24"/>
          <w:lang w:eastAsia="en-US" w:bidi="ar-SA"/>
        </w:rPr>
        <w:t>:</w:t>
      </w:r>
    </w:p>
    <w:p w:rsidRPr="00F1346F" w:rsidR="00D11D0A" w:rsidRDefault="00D43FBB" w14:paraId="23720C6C"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Business justification:</w:t>
      </w:r>
    </w:p>
    <w:p w:rsidRPr="00F1346F" w:rsidR="00D11D0A" w:rsidRDefault="00D43FBB" w14:paraId="17203899"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Risk summary (likelihood x impact):</w:t>
      </w:r>
    </w:p>
    <w:p w:rsidRPr="00F1346F" w:rsidR="00D11D0A" w:rsidRDefault="00D43FBB" w14:paraId="71F16301"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Compensating controls:</w:t>
      </w:r>
    </w:p>
    <w:p w:rsidRPr="00F1346F" w:rsidR="00D11D0A" w:rsidRDefault="00D43FBB" w14:paraId="6BE09AE3"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Requested start and expiry date:</w:t>
      </w:r>
    </w:p>
    <w:p w:rsidRPr="00F1346F" w:rsidR="00D11D0A" w:rsidRDefault="00D43FBB" w14:paraId="679A1C88"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Approvals (per Annex C):</w:t>
      </w:r>
    </w:p>
    <w:p w:rsidRPr="00F1346F" w:rsidR="00D11D0A" w:rsidRDefault="00D43FBB" w14:paraId="37B5730E"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Review schedule and owner:</w:t>
      </w:r>
    </w:p>
    <w:p w:rsidRPr="00F1346F" w:rsidR="00D11D0A" w:rsidRDefault="00D43FBB" w14:paraId="25700520" w14:textId="77777777">
      <w:pPr>
        <w:rPr>
          <w:rFonts w:ascii="Courier New" w:hAnsi="Courier New" w:cs="Courier New"/>
          <w:color w:val="000000" w:themeColor="text1"/>
          <w:sz w:val="24"/>
          <w:szCs w:val="24"/>
        </w:rPr>
      </w:pPr>
      <w:r w:rsidRPr="00F1346F">
        <w:rPr>
          <w:rFonts w:ascii="Courier New" w:hAnsi="Courier New" w:cs="Courier New"/>
          <w:color w:val="000000" w:themeColor="text1"/>
          <w:sz w:val="24"/>
          <w:szCs w:val="24"/>
        </w:rPr>
        <w:t>• Closure evidence:</w:t>
      </w:r>
    </w:p>
    <w:p w:rsidRPr="00F1346F" w:rsidR="00D11D0A" w:rsidRDefault="00D43FBB" w14:paraId="4994DB0C" w14:textId="290C23D9">
      <w:pPr>
        <w:pStyle w:val="Heading2"/>
        <w:rPr>
          <w:rFonts w:ascii="Courier New" w:hAnsi="Courier New" w:cs="Courier New"/>
          <w:color w:val="000000" w:themeColor="text1"/>
          <w:sz w:val="24"/>
          <w:szCs w:val="24"/>
        </w:rPr>
      </w:pPr>
      <w:r w:rsidRPr="5B1A9D0B" w:rsidR="00D43FBB">
        <w:rPr>
          <w:rFonts w:ascii="Courier New" w:hAnsi="Courier New" w:cs="Courier New"/>
          <w:color w:val="000000" w:themeColor="text1" w:themeTint="FF" w:themeShade="FF"/>
          <w:sz w:val="24"/>
          <w:szCs w:val="24"/>
        </w:rPr>
        <w:t xml:space="preserve">Annex E – Policy-to-NIST CSF </w:t>
      </w:r>
      <w:r w:rsidRPr="5B1A9D0B" w:rsidR="03629A52">
        <w:rPr>
          <w:rFonts w:ascii="Courier New" w:hAnsi="Courier New" w:cs="Courier New"/>
          <w:color w:val="000000" w:themeColor="text1" w:themeTint="FF" w:themeShade="FF"/>
          <w:sz w:val="24"/>
          <w:szCs w:val="24"/>
        </w:rPr>
        <w:t xml:space="preserve">v 2.0 </w:t>
      </w:r>
      <w:r w:rsidRPr="5B1A9D0B" w:rsidR="00D43FBB">
        <w:rPr>
          <w:rFonts w:ascii="Courier New" w:hAnsi="Courier New" w:cs="Courier New"/>
          <w:color w:val="000000" w:themeColor="text1" w:themeTint="FF" w:themeShade="FF"/>
          <w:sz w:val="24"/>
          <w:szCs w:val="24"/>
        </w:rPr>
        <w:t>Mapping</w:t>
      </w:r>
    </w:p>
    <w:tbl>
      <w:tblPr>
        <w:tblStyle w:val="PlainTable1"/>
        <w:bidiVisual w:val="0"/>
        <w:tblW w:w="0" w:type="auto"/>
        <w:tblLook w:val="06A0" w:firstRow="1" w:lastRow="0" w:firstColumn="1" w:lastColumn="0" w:noHBand="1" w:noVBand="1"/>
      </w:tblPr>
      <w:tblGrid>
        <w:gridCol w:w="1590"/>
        <w:gridCol w:w="1530"/>
        <w:gridCol w:w="5520"/>
      </w:tblGrid>
      <w:tr w:rsidR="5B1A9D0B" w:rsidTr="5B1A9D0B" w14:paraId="1662E8DB">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5B1A9D0B" w:rsidP="5B1A9D0B" w:rsidRDefault="5B1A9D0B" w14:paraId="686C26E8" w14:textId="194D6C0E">
            <w:pPr>
              <w:spacing w:before="0" w:beforeAutospacing="off" w:after="0" w:afterAutospacing="off" w:line="300" w:lineRule="auto"/>
              <w:jc w:val="center"/>
              <w:rPr>
                <w:rFonts w:ascii="Courier New" w:hAnsi="Courier New" w:eastAsia="Courier New" w:cs="Courier New"/>
                <w:b w:val="1"/>
                <w:bCs w:val="1"/>
              </w:rPr>
            </w:pPr>
            <w:r w:rsidRPr="5B1A9D0B" w:rsidR="5B1A9D0B">
              <w:rPr>
                <w:rFonts w:ascii="Courier New" w:hAnsi="Courier New" w:eastAsia="Courier New" w:cs="Courier New"/>
                <w:b w:val="1"/>
                <w:bCs w:val="1"/>
              </w:rPr>
              <w:t>NIST CSF Function</w:t>
            </w:r>
          </w:p>
        </w:tc>
        <w:tc>
          <w:tcPr>
            <w:cnfStyle w:val="000000000000" w:firstRow="0" w:lastRow="0" w:firstColumn="0" w:lastColumn="0" w:oddVBand="0" w:evenVBand="0" w:oddHBand="0" w:evenHBand="0" w:firstRowFirstColumn="0" w:firstRowLastColumn="0" w:lastRowFirstColumn="0" w:lastRowLastColumn="0"/>
            <w:tcW w:w="1530" w:type="dxa"/>
            <w:tcMar/>
          </w:tcPr>
          <w:p w:rsidR="5B1A9D0B" w:rsidP="5B1A9D0B" w:rsidRDefault="5B1A9D0B" w14:paraId="05A1CA12" w14:textId="4252C365">
            <w:pPr>
              <w:spacing w:before="0" w:beforeAutospacing="off" w:after="0" w:afterAutospacing="off" w:line="300" w:lineRule="auto"/>
              <w:jc w:val="center"/>
              <w:rPr>
                <w:rFonts w:ascii="Courier New" w:hAnsi="Courier New" w:eastAsia="Courier New" w:cs="Courier New"/>
                <w:b w:val="1"/>
                <w:bCs w:val="1"/>
              </w:rPr>
            </w:pPr>
            <w:r w:rsidRPr="5B1A9D0B" w:rsidR="5B1A9D0B">
              <w:rPr>
                <w:rFonts w:ascii="Courier New" w:hAnsi="Courier New" w:eastAsia="Courier New" w:cs="Courier New"/>
                <w:b w:val="1"/>
                <w:bCs w:val="1"/>
              </w:rPr>
              <w:t>Mapped ISP Sections</w:t>
            </w:r>
          </w:p>
        </w:tc>
        <w:tc>
          <w:tcPr>
            <w:cnfStyle w:val="000000000000" w:firstRow="0" w:lastRow="0" w:firstColumn="0" w:lastColumn="0" w:oddVBand="0" w:evenVBand="0" w:oddHBand="0" w:evenHBand="0" w:firstRowFirstColumn="0" w:firstRowLastColumn="0" w:lastRowFirstColumn="0" w:lastRowLastColumn="0"/>
            <w:tcW w:w="5520" w:type="dxa"/>
            <w:tcMar/>
          </w:tcPr>
          <w:p w:rsidR="5B1A9D0B" w:rsidP="5B1A9D0B" w:rsidRDefault="5B1A9D0B" w14:paraId="31BABE86" w14:textId="541491D1">
            <w:pPr>
              <w:spacing w:before="0" w:beforeAutospacing="off" w:after="0" w:afterAutospacing="off" w:line="300" w:lineRule="auto"/>
              <w:jc w:val="center"/>
              <w:rPr>
                <w:rFonts w:ascii="Courier New" w:hAnsi="Courier New" w:eastAsia="Courier New" w:cs="Courier New"/>
                <w:b w:val="1"/>
                <w:bCs w:val="1"/>
              </w:rPr>
            </w:pPr>
            <w:r w:rsidRPr="5B1A9D0B" w:rsidR="5B1A9D0B">
              <w:rPr>
                <w:rFonts w:ascii="Courier New" w:hAnsi="Courier New" w:eastAsia="Courier New" w:cs="Courier New"/>
                <w:b w:val="1"/>
                <w:bCs w:val="1"/>
              </w:rPr>
              <w:t>Description</w:t>
            </w:r>
          </w:p>
        </w:tc>
      </w:tr>
      <w:tr w:rsidR="5B1A9D0B" w:rsidTr="5B1A9D0B" w14:paraId="7C456E16">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5B1A9D0B" w:rsidP="5B1A9D0B" w:rsidRDefault="5B1A9D0B" w14:paraId="6DAEB331" w14:textId="7CF4B2D2">
            <w:pPr>
              <w:spacing w:before="0" w:beforeAutospacing="off" w:after="0" w:afterAutospacing="off" w:line="300" w:lineRule="auto"/>
              <w:jc w:val="center"/>
              <w:rPr>
                <w:rFonts w:ascii="Courier New" w:hAnsi="Courier New" w:eastAsia="Courier New" w:cs="Courier New"/>
                <w:b w:val="1"/>
                <w:bCs w:val="1"/>
              </w:rPr>
            </w:pPr>
            <w:r w:rsidRPr="5B1A9D0B" w:rsidR="5B1A9D0B">
              <w:rPr>
                <w:rFonts w:ascii="Courier New" w:hAnsi="Courier New" w:eastAsia="Courier New" w:cs="Courier New"/>
                <w:b w:val="1"/>
                <w:bCs w:val="1"/>
              </w:rPr>
              <w:t>Govern (GV)</w:t>
            </w:r>
          </w:p>
        </w:tc>
        <w:tc>
          <w:tcPr>
            <w:cnfStyle w:val="000000000000" w:firstRow="0" w:lastRow="0" w:firstColumn="0" w:lastColumn="0" w:oddVBand="0" w:evenVBand="0" w:oddHBand="0" w:evenHBand="0" w:firstRowFirstColumn="0" w:firstRowLastColumn="0" w:lastRowFirstColumn="0" w:lastRowLastColumn="0"/>
            <w:tcW w:w="1530" w:type="dxa"/>
            <w:tcMar/>
          </w:tcPr>
          <w:p w:rsidR="5B1A9D0B" w:rsidP="5B1A9D0B" w:rsidRDefault="5B1A9D0B" w14:paraId="7F254847" w14:textId="3FA67FDB">
            <w:pPr>
              <w:spacing w:before="0" w:beforeAutospacing="off" w:after="0" w:afterAutospacing="off" w:line="300" w:lineRule="auto"/>
              <w:rPr>
                <w:rFonts w:ascii="Courier New" w:hAnsi="Courier New" w:eastAsia="Courier New" w:cs="Courier New"/>
                <w:b w:val="1"/>
                <w:bCs w:val="1"/>
              </w:rPr>
            </w:pPr>
            <w:r w:rsidRPr="5B1A9D0B" w:rsidR="5B1A9D0B">
              <w:rPr>
                <w:rFonts w:ascii="Courier New" w:hAnsi="Courier New" w:eastAsia="Courier New" w:cs="Courier New"/>
              </w:rPr>
              <w:t xml:space="preserve">Sections </w:t>
            </w:r>
            <w:r w:rsidRPr="5B1A9D0B" w:rsidR="5B1A9D0B">
              <w:rPr>
                <w:rFonts w:ascii="Courier New" w:hAnsi="Courier New" w:eastAsia="Courier New" w:cs="Courier New"/>
                <w:b w:val="1"/>
                <w:bCs w:val="1"/>
              </w:rPr>
              <w:t>1, 2, 3, 4, 14, 15, 17</w:t>
            </w:r>
          </w:p>
        </w:tc>
        <w:tc>
          <w:tcPr>
            <w:cnfStyle w:val="000000000000" w:firstRow="0" w:lastRow="0" w:firstColumn="0" w:lastColumn="0" w:oddVBand="0" w:evenVBand="0" w:oddHBand="0" w:evenHBand="0" w:firstRowFirstColumn="0" w:firstRowLastColumn="0" w:lastRowFirstColumn="0" w:lastRowLastColumn="0"/>
            <w:tcW w:w="5520" w:type="dxa"/>
            <w:tcMar/>
          </w:tcPr>
          <w:p w:rsidR="5B1A9D0B" w:rsidP="5B1A9D0B" w:rsidRDefault="5B1A9D0B" w14:paraId="0AB0028F" w14:textId="1827344C">
            <w:pPr>
              <w:spacing w:before="0" w:beforeAutospacing="off" w:after="0" w:afterAutospacing="off" w:line="300" w:lineRule="auto"/>
              <w:rPr>
                <w:rFonts w:ascii="Courier New" w:hAnsi="Courier New" w:eastAsia="Courier New" w:cs="Courier New"/>
              </w:rPr>
            </w:pPr>
            <w:r w:rsidRPr="5B1A9D0B" w:rsidR="5B1A9D0B">
              <w:rPr>
                <w:rFonts w:ascii="Courier New" w:hAnsi="Courier New" w:eastAsia="Courier New" w:cs="Courier New"/>
              </w:rPr>
              <w:t>Governance structure, policy framework, roles &amp; responsibilities, compliance, document control.</w:t>
            </w:r>
          </w:p>
        </w:tc>
      </w:tr>
      <w:tr w:rsidR="5B1A9D0B" w:rsidTr="5B1A9D0B" w14:paraId="2445F774">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5B1A9D0B" w:rsidP="5B1A9D0B" w:rsidRDefault="5B1A9D0B" w14:paraId="55BD261B" w14:textId="028FA9C2">
            <w:pPr>
              <w:spacing w:before="0" w:beforeAutospacing="off" w:after="0" w:afterAutospacing="off" w:line="300" w:lineRule="auto"/>
              <w:jc w:val="center"/>
              <w:rPr>
                <w:rFonts w:ascii="Courier New" w:hAnsi="Courier New" w:eastAsia="Courier New" w:cs="Courier New"/>
                <w:b w:val="1"/>
                <w:bCs w:val="1"/>
              </w:rPr>
            </w:pPr>
            <w:r w:rsidRPr="5B1A9D0B" w:rsidR="5B1A9D0B">
              <w:rPr>
                <w:rFonts w:ascii="Courier New" w:hAnsi="Courier New" w:eastAsia="Courier New" w:cs="Courier New"/>
                <w:b w:val="1"/>
                <w:bCs w:val="1"/>
              </w:rPr>
              <w:t>Identify</w:t>
            </w:r>
            <w:r w:rsidRPr="5B1A9D0B" w:rsidR="5B1A9D0B">
              <w:rPr>
                <w:rFonts w:ascii="Courier New" w:hAnsi="Courier New" w:eastAsia="Courier New" w:cs="Courier New"/>
                <w:b w:val="1"/>
                <w:bCs w:val="1"/>
              </w:rPr>
              <w:t xml:space="preserve"> (ID)</w:t>
            </w:r>
          </w:p>
        </w:tc>
        <w:tc>
          <w:tcPr>
            <w:cnfStyle w:val="000000000000" w:firstRow="0" w:lastRow="0" w:firstColumn="0" w:lastColumn="0" w:oddVBand="0" w:evenVBand="0" w:oddHBand="0" w:evenHBand="0" w:firstRowFirstColumn="0" w:firstRowLastColumn="0" w:lastRowFirstColumn="0" w:lastRowLastColumn="0"/>
            <w:tcW w:w="1530" w:type="dxa"/>
            <w:tcMar/>
          </w:tcPr>
          <w:p w:rsidR="5B1A9D0B" w:rsidP="5B1A9D0B" w:rsidRDefault="5B1A9D0B" w14:paraId="4D67F166" w14:textId="4AC34311">
            <w:pPr>
              <w:spacing w:before="0" w:beforeAutospacing="off" w:after="0" w:afterAutospacing="off" w:line="300" w:lineRule="auto"/>
              <w:rPr>
                <w:rFonts w:ascii="Courier New" w:hAnsi="Courier New" w:eastAsia="Courier New" w:cs="Courier New"/>
                <w:b w:val="1"/>
                <w:bCs w:val="1"/>
              </w:rPr>
            </w:pPr>
            <w:r w:rsidRPr="5B1A9D0B" w:rsidR="5B1A9D0B">
              <w:rPr>
                <w:rFonts w:ascii="Courier New" w:hAnsi="Courier New" w:eastAsia="Courier New" w:cs="Courier New"/>
              </w:rPr>
              <w:t xml:space="preserve">Sections </w:t>
            </w:r>
            <w:r w:rsidRPr="5B1A9D0B" w:rsidR="5B1A9D0B">
              <w:rPr>
                <w:rFonts w:ascii="Courier New" w:hAnsi="Courier New" w:eastAsia="Courier New" w:cs="Courier New"/>
                <w:b w:val="1"/>
                <w:bCs w:val="1"/>
              </w:rPr>
              <w:t>5, 6, 7, 12, 16</w:t>
            </w:r>
          </w:p>
        </w:tc>
        <w:tc>
          <w:tcPr>
            <w:cnfStyle w:val="000000000000" w:firstRow="0" w:lastRow="0" w:firstColumn="0" w:lastColumn="0" w:oddVBand="0" w:evenVBand="0" w:oddHBand="0" w:evenHBand="0" w:firstRowFirstColumn="0" w:firstRowLastColumn="0" w:lastRowFirstColumn="0" w:lastRowLastColumn="0"/>
            <w:tcW w:w="5520" w:type="dxa"/>
            <w:tcMar/>
          </w:tcPr>
          <w:p w:rsidR="5B1A9D0B" w:rsidP="5B1A9D0B" w:rsidRDefault="5B1A9D0B" w14:paraId="61212E39" w14:textId="16B16760">
            <w:pPr>
              <w:spacing w:before="0" w:beforeAutospacing="off" w:after="0" w:afterAutospacing="off" w:line="300" w:lineRule="auto"/>
              <w:rPr>
                <w:rFonts w:ascii="Courier New" w:hAnsi="Courier New" w:eastAsia="Courier New" w:cs="Courier New"/>
              </w:rPr>
            </w:pPr>
            <w:r w:rsidRPr="5B1A9D0B" w:rsidR="5B1A9D0B">
              <w:rPr>
                <w:rFonts w:ascii="Courier New" w:hAnsi="Courier New" w:eastAsia="Courier New" w:cs="Courier New"/>
              </w:rPr>
              <w:t>Risk management, classification, asset management, supplier/third‑party risk, metrics &amp; reporting.</w:t>
            </w:r>
          </w:p>
        </w:tc>
      </w:tr>
      <w:tr w:rsidR="5B1A9D0B" w:rsidTr="5B1A9D0B" w14:paraId="4EB3A804">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5B1A9D0B" w:rsidP="5B1A9D0B" w:rsidRDefault="5B1A9D0B" w14:paraId="7FB47E92" w14:textId="5B38BF45">
            <w:pPr>
              <w:spacing w:before="0" w:beforeAutospacing="off" w:after="0" w:afterAutospacing="off" w:line="300" w:lineRule="auto"/>
              <w:jc w:val="center"/>
              <w:rPr>
                <w:rFonts w:ascii="Courier New" w:hAnsi="Courier New" w:eastAsia="Courier New" w:cs="Courier New"/>
                <w:b w:val="1"/>
                <w:bCs w:val="1"/>
              </w:rPr>
            </w:pPr>
            <w:r w:rsidRPr="5B1A9D0B" w:rsidR="5B1A9D0B">
              <w:rPr>
                <w:rFonts w:ascii="Courier New" w:hAnsi="Courier New" w:eastAsia="Courier New" w:cs="Courier New"/>
                <w:b w:val="1"/>
                <w:bCs w:val="1"/>
              </w:rPr>
              <w:t>Protect (PR)</w:t>
            </w:r>
          </w:p>
        </w:tc>
        <w:tc>
          <w:tcPr>
            <w:cnfStyle w:val="000000000000" w:firstRow="0" w:lastRow="0" w:firstColumn="0" w:lastColumn="0" w:oddVBand="0" w:evenVBand="0" w:oddHBand="0" w:evenHBand="0" w:firstRowFirstColumn="0" w:firstRowLastColumn="0" w:lastRowFirstColumn="0" w:lastRowLastColumn="0"/>
            <w:tcW w:w="1530" w:type="dxa"/>
            <w:tcMar/>
          </w:tcPr>
          <w:p w:rsidR="5B1A9D0B" w:rsidP="5B1A9D0B" w:rsidRDefault="5B1A9D0B" w14:paraId="38A3E9E5" w14:textId="73DB5833">
            <w:pPr>
              <w:spacing w:before="0" w:beforeAutospacing="off" w:after="0" w:afterAutospacing="off" w:line="300" w:lineRule="auto"/>
              <w:rPr>
                <w:rFonts w:ascii="Courier New" w:hAnsi="Courier New" w:eastAsia="Courier New" w:cs="Courier New"/>
                <w:b w:val="1"/>
                <w:bCs w:val="1"/>
              </w:rPr>
            </w:pPr>
            <w:r w:rsidRPr="5B1A9D0B" w:rsidR="5B1A9D0B">
              <w:rPr>
                <w:rFonts w:ascii="Courier New" w:hAnsi="Courier New" w:eastAsia="Courier New" w:cs="Courier New"/>
              </w:rPr>
              <w:t xml:space="preserve">Sections </w:t>
            </w:r>
            <w:r w:rsidRPr="5B1A9D0B" w:rsidR="5B1A9D0B">
              <w:rPr>
                <w:rFonts w:ascii="Courier New" w:hAnsi="Courier New" w:eastAsia="Courier New" w:cs="Courier New"/>
                <w:b w:val="1"/>
                <w:bCs w:val="1"/>
              </w:rPr>
              <w:t>6, 7, 8, 9, 13</w:t>
            </w:r>
          </w:p>
        </w:tc>
        <w:tc>
          <w:tcPr>
            <w:cnfStyle w:val="000000000000" w:firstRow="0" w:lastRow="0" w:firstColumn="0" w:lastColumn="0" w:oddVBand="0" w:evenVBand="0" w:oddHBand="0" w:evenHBand="0" w:firstRowFirstColumn="0" w:firstRowLastColumn="0" w:lastRowFirstColumn="0" w:lastRowLastColumn="0"/>
            <w:tcW w:w="5520" w:type="dxa"/>
            <w:tcMar/>
          </w:tcPr>
          <w:p w:rsidR="5B1A9D0B" w:rsidP="5B1A9D0B" w:rsidRDefault="5B1A9D0B" w14:paraId="32A950FC" w14:textId="352B5747">
            <w:pPr>
              <w:spacing w:before="0" w:beforeAutospacing="off" w:after="0" w:afterAutospacing="off" w:line="300" w:lineRule="auto"/>
              <w:rPr>
                <w:rFonts w:ascii="Courier New" w:hAnsi="Courier New" w:eastAsia="Courier New" w:cs="Courier New"/>
              </w:rPr>
            </w:pPr>
            <w:r w:rsidRPr="5B1A9D0B" w:rsidR="5B1A9D0B">
              <w:rPr>
                <w:rFonts w:ascii="Courier New" w:hAnsi="Courier New" w:eastAsia="Courier New" w:cs="Courier New"/>
              </w:rPr>
              <w:t xml:space="preserve">Data protection, access management, operational security, secure configurations, </w:t>
            </w:r>
            <w:r w:rsidRPr="5B1A9D0B" w:rsidR="5B1A9D0B">
              <w:rPr>
                <w:rFonts w:ascii="Courier New" w:hAnsi="Courier New" w:eastAsia="Courier New" w:cs="Courier New"/>
              </w:rPr>
              <w:t>awareness</w:t>
            </w:r>
            <w:r w:rsidRPr="5B1A9D0B" w:rsidR="5B1A9D0B">
              <w:rPr>
                <w:rFonts w:ascii="Courier New" w:hAnsi="Courier New" w:eastAsia="Courier New" w:cs="Courier New"/>
              </w:rPr>
              <w:t xml:space="preserve"> </w:t>
            </w:r>
            <w:r w:rsidRPr="5B1A9D0B" w:rsidR="5B1A9D0B">
              <w:rPr>
                <w:rFonts w:ascii="Courier New" w:hAnsi="Courier New" w:eastAsia="Courier New" w:cs="Courier New"/>
              </w:rPr>
              <w:t>&amp; training</w:t>
            </w:r>
            <w:r w:rsidRPr="5B1A9D0B" w:rsidR="5B1A9D0B">
              <w:rPr>
                <w:rFonts w:ascii="Courier New" w:hAnsi="Courier New" w:eastAsia="Courier New" w:cs="Courier New"/>
              </w:rPr>
              <w:t>.</w:t>
            </w:r>
          </w:p>
        </w:tc>
      </w:tr>
      <w:tr w:rsidR="5B1A9D0B" w:rsidTr="5B1A9D0B" w14:paraId="0A282340">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5B1A9D0B" w:rsidP="5B1A9D0B" w:rsidRDefault="5B1A9D0B" w14:paraId="6A3D0528" w14:textId="26FB3C54">
            <w:pPr>
              <w:spacing w:before="0" w:beforeAutospacing="off" w:after="0" w:afterAutospacing="off" w:line="300" w:lineRule="auto"/>
              <w:jc w:val="center"/>
              <w:rPr>
                <w:rFonts w:ascii="Courier New" w:hAnsi="Courier New" w:eastAsia="Courier New" w:cs="Courier New"/>
                <w:b w:val="1"/>
                <w:bCs w:val="1"/>
              </w:rPr>
            </w:pPr>
            <w:r w:rsidRPr="5B1A9D0B" w:rsidR="5B1A9D0B">
              <w:rPr>
                <w:rFonts w:ascii="Courier New" w:hAnsi="Courier New" w:eastAsia="Courier New" w:cs="Courier New"/>
                <w:b w:val="1"/>
                <w:bCs w:val="1"/>
              </w:rPr>
              <w:t>Detect (DE)</w:t>
            </w:r>
          </w:p>
        </w:tc>
        <w:tc>
          <w:tcPr>
            <w:cnfStyle w:val="000000000000" w:firstRow="0" w:lastRow="0" w:firstColumn="0" w:lastColumn="0" w:oddVBand="0" w:evenVBand="0" w:oddHBand="0" w:evenHBand="0" w:firstRowFirstColumn="0" w:firstRowLastColumn="0" w:lastRowFirstColumn="0" w:lastRowLastColumn="0"/>
            <w:tcW w:w="1530" w:type="dxa"/>
            <w:tcMar/>
          </w:tcPr>
          <w:p w:rsidR="5B1A9D0B" w:rsidP="5B1A9D0B" w:rsidRDefault="5B1A9D0B" w14:paraId="34098F42" w14:textId="407B641D">
            <w:pPr>
              <w:spacing w:before="0" w:beforeAutospacing="off" w:after="0" w:afterAutospacing="off" w:line="300" w:lineRule="auto"/>
              <w:rPr>
                <w:rFonts w:ascii="Courier New" w:hAnsi="Courier New" w:eastAsia="Courier New" w:cs="Courier New"/>
                <w:b w:val="1"/>
                <w:bCs w:val="1"/>
              </w:rPr>
            </w:pPr>
            <w:r w:rsidRPr="5B1A9D0B" w:rsidR="5B1A9D0B">
              <w:rPr>
                <w:rFonts w:ascii="Courier New" w:hAnsi="Courier New" w:eastAsia="Courier New" w:cs="Courier New"/>
              </w:rPr>
              <w:t xml:space="preserve">Sections </w:t>
            </w:r>
            <w:r w:rsidRPr="5B1A9D0B" w:rsidR="5B1A9D0B">
              <w:rPr>
                <w:rFonts w:ascii="Courier New" w:hAnsi="Courier New" w:eastAsia="Courier New" w:cs="Courier New"/>
                <w:b w:val="1"/>
                <w:bCs w:val="1"/>
              </w:rPr>
              <w:t>9, 10</w:t>
            </w:r>
          </w:p>
        </w:tc>
        <w:tc>
          <w:tcPr>
            <w:cnfStyle w:val="000000000000" w:firstRow="0" w:lastRow="0" w:firstColumn="0" w:lastColumn="0" w:oddVBand="0" w:evenVBand="0" w:oddHBand="0" w:evenHBand="0" w:firstRowFirstColumn="0" w:firstRowLastColumn="0" w:lastRowFirstColumn="0" w:lastRowLastColumn="0"/>
            <w:tcW w:w="5520" w:type="dxa"/>
            <w:tcMar/>
          </w:tcPr>
          <w:p w:rsidR="5B1A9D0B" w:rsidP="5B1A9D0B" w:rsidRDefault="5B1A9D0B" w14:paraId="2A7C47CA" w14:textId="344D9B39">
            <w:pPr>
              <w:spacing w:before="0" w:beforeAutospacing="off" w:after="0" w:afterAutospacing="off" w:line="300" w:lineRule="auto"/>
              <w:rPr>
                <w:rFonts w:ascii="Courier New" w:hAnsi="Courier New" w:eastAsia="Courier New" w:cs="Courier New"/>
              </w:rPr>
            </w:pPr>
            <w:r w:rsidRPr="5B1A9D0B" w:rsidR="5B1A9D0B">
              <w:rPr>
                <w:rFonts w:ascii="Courier New" w:hAnsi="Courier New" w:eastAsia="Courier New" w:cs="Courier New"/>
              </w:rPr>
              <w:t>Monitoring, logging, detection processes</w:t>
            </w:r>
            <w:r w:rsidRPr="5B1A9D0B" w:rsidR="5B1A9D0B">
              <w:rPr>
                <w:rFonts w:ascii="Courier New" w:hAnsi="Courier New" w:eastAsia="Courier New" w:cs="Courier New"/>
              </w:rPr>
              <w:t>, incident</w:t>
            </w:r>
            <w:r w:rsidRPr="5B1A9D0B" w:rsidR="5B1A9D0B">
              <w:rPr>
                <w:rFonts w:ascii="Courier New" w:hAnsi="Courier New" w:eastAsia="Courier New" w:cs="Courier New"/>
              </w:rPr>
              <w:t xml:space="preserve"> identification.</w:t>
            </w:r>
          </w:p>
        </w:tc>
      </w:tr>
      <w:tr w:rsidR="5B1A9D0B" w:rsidTr="5B1A9D0B" w14:paraId="7C86C07D">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5B1A9D0B" w:rsidP="5B1A9D0B" w:rsidRDefault="5B1A9D0B" w14:paraId="6DBD6D70" w14:textId="6C47C11C">
            <w:pPr>
              <w:spacing w:before="0" w:beforeAutospacing="off" w:after="0" w:afterAutospacing="off" w:line="300" w:lineRule="auto"/>
              <w:jc w:val="center"/>
              <w:rPr>
                <w:rFonts w:ascii="Courier New" w:hAnsi="Courier New" w:eastAsia="Courier New" w:cs="Courier New"/>
                <w:b w:val="1"/>
                <w:bCs w:val="1"/>
              </w:rPr>
            </w:pPr>
            <w:r w:rsidRPr="5B1A9D0B" w:rsidR="5B1A9D0B">
              <w:rPr>
                <w:rFonts w:ascii="Courier New" w:hAnsi="Courier New" w:eastAsia="Courier New" w:cs="Courier New"/>
                <w:b w:val="1"/>
                <w:bCs w:val="1"/>
              </w:rPr>
              <w:t>Respond (RS)</w:t>
            </w:r>
          </w:p>
        </w:tc>
        <w:tc>
          <w:tcPr>
            <w:cnfStyle w:val="000000000000" w:firstRow="0" w:lastRow="0" w:firstColumn="0" w:lastColumn="0" w:oddVBand="0" w:evenVBand="0" w:oddHBand="0" w:evenHBand="0" w:firstRowFirstColumn="0" w:firstRowLastColumn="0" w:lastRowFirstColumn="0" w:lastRowLastColumn="0"/>
            <w:tcW w:w="1530" w:type="dxa"/>
            <w:tcMar/>
          </w:tcPr>
          <w:p w:rsidR="5B1A9D0B" w:rsidP="5B1A9D0B" w:rsidRDefault="5B1A9D0B" w14:paraId="2BA189E3" w14:textId="2FF86496">
            <w:pPr>
              <w:spacing w:before="0" w:beforeAutospacing="off" w:after="0" w:afterAutospacing="off" w:line="300" w:lineRule="auto"/>
              <w:rPr>
                <w:rFonts w:ascii="Courier New" w:hAnsi="Courier New" w:eastAsia="Courier New" w:cs="Courier New"/>
                <w:b w:val="1"/>
                <w:bCs w:val="1"/>
              </w:rPr>
            </w:pPr>
            <w:r w:rsidRPr="5B1A9D0B" w:rsidR="5B1A9D0B">
              <w:rPr>
                <w:rFonts w:ascii="Courier New" w:hAnsi="Courier New" w:eastAsia="Courier New" w:cs="Courier New"/>
              </w:rPr>
              <w:t xml:space="preserve">Section </w:t>
            </w:r>
            <w:r w:rsidRPr="5B1A9D0B" w:rsidR="5B1A9D0B">
              <w:rPr>
                <w:rFonts w:ascii="Courier New" w:hAnsi="Courier New" w:eastAsia="Courier New" w:cs="Courier New"/>
                <w:b w:val="1"/>
                <w:bCs w:val="1"/>
              </w:rPr>
              <w:t>10</w:t>
            </w:r>
          </w:p>
        </w:tc>
        <w:tc>
          <w:tcPr>
            <w:cnfStyle w:val="000000000000" w:firstRow="0" w:lastRow="0" w:firstColumn="0" w:lastColumn="0" w:oddVBand="0" w:evenVBand="0" w:oddHBand="0" w:evenHBand="0" w:firstRowFirstColumn="0" w:firstRowLastColumn="0" w:lastRowFirstColumn="0" w:lastRowLastColumn="0"/>
            <w:tcW w:w="5520" w:type="dxa"/>
            <w:tcMar/>
          </w:tcPr>
          <w:p w:rsidR="5B1A9D0B" w:rsidP="5B1A9D0B" w:rsidRDefault="5B1A9D0B" w14:paraId="00B94E84" w14:textId="7C621EB3">
            <w:pPr>
              <w:spacing w:before="0" w:beforeAutospacing="off" w:after="0" w:afterAutospacing="off" w:line="300" w:lineRule="auto"/>
              <w:rPr>
                <w:rFonts w:ascii="Courier New" w:hAnsi="Courier New" w:eastAsia="Courier New" w:cs="Courier New"/>
              </w:rPr>
            </w:pPr>
            <w:r w:rsidRPr="5B1A9D0B" w:rsidR="5B1A9D0B">
              <w:rPr>
                <w:rFonts w:ascii="Courier New" w:hAnsi="Courier New" w:eastAsia="Courier New" w:cs="Courier New"/>
              </w:rPr>
              <w:t>Incident response, escalation, communication, containment</w:t>
            </w:r>
            <w:r w:rsidRPr="5B1A9D0B" w:rsidR="5B1A9D0B">
              <w:rPr>
                <w:rFonts w:ascii="Courier New" w:hAnsi="Courier New" w:eastAsia="Courier New" w:cs="Courier New"/>
              </w:rPr>
              <w:t>, forensics</w:t>
            </w:r>
            <w:r w:rsidRPr="5B1A9D0B" w:rsidR="5B1A9D0B">
              <w:rPr>
                <w:rFonts w:ascii="Courier New" w:hAnsi="Courier New" w:eastAsia="Courier New" w:cs="Courier New"/>
              </w:rPr>
              <w:t>.</w:t>
            </w:r>
          </w:p>
        </w:tc>
      </w:tr>
      <w:tr w:rsidR="5B1A9D0B" w:rsidTr="5B1A9D0B" w14:paraId="031EA6E1">
        <w:trPr>
          <w:trHeight w:val="300"/>
        </w:trPr>
        <w:tc>
          <w:tcPr>
            <w:cnfStyle w:val="001000000000" w:firstRow="0" w:lastRow="0" w:firstColumn="1" w:lastColumn="0" w:oddVBand="0" w:evenVBand="0" w:oddHBand="0" w:evenHBand="0" w:firstRowFirstColumn="0" w:firstRowLastColumn="0" w:lastRowFirstColumn="0" w:lastRowLastColumn="0"/>
            <w:tcW w:w="1590" w:type="dxa"/>
            <w:tcMar/>
          </w:tcPr>
          <w:p w:rsidR="5B1A9D0B" w:rsidP="5B1A9D0B" w:rsidRDefault="5B1A9D0B" w14:paraId="29705FC4" w14:textId="2D392009">
            <w:pPr>
              <w:spacing w:before="0" w:beforeAutospacing="off" w:after="0" w:afterAutospacing="off" w:line="300" w:lineRule="auto"/>
              <w:jc w:val="center"/>
              <w:rPr>
                <w:rFonts w:ascii="Courier New" w:hAnsi="Courier New" w:eastAsia="Courier New" w:cs="Courier New"/>
                <w:b w:val="1"/>
                <w:bCs w:val="1"/>
              </w:rPr>
            </w:pPr>
            <w:r w:rsidRPr="5B1A9D0B" w:rsidR="5B1A9D0B">
              <w:rPr>
                <w:rFonts w:ascii="Courier New" w:hAnsi="Courier New" w:eastAsia="Courier New" w:cs="Courier New"/>
                <w:b w:val="1"/>
                <w:bCs w:val="1"/>
              </w:rPr>
              <w:t>Recover (RC)</w:t>
            </w:r>
          </w:p>
        </w:tc>
        <w:tc>
          <w:tcPr>
            <w:cnfStyle w:val="000000000000" w:firstRow="0" w:lastRow="0" w:firstColumn="0" w:lastColumn="0" w:oddVBand="0" w:evenVBand="0" w:oddHBand="0" w:evenHBand="0" w:firstRowFirstColumn="0" w:firstRowLastColumn="0" w:lastRowFirstColumn="0" w:lastRowLastColumn="0"/>
            <w:tcW w:w="1530" w:type="dxa"/>
            <w:tcMar/>
          </w:tcPr>
          <w:p w:rsidR="5B1A9D0B" w:rsidP="5B1A9D0B" w:rsidRDefault="5B1A9D0B" w14:paraId="38709364" w14:textId="4CC189E1">
            <w:pPr>
              <w:spacing w:before="0" w:beforeAutospacing="off" w:after="0" w:afterAutospacing="off" w:line="300" w:lineRule="auto"/>
              <w:rPr>
                <w:rFonts w:ascii="Courier New" w:hAnsi="Courier New" w:eastAsia="Courier New" w:cs="Courier New"/>
                <w:b w:val="1"/>
                <w:bCs w:val="1"/>
              </w:rPr>
            </w:pPr>
            <w:r w:rsidRPr="5B1A9D0B" w:rsidR="5B1A9D0B">
              <w:rPr>
                <w:rFonts w:ascii="Courier New" w:hAnsi="Courier New" w:eastAsia="Courier New" w:cs="Courier New"/>
              </w:rPr>
              <w:t xml:space="preserve">Section </w:t>
            </w:r>
            <w:r w:rsidRPr="5B1A9D0B" w:rsidR="5B1A9D0B">
              <w:rPr>
                <w:rFonts w:ascii="Courier New" w:hAnsi="Courier New" w:eastAsia="Courier New" w:cs="Courier New"/>
                <w:b w:val="1"/>
                <w:bCs w:val="1"/>
              </w:rPr>
              <w:t>11</w:t>
            </w:r>
          </w:p>
        </w:tc>
        <w:tc>
          <w:tcPr>
            <w:cnfStyle w:val="000000000000" w:firstRow="0" w:lastRow="0" w:firstColumn="0" w:lastColumn="0" w:oddVBand="0" w:evenVBand="0" w:oddHBand="0" w:evenHBand="0" w:firstRowFirstColumn="0" w:firstRowLastColumn="0" w:lastRowFirstColumn="0" w:lastRowLastColumn="0"/>
            <w:tcW w:w="5520" w:type="dxa"/>
            <w:tcMar/>
          </w:tcPr>
          <w:p w:rsidR="5B1A9D0B" w:rsidP="5B1A9D0B" w:rsidRDefault="5B1A9D0B" w14:paraId="1B9D69B9" w14:textId="35CF99D6">
            <w:pPr>
              <w:spacing w:before="0" w:beforeAutospacing="off" w:after="0" w:afterAutospacing="off" w:line="300" w:lineRule="auto"/>
              <w:rPr>
                <w:rFonts w:ascii="Courier New" w:hAnsi="Courier New" w:eastAsia="Courier New" w:cs="Courier New"/>
              </w:rPr>
            </w:pPr>
            <w:r w:rsidRPr="5B1A9D0B" w:rsidR="5B1A9D0B">
              <w:rPr>
                <w:rFonts w:ascii="Courier New" w:hAnsi="Courier New" w:eastAsia="Courier New" w:cs="Courier New"/>
              </w:rPr>
              <w:t>Business continuity and disaster recovery execution, restoration, recovery planning.</w:t>
            </w:r>
          </w:p>
        </w:tc>
      </w:tr>
    </w:tbl>
    <w:p w:rsidR="5B1A9D0B" w:rsidP="5B1A9D0B" w:rsidRDefault="5B1A9D0B" w14:paraId="33C0FEE6" w14:textId="7767F207">
      <w:pPr>
        <w:pStyle w:val="Normal"/>
      </w:pPr>
    </w:p>
    <w:sectPr w:rsidRPr="00F1346F" w:rsidR="00D11D0A" w:rsidSect="00034616">
      <w:headerReference w:type="default" r:id="rId15"/>
      <w:footerReference w:type="default" r:id="rId16"/>
      <w:pgSz w:w="12240" w:h="15840" w:orient="portrait"/>
      <w:pgMar w:top="1440" w:right="1800" w:bottom="1440" w:left="180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1583" w:rsidP="00F1346F" w:rsidRDefault="00E21583" w14:paraId="1FC565E5" w14:textId="77777777">
      <w:pPr>
        <w:spacing w:after="0" w:line="240" w:lineRule="auto"/>
      </w:pPr>
      <w:r>
        <w:separator/>
      </w:r>
    </w:p>
  </w:endnote>
  <w:endnote w:type="continuationSeparator" w:id="0">
    <w:p w:rsidR="00E21583" w:rsidP="00F1346F" w:rsidRDefault="00E21583" w14:paraId="01A4AD2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346F" w:rsidP="00F1346F" w:rsidRDefault="00F1346F" w14:paraId="59531C1E" w14:textId="77777777">
    <w:pPr>
      <w:pStyle w:val="paragraph"/>
      <w:pBdr>
        <w:bottom w:val="single" w:color="000000" w:sz="12" w:space="1"/>
      </w:pBdr>
      <w:spacing w:before="0" w:beforeAutospacing="0" w:after="0" w:afterAutospacing="0"/>
      <w:textAlignment w:val="baseline"/>
      <w:rPr>
        <w:rFonts w:ascii="Segoe UI" w:hAnsi="Segoe UI" w:cs="Segoe UI"/>
        <w:sz w:val="18"/>
        <w:szCs w:val="18"/>
      </w:rPr>
    </w:pPr>
    <w:r>
      <w:rPr>
        <w:rStyle w:val="normaltextrun"/>
        <w:rFonts w:ascii="Cambria Math" w:hAnsi="Cambria Math" w:cs="Cambria Math"/>
      </w:rPr>
      <w:t> </w:t>
    </w:r>
    <w:r>
      <w:rPr>
        <w:rStyle w:val="eop"/>
        <w:rFonts w:ascii="Courier New" w:hAnsi="Courier New" w:cs="Courier New"/>
      </w:rPr>
      <w:t> </w:t>
    </w:r>
  </w:p>
  <w:p w:rsidR="00F1346F" w:rsidP="00F1346F" w:rsidRDefault="00F1346F" w14:paraId="6E7BEAA2" w14:textId="77777777">
    <w:pPr>
      <w:pStyle w:val="paragraph"/>
      <w:spacing w:before="0" w:beforeAutospacing="0" w:after="0" w:afterAutospacing="0"/>
      <w:jc w:val="center"/>
      <w:textAlignment w:val="baseline"/>
      <w:rPr>
        <w:rFonts w:ascii="Segoe UI" w:hAnsi="Segoe UI" w:cs="Segoe UI"/>
        <w:sz w:val="18"/>
        <w:szCs w:val="18"/>
      </w:rPr>
    </w:pPr>
    <w:r>
      <w:rPr>
        <w:rStyle w:val="eop"/>
        <w:rFonts w:ascii="Courier New" w:hAnsi="Courier New" w:cs="Courier New"/>
        <w:color w:val="000000"/>
        <w:sz w:val="22"/>
        <w:szCs w:val="22"/>
      </w:rPr>
      <w:t> </w:t>
    </w:r>
  </w:p>
  <w:p w:rsidR="00F1346F" w:rsidP="00F1346F" w:rsidRDefault="00F1346F" w14:paraId="1579A3C1" w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Courier New" w:hAnsi="Courier New" w:cs="Courier New"/>
        <w:b/>
        <w:bCs/>
        <w:color w:val="000000"/>
        <w:shd w:val="clear" w:color="auto" w:fill="FFFFFF"/>
      </w:rPr>
      <w:t>MFO POLICY AND ADMINISTRATIVE</w:t>
    </w:r>
    <w:r>
      <w:rPr>
        <w:rStyle w:val="normaltextrun"/>
        <w:rFonts w:ascii="Cambria Math" w:hAnsi="Cambria Math" w:cs="Cambria Math"/>
        <w:b/>
        <w:bCs/>
        <w:color w:val="000000"/>
        <w:shd w:val="clear" w:color="auto" w:fill="FFFFFF"/>
      </w:rPr>
      <w:t> </w:t>
    </w:r>
    <w:r>
      <w:rPr>
        <w:rStyle w:val="normaltextrun"/>
        <w:rFonts w:ascii="Courier New" w:hAnsi="Courier New" w:cs="Courier New"/>
        <w:b/>
        <w:bCs/>
        <w:color w:val="000000"/>
        <w:shd w:val="clear" w:color="auto" w:fill="FFFFFF"/>
      </w:rPr>
      <w:t>MANUAL</w:t>
    </w:r>
    <w:r>
      <w:rPr>
        <w:rStyle w:val="eop"/>
        <w:rFonts w:ascii="Courier New" w:hAnsi="Courier New" w:cs="Courier New"/>
        <w:color w:val="000000"/>
      </w:rPr>
      <w:t> </w:t>
    </w:r>
  </w:p>
  <w:p w:rsidR="00F1346F" w:rsidP="00F1346F" w:rsidRDefault="00F1346F" w14:paraId="511217C5" w14:textId="77777777">
    <w:pPr>
      <w:pStyle w:val="paragraph"/>
      <w:spacing w:before="0" w:beforeAutospacing="0" w:after="0" w:afterAutospacing="0"/>
      <w:jc w:val="center"/>
      <w:textAlignment w:val="baseline"/>
      <w:rPr>
        <w:rFonts w:ascii="Segoe UI" w:hAnsi="Segoe UI" w:cs="Segoe UI"/>
        <w:sz w:val="18"/>
        <w:szCs w:val="18"/>
      </w:rPr>
    </w:pPr>
    <w:r>
      <w:rPr>
        <w:rStyle w:val="normaltextrun"/>
        <w:rFonts w:ascii="Courier New" w:hAnsi="Courier New" w:cs="Courier New"/>
        <w:b/>
        <w:bCs/>
        <w:color w:val="000000"/>
        <w:shd w:val="clear" w:color="auto" w:fill="FFFFFF"/>
      </w:rPr>
      <w:t>VOLUME 1: INFORMATION SECURITY POLICY</w:t>
    </w:r>
  </w:p>
  <w:p w:rsidR="00F1346F" w:rsidRDefault="00F1346F" w14:paraId="5DAB6C7B" w14:textId="77777777">
    <w:pPr>
      <w:pStyle w:val="Footer"/>
      <w:jc w:val="center"/>
    </w:pPr>
  </w:p>
  <w:sdt>
    <w:sdtPr>
      <w:id w:val="1676692391"/>
      <w:docPartObj>
        <w:docPartGallery w:val="Page Numbers (Bottom of Page)"/>
        <w:docPartUnique/>
      </w:docPartObj>
    </w:sdtPr>
    <w:sdtEndPr>
      <w:rPr>
        <w:noProof/>
      </w:rPr>
    </w:sdtEndPr>
    <w:sdtContent>
      <w:p w:rsidR="00F1346F" w:rsidRDefault="00F1346F" w14:paraId="2903CBC8"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1346F" w:rsidRDefault="00F1346F" w14:paraId="02EB378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1583" w:rsidP="00F1346F" w:rsidRDefault="00E21583" w14:paraId="6491E5F9" w14:textId="77777777">
      <w:pPr>
        <w:spacing w:after="0" w:line="240" w:lineRule="auto"/>
      </w:pPr>
      <w:r>
        <w:separator/>
      </w:r>
    </w:p>
  </w:footnote>
  <w:footnote w:type="continuationSeparator" w:id="0">
    <w:p w:rsidR="00E21583" w:rsidP="00F1346F" w:rsidRDefault="00E21583" w14:paraId="7B94C5F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1346F" w:rsidR="00F1346F" w:rsidP="00F1346F" w:rsidRDefault="00F1346F" w14:paraId="12276405" w14:textId="77777777">
    <w:pPr>
      <w:pStyle w:val="Header"/>
      <w:jc w:val="right"/>
    </w:pPr>
    <w:r>
      <w:rPr>
        <w:rStyle w:val="normaltextrun"/>
        <w:rFonts w:ascii="Courier New" w:hAnsi="Courier New" w:cs="Courier New"/>
        <w:b/>
        <w:bCs/>
        <w:color w:val="000000"/>
        <w:sz w:val="20"/>
        <w:szCs w:val="20"/>
        <w:shd w:val="clear" w:color="auto" w:fill="FFFFFF"/>
      </w:rPr>
      <w:t>20</w:t>
    </w:r>
    <w:r>
      <w:rPr>
        <w:rStyle w:val="normaltextrun"/>
        <w:rFonts w:ascii="Cambria Math" w:hAnsi="Cambria Math" w:cs="Cambria Math"/>
        <w:b/>
        <w:bCs/>
        <w:color w:val="000000"/>
        <w:sz w:val="20"/>
        <w:szCs w:val="20"/>
        <w:shd w:val="clear" w:color="auto" w:fill="FFFFFF"/>
      </w:rPr>
      <w:t> </w:t>
    </w:r>
    <w:r>
      <w:rPr>
        <w:rStyle w:val="normaltextrun"/>
        <w:rFonts w:ascii="Courier New" w:hAnsi="Courier New" w:cs="Courier New"/>
        <w:b/>
        <w:bCs/>
        <w:color w:val="000000"/>
        <w:sz w:val="20"/>
        <w:szCs w:val="20"/>
        <w:shd w:val="clear" w:color="auto" w:fill="FFFFFF"/>
      </w:rPr>
      <w:t>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230116178">
    <w:abstractNumId w:val="8"/>
  </w:num>
  <w:num w:numId="2" w16cid:durableId="1960138718">
    <w:abstractNumId w:val="6"/>
  </w:num>
  <w:num w:numId="3" w16cid:durableId="1519152248">
    <w:abstractNumId w:val="5"/>
  </w:num>
  <w:num w:numId="4" w16cid:durableId="2124185188">
    <w:abstractNumId w:val="4"/>
  </w:num>
  <w:num w:numId="5" w16cid:durableId="1679499725">
    <w:abstractNumId w:val="7"/>
  </w:num>
  <w:num w:numId="6" w16cid:durableId="473253329">
    <w:abstractNumId w:val="3"/>
  </w:num>
  <w:num w:numId="7" w16cid:durableId="1426653640">
    <w:abstractNumId w:val="2"/>
  </w:num>
  <w:num w:numId="8" w16cid:durableId="1915627473">
    <w:abstractNumId w:val="1"/>
  </w:num>
  <w:num w:numId="9" w16cid:durableId="556816907">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CCA"/>
    <w:rsid w:val="003619E4"/>
    <w:rsid w:val="00441F4A"/>
    <w:rsid w:val="0064585A"/>
    <w:rsid w:val="00692BAB"/>
    <w:rsid w:val="006A5C41"/>
    <w:rsid w:val="007A2E5C"/>
    <w:rsid w:val="00AA1D8D"/>
    <w:rsid w:val="00B15914"/>
    <w:rsid w:val="00B47730"/>
    <w:rsid w:val="00CB0664"/>
    <w:rsid w:val="00CF3107"/>
    <w:rsid w:val="00D11D0A"/>
    <w:rsid w:val="00D43FBB"/>
    <w:rsid w:val="00E21583"/>
    <w:rsid w:val="00F1346F"/>
    <w:rsid w:val="00FC693F"/>
    <w:rsid w:val="03629A52"/>
    <w:rsid w:val="064A9E9D"/>
    <w:rsid w:val="073100B2"/>
    <w:rsid w:val="074DECF8"/>
    <w:rsid w:val="085DB7E2"/>
    <w:rsid w:val="106DE86D"/>
    <w:rsid w:val="1292EB78"/>
    <w:rsid w:val="169AD2CC"/>
    <w:rsid w:val="1728697D"/>
    <w:rsid w:val="174CE6B1"/>
    <w:rsid w:val="29A89186"/>
    <w:rsid w:val="32A72ABE"/>
    <w:rsid w:val="3A7FE8F5"/>
    <w:rsid w:val="3C6EDB45"/>
    <w:rsid w:val="41135805"/>
    <w:rsid w:val="45F89F7A"/>
    <w:rsid w:val="4CC3A573"/>
    <w:rsid w:val="4D79217C"/>
    <w:rsid w:val="5B1A9D0B"/>
    <w:rsid w:val="5F6E881F"/>
    <w:rsid w:val="729EAC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42157"/>
  <w14:defaultImageDpi w14:val="300"/>
  <w15:docId w15:val="{403B041E-AC78-4514-8F0D-A387CD630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aragraph" w:customStyle="1">
    <w:name w:val="paragraph"/>
    <w:basedOn w:val="Normal"/>
    <w:rsid w:val="00F1346F"/>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F1346F"/>
  </w:style>
  <w:style w:type="character" w:styleId="eop" w:customStyle="1">
    <w:name w:val="eop"/>
    <w:basedOn w:val="DefaultParagraphFont"/>
    <w:rsid w:val="00F1346F"/>
  </w:style>
  <w:style w:type="character" w:styleId="CommentReference">
    <w:name w:val="annotation reference"/>
    <w:basedOn w:val="DefaultParagraphFont"/>
    <w:uiPriority w:val="99"/>
    <w:semiHidden/>
    <w:unhideWhenUsed/>
    <w:rsid w:val="00441F4A"/>
    <w:rPr>
      <w:sz w:val="16"/>
      <w:szCs w:val="16"/>
    </w:rPr>
  </w:style>
  <w:style w:type="paragraph" w:styleId="CommentText">
    <w:name w:val="annotation text"/>
    <w:basedOn w:val="Normal"/>
    <w:link w:val="CommentTextChar"/>
    <w:uiPriority w:val="99"/>
    <w:unhideWhenUsed/>
    <w:rsid w:val="00441F4A"/>
    <w:pPr>
      <w:spacing w:line="240" w:lineRule="auto"/>
    </w:pPr>
    <w:rPr>
      <w:sz w:val="20"/>
      <w:szCs w:val="20"/>
    </w:rPr>
  </w:style>
  <w:style w:type="character" w:styleId="CommentTextChar" w:customStyle="1">
    <w:name w:val="Comment Text Char"/>
    <w:basedOn w:val="DefaultParagraphFont"/>
    <w:link w:val="CommentText"/>
    <w:uiPriority w:val="99"/>
    <w:rsid w:val="00441F4A"/>
    <w:rPr>
      <w:sz w:val="20"/>
      <w:szCs w:val="20"/>
    </w:rPr>
  </w:style>
  <w:style w:type="paragraph" w:styleId="CommentSubject">
    <w:name w:val="annotation subject"/>
    <w:basedOn w:val="CommentText"/>
    <w:next w:val="CommentText"/>
    <w:link w:val="CommentSubjectChar"/>
    <w:uiPriority w:val="99"/>
    <w:semiHidden/>
    <w:unhideWhenUsed/>
    <w:rsid w:val="00441F4A"/>
    <w:rPr>
      <w:b/>
      <w:bCs/>
    </w:rPr>
  </w:style>
  <w:style w:type="character" w:styleId="CommentSubjectChar" w:customStyle="1">
    <w:name w:val="Comment Subject Char"/>
    <w:basedOn w:val="CommentTextChar"/>
    <w:link w:val="CommentSubject"/>
    <w:uiPriority w:val="99"/>
    <w:semiHidden/>
    <w:rsid w:val="00441F4A"/>
    <w:rPr>
      <w:b/>
      <w:bCs/>
      <w:sz w:val="20"/>
      <w:szCs w:val="20"/>
    </w:r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290440">
      <w:bodyDiv w:val="1"/>
      <w:marLeft w:val="0"/>
      <w:marRight w:val="0"/>
      <w:marTop w:val="0"/>
      <w:marBottom w:val="0"/>
      <w:divBdr>
        <w:top w:val="none" w:sz="0" w:space="0" w:color="auto"/>
        <w:left w:val="none" w:sz="0" w:space="0" w:color="auto"/>
        <w:bottom w:val="none" w:sz="0" w:space="0" w:color="auto"/>
        <w:right w:val="none" w:sz="0" w:space="0" w:color="auto"/>
      </w:divBdr>
      <w:divsChild>
        <w:div w:id="1637562110">
          <w:marLeft w:val="0"/>
          <w:marRight w:val="0"/>
          <w:marTop w:val="0"/>
          <w:marBottom w:val="0"/>
          <w:divBdr>
            <w:top w:val="none" w:sz="0" w:space="0" w:color="auto"/>
            <w:left w:val="none" w:sz="0" w:space="0" w:color="auto"/>
            <w:bottom w:val="none" w:sz="0" w:space="0" w:color="auto"/>
            <w:right w:val="none" w:sz="0" w:space="0" w:color="auto"/>
          </w:divBdr>
        </w:div>
        <w:div w:id="1163932082">
          <w:marLeft w:val="0"/>
          <w:marRight w:val="0"/>
          <w:marTop w:val="0"/>
          <w:marBottom w:val="0"/>
          <w:divBdr>
            <w:top w:val="none" w:sz="0" w:space="0" w:color="auto"/>
            <w:left w:val="none" w:sz="0" w:space="0" w:color="auto"/>
            <w:bottom w:val="none" w:sz="0" w:space="0" w:color="auto"/>
            <w:right w:val="none" w:sz="0" w:space="0" w:color="auto"/>
          </w:divBdr>
        </w:div>
        <w:div w:id="447162198">
          <w:marLeft w:val="0"/>
          <w:marRight w:val="0"/>
          <w:marTop w:val="0"/>
          <w:marBottom w:val="0"/>
          <w:divBdr>
            <w:top w:val="none" w:sz="0" w:space="0" w:color="auto"/>
            <w:left w:val="none" w:sz="0" w:space="0" w:color="auto"/>
            <w:bottom w:val="none" w:sz="0" w:space="0" w:color="auto"/>
            <w:right w:val="none" w:sz="0" w:space="0" w:color="auto"/>
          </w:divBdr>
        </w:div>
        <w:div w:id="752237610">
          <w:marLeft w:val="0"/>
          <w:marRight w:val="0"/>
          <w:marTop w:val="0"/>
          <w:marBottom w:val="0"/>
          <w:divBdr>
            <w:top w:val="none" w:sz="0" w:space="0" w:color="auto"/>
            <w:left w:val="none" w:sz="0" w:space="0" w:color="auto"/>
            <w:bottom w:val="none" w:sz="0" w:space="0" w:color="auto"/>
            <w:right w:val="none" w:sz="0" w:space="0" w:color="auto"/>
          </w:divBdr>
        </w:div>
      </w:divsChild>
    </w:div>
    <w:div w:id="1257716004">
      <w:bodyDiv w:val="1"/>
      <w:marLeft w:val="0"/>
      <w:marRight w:val="0"/>
      <w:marTop w:val="0"/>
      <w:marBottom w:val="0"/>
      <w:divBdr>
        <w:top w:val="none" w:sz="0" w:space="0" w:color="auto"/>
        <w:left w:val="none" w:sz="0" w:space="0" w:color="auto"/>
        <w:bottom w:val="none" w:sz="0" w:space="0" w:color="auto"/>
        <w:right w:val="none" w:sz="0" w:space="0" w:color="auto"/>
      </w:divBdr>
      <w:divsChild>
        <w:div w:id="428964364">
          <w:marLeft w:val="0"/>
          <w:marRight w:val="0"/>
          <w:marTop w:val="0"/>
          <w:marBottom w:val="0"/>
          <w:divBdr>
            <w:top w:val="none" w:sz="0" w:space="0" w:color="auto"/>
            <w:left w:val="none" w:sz="0" w:space="0" w:color="auto"/>
            <w:bottom w:val="none" w:sz="0" w:space="0" w:color="auto"/>
            <w:right w:val="none" w:sz="0" w:space="0" w:color="auto"/>
          </w:divBdr>
        </w:div>
        <w:div w:id="1549953262">
          <w:marLeft w:val="0"/>
          <w:marRight w:val="0"/>
          <w:marTop w:val="0"/>
          <w:marBottom w:val="0"/>
          <w:divBdr>
            <w:top w:val="none" w:sz="0" w:space="0" w:color="auto"/>
            <w:left w:val="none" w:sz="0" w:space="0" w:color="auto"/>
            <w:bottom w:val="none" w:sz="0" w:space="0" w:color="auto"/>
            <w:right w:val="none" w:sz="0" w:space="0" w:color="auto"/>
          </w:divBdr>
        </w:div>
        <w:div w:id="397217243">
          <w:marLeft w:val="0"/>
          <w:marRight w:val="0"/>
          <w:marTop w:val="0"/>
          <w:marBottom w:val="0"/>
          <w:divBdr>
            <w:top w:val="none" w:sz="0" w:space="0" w:color="auto"/>
            <w:left w:val="none" w:sz="0" w:space="0" w:color="auto"/>
            <w:bottom w:val="none" w:sz="0" w:space="0" w:color="auto"/>
            <w:right w:val="none" w:sz="0" w:space="0" w:color="auto"/>
          </w:divBdr>
        </w:div>
        <w:div w:id="319118311">
          <w:marLeft w:val="0"/>
          <w:marRight w:val="0"/>
          <w:marTop w:val="0"/>
          <w:marBottom w:val="0"/>
          <w:divBdr>
            <w:top w:val="none" w:sz="0" w:space="0" w:color="auto"/>
            <w:left w:val="none" w:sz="0" w:space="0" w:color="auto"/>
            <w:bottom w:val="none" w:sz="0" w:space="0" w:color="auto"/>
            <w:right w:val="none" w:sz="0" w:space="0" w:color="auto"/>
          </w:divBdr>
        </w:div>
      </w:divsChild>
    </w:div>
    <w:div w:id="1616984789">
      <w:bodyDiv w:val="1"/>
      <w:marLeft w:val="0"/>
      <w:marRight w:val="0"/>
      <w:marTop w:val="0"/>
      <w:marBottom w:val="0"/>
      <w:divBdr>
        <w:top w:val="none" w:sz="0" w:space="0" w:color="auto"/>
        <w:left w:val="none" w:sz="0" w:space="0" w:color="auto"/>
        <w:bottom w:val="none" w:sz="0" w:space="0" w:color="auto"/>
        <w:right w:val="none" w:sz="0" w:space="0" w:color="auto"/>
      </w:divBdr>
      <w:divsChild>
        <w:div w:id="925502357">
          <w:marLeft w:val="0"/>
          <w:marRight w:val="0"/>
          <w:marTop w:val="0"/>
          <w:marBottom w:val="0"/>
          <w:divBdr>
            <w:top w:val="none" w:sz="0" w:space="0" w:color="auto"/>
            <w:left w:val="none" w:sz="0" w:space="0" w:color="auto"/>
            <w:bottom w:val="none" w:sz="0" w:space="0" w:color="auto"/>
            <w:right w:val="none" w:sz="0" w:space="0" w:color="auto"/>
          </w:divBdr>
        </w:div>
        <w:div w:id="1830320750">
          <w:marLeft w:val="0"/>
          <w:marRight w:val="0"/>
          <w:marTop w:val="0"/>
          <w:marBottom w:val="0"/>
          <w:divBdr>
            <w:top w:val="none" w:sz="0" w:space="0" w:color="auto"/>
            <w:left w:val="none" w:sz="0" w:space="0" w:color="auto"/>
            <w:bottom w:val="none" w:sz="0" w:space="0" w:color="auto"/>
            <w:right w:val="none" w:sz="0" w:space="0" w:color="auto"/>
          </w:divBdr>
        </w:div>
        <w:div w:id="192926409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microsoft.com/office/2011/relationships/people" Target="people.xml" Id="rId18" /><Relationship Type="http://schemas.openxmlformats.org/officeDocument/2006/relationships/customXml" Target="../customXml/item3.xml" Id="rId3"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c5765c9-0bd6-4683-9df3-178b7c683cda">
      <Terms xmlns="http://schemas.microsoft.com/office/infopath/2007/PartnerControls"/>
    </lcf76f155ced4ddcb4097134ff3c332f>
    <TaxCatchAll xmlns="c3edba89-6abe-4e88-bbaf-01061420ff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62A4F00503B54DB93527F12C5EACF0" ma:contentTypeVersion="12" ma:contentTypeDescription="Create a new document." ma:contentTypeScope="" ma:versionID="598b623d802410b5e87e58994ee67704">
  <xsd:schema xmlns:xsd="http://www.w3.org/2001/XMLSchema" xmlns:xs="http://www.w3.org/2001/XMLSchema" xmlns:p="http://schemas.microsoft.com/office/2006/metadata/properties" xmlns:ns2="1c5765c9-0bd6-4683-9df3-178b7c683cda" xmlns:ns3="c3edba89-6abe-4e88-bbaf-01061420ff5b" targetNamespace="http://schemas.microsoft.com/office/2006/metadata/properties" ma:root="true" ma:fieldsID="5be5b45b1476d3b1e853de7cca162e08" ns2:_="" ns3:_="">
    <xsd:import namespace="1c5765c9-0bd6-4683-9df3-178b7c683cda"/>
    <xsd:import namespace="c3edba89-6abe-4e88-bbaf-01061420ff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5765c9-0bd6-4683-9df3-178b7c683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edba89-6abe-4e88-bbaf-01061420ff5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2ad64b9-dd02-4180-938d-ca3a92715ce2}" ma:internalName="TaxCatchAll" ma:showField="CatchAllData" ma:web="c3edba89-6abe-4e88-bbaf-01061420ff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EC4D4F-710B-4955-A919-D0B4C75F3162}">
  <ds:schemaRefs>
    <ds:schemaRef ds:uri="http://schemas.microsoft.com/office/2006/metadata/properties"/>
    <ds:schemaRef ds:uri="http://schemas.microsoft.com/office/infopath/2007/PartnerControls"/>
    <ds:schemaRef ds:uri="1c5765c9-0bd6-4683-9df3-178b7c683cda"/>
    <ds:schemaRef ds:uri="c3edba89-6abe-4e88-bbaf-01061420ff5b"/>
  </ds:schemaRefs>
</ds:datastoreItem>
</file>

<file path=customXml/itemProps2.xml><?xml version="1.0" encoding="utf-8"?>
<ds:datastoreItem xmlns:ds="http://schemas.openxmlformats.org/officeDocument/2006/customXml" ds:itemID="{FA5A5809-11E3-4B5E-8A61-B6D6A185DB2D}">
  <ds:schemaRefs>
    <ds:schemaRef ds:uri="http://schemas.microsoft.com/sharepoint/v3/contenttype/forms"/>
  </ds:schemaRefs>
</ds:datastoreItem>
</file>

<file path=customXml/itemProps3.xml><?xml version="1.0" encoding="utf-8"?>
<ds:datastoreItem xmlns:ds="http://schemas.openxmlformats.org/officeDocument/2006/customXml" ds:itemID="{025B28F7-D1A0-4F5C-B24F-5AF99ADFE6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5765c9-0bd6-4683-9df3-178b7c683cda"/>
    <ds:schemaRef ds:uri="c3edba89-6abe-4e88-bbaf-01061420ff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1C521F-B589-4433-B5F1-30D4291BB15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Chandu Krishna Bheema</cp:lastModifiedBy>
  <cp:revision>11</cp:revision>
  <dcterms:created xsi:type="dcterms:W3CDTF">2013-12-23T23:15:00Z</dcterms:created>
  <dcterms:modified xsi:type="dcterms:W3CDTF">2026-02-23T18:55:44Z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0x0101009962A4F00503B54DB93527F12C5EACF0</vt:lpwstr>
  </property>
  <property fmtid="{D5CDD505-2E9C-101B-9397-08002B2CF9AE}" pid="3" name="MediaServiceImageTags">
    <vt:lpwstr/>
  </property>
</Properties>
</file>