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FFA10" w14:textId="2BEBCCF4" w:rsidR="00C96C75" w:rsidRPr="00C96C75" w:rsidRDefault="005D2094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5D2094">
        <w:rPr>
          <w:rFonts w:ascii="Arial" w:hAnsi="Arial" w:cs="Arial"/>
          <w:b/>
          <w:bCs/>
          <w:sz w:val="24"/>
          <w:szCs w:val="24"/>
        </w:rPr>
        <w:t>MFO Security Monitoring &amp; Logging Policy (</w:t>
      </w:r>
      <w:proofErr w:type="spellStart"/>
      <w:r w:rsidRPr="005D2094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5D2094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43896A31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09BBC4F4" w14:textId="388079DD" w:rsidR="00295B93" w:rsidRDefault="00295B93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Style w:val="normaltextrun"/>
          <w:rFonts w:ascii="Cambria" w:hAnsi="Cambria"/>
          <w:color w:val="000000"/>
          <w:shd w:val="clear" w:color="auto" w:fill="FFFFFF"/>
        </w:rPr>
        <w:t>Effective Date: &lt;to be confirmed</w:t>
      </w:r>
      <w:proofErr w:type="gramStart"/>
      <w:r>
        <w:rPr>
          <w:rStyle w:val="normaltextrun"/>
          <w:rFonts w:ascii="Cambria" w:hAnsi="Cambria"/>
          <w:color w:val="000000"/>
          <w:shd w:val="clear" w:color="auto" w:fill="FFFFFF"/>
        </w:rPr>
        <w:t>&gt;  |</w:t>
      </w:r>
      <w:proofErr w:type="gramEnd"/>
      <w:r>
        <w:rPr>
          <w:rStyle w:val="normaltextrun"/>
          <w:rFonts w:ascii="Cambria" w:hAnsi="Cambria"/>
          <w:color w:val="000000"/>
          <w:shd w:val="clear" w:color="auto" w:fill="FFFFFF"/>
        </w:rPr>
        <w:t>  Owner: CJ6 / ICT Security  |  Version: 1.0</w:t>
      </w:r>
      <w:r>
        <w:rPr>
          <w:rStyle w:val="eop"/>
          <w:rFonts w:ascii="Cambria" w:hAnsi="Cambria"/>
          <w:color w:val="000000"/>
        </w:rPr>
        <w:t> </w:t>
      </w: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>ontents</w:t>
          </w:r>
        </w:p>
        <w:p w14:paraId="09DC18A9" w14:textId="1BA7A149" w:rsidR="00295B93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39655" w:history="1">
            <w:r w:rsidR="00295B93" w:rsidRPr="00233C2F">
              <w:rPr>
                <w:rStyle w:val="Hyperlink"/>
                <w:rFonts w:cs="Arial"/>
                <w:noProof/>
              </w:rPr>
              <w:t>1.Policy Statement</w:t>
            </w:r>
            <w:r w:rsidR="00295B93">
              <w:rPr>
                <w:noProof/>
                <w:webHidden/>
              </w:rPr>
              <w:tab/>
            </w:r>
            <w:r w:rsidR="00295B93">
              <w:rPr>
                <w:noProof/>
                <w:webHidden/>
              </w:rPr>
              <w:fldChar w:fldCharType="begin"/>
            </w:r>
            <w:r w:rsidR="00295B93">
              <w:rPr>
                <w:noProof/>
                <w:webHidden/>
              </w:rPr>
              <w:instrText xml:space="preserve"> PAGEREF _Toc224639655 \h </w:instrText>
            </w:r>
            <w:r w:rsidR="00295B93">
              <w:rPr>
                <w:noProof/>
                <w:webHidden/>
              </w:rPr>
            </w:r>
            <w:r w:rsidR="00295B93">
              <w:rPr>
                <w:noProof/>
                <w:webHidden/>
              </w:rPr>
              <w:fldChar w:fldCharType="separate"/>
            </w:r>
            <w:r w:rsidR="00295B93">
              <w:rPr>
                <w:noProof/>
                <w:webHidden/>
              </w:rPr>
              <w:t>2</w:t>
            </w:r>
            <w:r w:rsidR="00295B93">
              <w:rPr>
                <w:noProof/>
                <w:webHidden/>
              </w:rPr>
              <w:fldChar w:fldCharType="end"/>
            </w:r>
          </w:hyperlink>
        </w:p>
        <w:p w14:paraId="5BAACF94" w14:textId="37158660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56" w:history="1">
            <w:r w:rsidRPr="00233C2F">
              <w:rPr>
                <w:rStyle w:val="Hyperlink"/>
                <w:rFonts w:cs="Arial"/>
                <w:noProof/>
              </w:rPr>
              <w:t>2.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45D8" w14:textId="46722030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57" w:history="1">
            <w:r w:rsidRPr="00233C2F">
              <w:rPr>
                <w:rStyle w:val="Hyperlink"/>
                <w:rFonts w:cs="Arial"/>
                <w:noProof/>
              </w:rPr>
              <w:t>3. Scopes and Zones (As</w:t>
            </w:r>
            <w:r w:rsidRPr="00233C2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233C2F">
              <w:rPr>
                <w:rStyle w:val="Hyperlink"/>
                <w:rFonts w:cs="Arial"/>
                <w:noProof/>
              </w:rPr>
              <w:t>Is → 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4A95" w14:textId="33E02E8F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58" w:history="1">
            <w:r w:rsidRPr="00233C2F">
              <w:rPr>
                <w:rStyle w:val="Hyperlink"/>
                <w:rFonts w:cs="Arial"/>
                <w:noProof/>
              </w:rPr>
              <w:t>4. Logging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80B2D" w14:textId="5B82B8EB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59" w:history="1">
            <w:r w:rsidRPr="00233C2F">
              <w:rPr>
                <w:rStyle w:val="Hyperlink"/>
                <w:rFonts w:cs="Arial"/>
                <w:noProof/>
              </w:rPr>
              <w:t>5. Collection and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1770B" w14:textId="489379C0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60" w:history="1">
            <w:r w:rsidRPr="00233C2F">
              <w:rPr>
                <w:rStyle w:val="Hyperlink"/>
                <w:rFonts w:cs="Arial"/>
                <w:noProof/>
              </w:rPr>
              <w:t>6. Storage, Integrity and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B598" w14:textId="0BF5BCF3" w:rsidR="00295B93" w:rsidRDefault="00295B93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39661" w:history="1">
            <w:r w:rsidRPr="00233C2F">
              <w:rPr>
                <w:rStyle w:val="Hyperlink"/>
                <w:rFonts w:cs="Arial"/>
                <w:noProof/>
              </w:rPr>
              <w:t>6.1</w:t>
            </w:r>
            <w:r>
              <w:rPr>
                <w:rFonts w:eastAsiaTheme="minorEastAsia"/>
                <w:noProof/>
              </w:rPr>
              <w:tab/>
            </w:r>
            <w:r w:rsidRPr="00233C2F">
              <w:rPr>
                <w:rStyle w:val="Hyperlink"/>
                <w:rFonts w:cs="Arial"/>
                <w:noProof/>
              </w:rPr>
              <w:t>Platform and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3E77" w14:textId="102BCA1B" w:rsidR="00295B93" w:rsidRDefault="00295B93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4639662" w:history="1">
            <w:r w:rsidRPr="00233C2F">
              <w:rPr>
                <w:rStyle w:val="Hyperlink"/>
                <w:rFonts w:cs="Arial"/>
                <w:noProof/>
              </w:rPr>
              <w:t>6.2</w:t>
            </w:r>
            <w:r>
              <w:rPr>
                <w:rFonts w:eastAsiaTheme="minorEastAsia"/>
                <w:noProof/>
              </w:rPr>
              <w:tab/>
            </w:r>
            <w:r w:rsidRPr="00233C2F">
              <w:rPr>
                <w:rStyle w:val="Hyperlink"/>
                <w:rFonts w:cs="Arial"/>
                <w:noProof/>
              </w:rPr>
              <w:t>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488E" w14:textId="63D2C590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63" w:history="1">
            <w:r w:rsidRPr="00233C2F">
              <w:rPr>
                <w:rStyle w:val="Hyperlink"/>
                <w:rFonts w:cs="Arial"/>
                <w:noProof/>
              </w:rPr>
              <w:t>7. Access Control and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23A9" w14:textId="56C40E38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64" w:history="1">
            <w:r w:rsidRPr="00233C2F">
              <w:rPr>
                <w:rStyle w:val="Hyperlink"/>
                <w:rFonts w:cs="Arial"/>
                <w:noProof/>
              </w:rPr>
              <w:t>8. Monitoring Content (Use Cases) &amp;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ED74" w14:textId="50883F57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65" w:history="1">
            <w:r w:rsidRPr="00233C2F">
              <w:rPr>
                <w:rStyle w:val="Hyperlink"/>
                <w:rFonts w:cs="Arial"/>
                <w:noProof/>
              </w:rPr>
              <w:t>9. Endpoint / EDR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338F" w14:textId="2BFAEBB5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66" w:history="1">
            <w:r w:rsidRPr="00233C2F">
              <w:rPr>
                <w:rStyle w:val="Hyperlink"/>
                <w:rFonts w:cs="Arial"/>
                <w:noProof/>
              </w:rPr>
              <w:t>10. Cloud and Application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EC89" w14:textId="351E95F3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67" w:history="1">
            <w:r w:rsidRPr="00233C2F">
              <w:rPr>
                <w:rStyle w:val="Hyperlink"/>
                <w:rFonts w:cs="Arial"/>
                <w:noProof/>
              </w:rPr>
              <w:t>11. 1Time Sync (NTP)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19B6" w14:textId="7C0DD884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68" w:history="1">
            <w:r w:rsidRPr="00233C2F">
              <w:rPr>
                <w:rStyle w:val="Hyperlink"/>
                <w:rFonts w:cs="Arial"/>
                <w:noProof/>
              </w:rPr>
              <w:t>12. 1Change Management Linkage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4211" w14:textId="395027D5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69" w:history="1">
            <w:r w:rsidRPr="00233C2F">
              <w:rPr>
                <w:rStyle w:val="Hyperlink"/>
                <w:rFonts w:cs="Arial"/>
                <w:noProof/>
              </w:rPr>
              <w:t>13. Reporting and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760C" w14:textId="63272545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70" w:history="1">
            <w:r w:rsidRPr="00233C2F">
              <w:rPr>
                <w:rStyle w:val="Hyperlink"/>
                <w:rFonts w:cs="Arial"/>
                <w:noProof/>
              </w:rPr>
              <w:t>14. Governance, Compliance and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E652D" w14:textId="6D427551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71" w:history="1">
            <w:r w:rsidRPr="00233C2F">
              <w:rPr>
                <w:rStyle w:val="Hyperlink"/>
                <w:rFonts w:cs="Arial"/>
                <w:noProof/>
              </w:rPr>
              <w:t>15. 1Implementation and Roadmap (First 90 Days)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5FBE" w14:textId="6373E188" w:rsidR="00295B93" w:rsidRDefault="00295B93">
          <w:pPr>
            <w:pStyle w:val="TOC1"/>
            <w:rPr>
              <w:rFonts w:eastAsiaTheme="minorEastAsia"/>
              <w:noProof/>
            </w:rPr>
          </w:pPr>
          <w:hyperlink w:anchor="_Toc224639672" w:history="1">
            <w:r w:rsidRPr="00233C2F">
              <w:rPr>
                <w:rStyle w:val="Hyperlink"/>
                <w:rFonts w:cs="Arial"/>
                <w:noProof/>
              </w:rPr>
              <w:t>16.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08A700F3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6C009629" w14:textId="39C0E0F4" w:rsidR="00ED6241" w:rsidRPr="005D2094" w:rsidRDefault="00295B93" w:rsidP="00295B93">
      <w:pPr>
        <w:pStyle w:val="Heading1"/>
        <w:rPr>
          <w:rFonts w:cs="Arial"/>
          <w:szCs w:val="24"/>
        </w:rPr>
      </w:pPr>
      <w:bookmarkStart w:id="1" w:name="_Toc224639655"/>
      <w:r>
        <w:rPr>
          <w:rFonts w:cs="Arial"/>
          <w:szCs w:val="24"/>
        </w:rPr>
        <w:lastRenderedPageBreak/>
        <w:t>1.</w:t>
      </w:r>
      <w:r w:rsidR="00C958A1" w:rsidRPr="005D2094">
        <w:rPr>
          <w:rFonts w:cs="Arial"/>
          <w:szCs w:val="24"/>
        </w:rPr>
        <w:t>P</w:t>
      </w:r>
      <w:r w:rsidR="00C61E97" w:rsidRPr="005D2094">
        <w:rPr>
          <w:rFonts w:cs="Arial"/>
          <w:szCs w:val="24"/>
        </w:rPr>
        <w:t>olicy Statement</w:t>
      </w:r>
      <w:bookmarkEnd w:id="1"/>
    </w:p>
    <w:p w14:paraId="54CC96BF" w14:textId="77777777" w:rsidR="00257613" w:rsidRPr="005D2094" w:rsidRDefault="00257613" w:rsidP="00257613">
      <w:pPr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MFO shall collect, protect, retain, and analyze security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relevant logs across identity, administration, configuration, endpoint, network/IDS, and cloud/app sources. Logging shall use synchronized time, standardized formats, secure transport, hardened storage, and role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based access with audit.</w:t>
      </w:r>
    </w:p>
    <w:p w14:paraId="00D7FA19" w14:textId="0D1C7CD1" w:rsidR="00ED6241" w:rsidRPr="005D2094" w:rsidRDefault="00295B93" w:rsidP="00ED6241">
      <w:pPr>
        <w:pStyle w:val="Heading1"/>
        <w:rPr>
          <w:rFonts w:cs="Arial"/>
          <w:szCs w:val="24"/>
        </w:rPr>
      </w:pPr>
      <w:bookmarkStart w:id="2" w:name="_Toc224639656"/>
      <w:r>
        <w:rPr>
          <w:rFonts w:cs="Arial"/>
          <w:szCs w:val="24"/>
        </w:rPr>
        <w:t xml:space="preserve">2. </w:t>
      </w:r>
      <w:r w:rsidR="00C61E97" w:rsidRPr="005D2094">
        <w:rPr>
          <w:rFonts w:cs="Arial"/>
          <w:szCs w:val="24"/>
        </w:rPr>
        <w:t>Purpose</w:t>
      </w:r>
      <w:bookmarkEnd w:id="2"/>
    </w:p>
    <w:p w14:paraId="4216AE30" w14:textId="4E06946E" w:rsidR="00A46D62" w:rsidRPr="00295B93" w:rsidRDefault="00257613" w:rsidP="00295B93">
      <w:pPr>
        <w:rPr>
          <w:rStyle w:val="eop"/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Enable rapid detection and investigation of security events, assure forensic readiness, and meet audit and records requirements while minimizing operational overhead.</w:t>
      </w:r>
    </w:p>
    <w:p w14:paraId="3E260B42" w14:textId="19DD1C80" w:rsidR="00A46D62" w:rsidRPr="005D2094" w:rsidRDefault="00295B93" w:rsidP="00A46D62">
      <w:pPr>
        <w:pStyle w:val="Heading1"/>
        <w:rPr>
          <w:rFonts w:cs="Arial"/>
          <w:szCs w:val="24"/>
        </w:rPr>
      </w:pPr>
      <w:bookmarkStart w:id="3" w:name="_Toc224639657"/>
      <w:r>
        <w:rPr>
          <w:rFonts w:cs="Arial"/>
          <w:szCs w:val="24"/>
        </w:rPr>
        <w:t xml:space="preserve">3. </w:t>
      </w:r>
      <w:r w:rsidR="00C61E97" w:rsidRPr="005D2094">
        <w:rPr>
          <w:rFonts w:cs="Arial"/>
          <w:szCs w:val="24"/>
        </w:rPr>
        <w:t>Scopes and Zones (As</w:t>
      </w:r>
      <w:r w:rsidR="00C61E97" w:rsidRPr="005D2094">
        <w:rPr>
          <w:rFonts w:ascii="Cambria Math" w:hAnsi="Cambria Math" w:cs="Cambria Math"/>
          <w:szCs w:val="24"/>
        </w:rPr>
        <w:t>‑</w:t>
      </w:r>
      <w:r w:rsidR="00C61E97" w:rsidRPr="005D2094">
        <w:rPr>
          <w:rFonts w:cs="Arial"/>
          <w:szCs w:val="24"/>
        </w:rPr>
        <w:t>Is → Target)</w:t>
      </w:r>
      <w:bookmarkEnd w:id="3"/>
    </w:p>
    <w:p w14:paraId="3C17E0A4" w14:textId="77777777" w:rsidR="00257613" w:rsidRPr="005D2094" w:rsidRDefault="00257613" w:rsidP="00257613">
      <w:pPr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In scope log families (RFI inputs in parentheses):</w:t>
      </w:r>
    </w:p>
    <w:p w14:paraId="7B11DA60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Authentication logs (in scope: Yes)</w:t>
      </w:r>
    </w:p>
    <w:p w14:paraId="76F39D2B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Admin activity logs (in scope: Yes)</w:t>
      </w:r>
    </w:p>
    <w:p w14:paraId="7AE1640B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Configuration change logs (in scope: Yes)</w:t>
      </w:r>
    </w:p>
    <w:p w14:paraId="33C7E9B7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Endpoint/EDR telemetry (in scope: **Not fully implemented** → target: full coverage)</w:t>
      </w:r>
    </w:p>
    <w:p w14:paraId="175DE4BB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Network telemetry / IDS (in scope: Yes)</w:t>
      </w:r>
    </w:p>
    <w:p w14:paraId="081C85D8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Cloud / application audit logs (in scope: Yes)</w:t>
      </w:r>
    </w:p>
    <w:p w14:paraId="0300B791" w14:textId="77777777" w:rsidR="00C96C75" w:rsidRPr="005D2094" w:rsidRDefault="00C96C75" w:rsidP="00D2113F">
      <w:pPr>
        <w:pStyle w:val="NoSpacing"/>
        <w:rPr>
          <w:rFonts w:ascii="Arial" w:hAnsi="Arial" w:cs="Arial"/>
          <w:sz w:val="24"/>
          <w:szCs w:val="24"/>
        </w:rPr>
      </w:pPr>
    </w:p>
    <w:p w14:paraId="644483BC" w14:textId="17CB40DF" w:rsidR="00F63208" w:rsidRPr="005D2094" w:rsidRDefault="00295B93" w:rsidP="00F63208">
      <w:pPr>
        <w:pStyle w:val="Heading1"/>
        <w:rPr>
          <w:rFonts w:cs="Arial"/>
          <w:szCs w:val="24"/>
        </w:rPr>
      </w:pPr>
      <w:bookmarkStart w:id="4" w:name="_Toc224639658"/>
      <w:r>
        <w:rPr>
          <w:rFonts w:cs="Arial"/>
          <w:szCs w:val="24"/>
        </w:rPr>
        <w:t xml:space="preserve">4. </w:t>
      </w:r>
      <w:r w:rsidR="00257613" w:rsidRPr="005D2094">
        <w:rPr>
          <w:rFonts w:cs="Arial"/>
          <w:szCs w:val="24"/>
        </w:rPr>
        <w:t>Logging Principles</w:t>
      </w:r>
      <w:bookmarkEnd w:id="4"/>
      <w:r w:rsidR="00C96C75" w:rsidRPr="005D2094">
        <w:rPr>
          <w:rFonts w:cs="Arial"/>
          <w:szCs w:val="24"/>
        </w:rPr>
        <w:t xml:space="preserve"> </w:t>
      </w:r>
    </w:p>
    <w:p w14:paraId="0DA995D0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Time synchronization: All in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 xml:space="preserve">scope systems shall use approved NTP sources; timestamps recorded in UTC with </w:t>
      </w:r>
      <w:proofErr w:type="spellStart"/>
      <w:r w:rsidRPr="005D2094">
        <w:rPr>
          <w:rFonts w:ascii="Arial" w:hAnsi="Arial" w:cs="Arial"/>
          <w:sz w:val="24"/>
          <w:szCs w:val="24"/>
        </w:rPr>
        <w:t>timezone</w:t>
      </w:r>
      <w:proofErr w:type="spellEnd"/>
      <w:r w:rsidRPr="005D2094">
        <w:rPr>
          <w:rFonts w:ascii="Arial" w:hAnsi="Arial" w:cs="Arial"/>
          <w:sz w:val="24"/>
          <w:szCs w:val="24"/>
        </w:rPr>
        <w:t xml:space="preserve"> metadata.</w:t>
      </w:r>
    </w:p>
    <w:p w14:paraId="3DE517A4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Format: Structured logging is mandated (JSON or CEF) for new onboarded sources; legacy text must be normalized during ingestion.</w:t>
      </w:r>
    </w:p>
    <w:p w14:paraId="18C8C892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 xml:space="preserve">Fields: Include hostname, app/source, user/identity, action, result, </w:t>
      </w:r>
      <w:proofErr w:type="spellStart"/>
      <w:r w:rsidRPr="005D2094">
        <w:rPr>
          <w:rFonts w:ascii="Arial" w:hAnsi="Arial" w:cs="Arial"/>
          <w:sz w:val="24"/>
          <w:szCs w:val="24"/>
        </w:rPr>
        <w:t>src</w:t>
      </w:r>
      <w:proofErr w:type="spellEnd"/>
      <w:r w:rsidRPr="005D2094">
        <w:rPr>
          <w:rFonts w:ascii="Arial" w:hAnsi="Arial" w:cs="Arial"/>
          <w:sz w:val="24"/>
          <w:szCs w:val="24"/>
        </w:rPr>
        <w:t>/</w:t>
      </w:r>
      <w:proofErr w:type="spellStart"/>
      <w:r w:rsidRPr="005D2094">
        <w:rPr>
          <w:rFonts w:ascii="Arial" w:hAnsi="Arial" w:cs="Arial"/>
          <w:sz w:val="24"/>
          <w:szCs w:val="24"/>
        </w:rPr>
        <w:t>dst</w:t>
      </w:r>
      <w:proofErr w:type="spellEnd"/>
      <w:r w:rsidRPr="005D2094">
        <w:rPr>
          <w:rFonts w:ascii="Arial" w:hAnsi="Arial" w:cs="Arial"/>
          <w:sz w:val="24"/>
          <w:szCs w:val="24"/>
        </w:rPr>
        <w:t xml:space="preserve"> IP/port (where applicable), correlation IDs, and precise timestamps.</w:t>
      </w:r>
    </w:p>
    <w:p w14:paraId="69C34248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Quality: Avoid PII unless required; where present, mask or tokenize where feasible and comply with MFO privacy and records directives.</w:t>
      </w:r>
    </w:p>
    <w:p w14:paraId="5284A146" w14:textId="390BB480" w:rsidR="00C61E97" w:rsidRPr="005D2094" w:rsidRDefault="00295B93" w:rsidP="00C61E97">
      <w:pPr>
        <w:pStyle w:val="Heading1"/>
        <w:rPr>
          <w:rFonts w:cs="Arial"/>
          <w:szCs w:val="24"/>
        </w:rPr>
      </w:pPr>
      <w:bookmarkStart w:id="5" w:name="_Toc224639659"/>
      <w:r>
        <w:rPr>
          <w:rFonts w:cs="Arial"/>
          <w:szCs w:val="24"/>
        </w:rPr>
        <w:t xml:space="preserve">5. </w:t>
      </w:r>
      <w:r w:rsidR="00257613" w:rsidRPr="005D2094">
        <w:rPr>
          <w:rFonts w:cs="Arial"/>
          <w:szCs w:val="24"/>
        </w:rPr>
        <w:t>Collection and Transport</w:t>
      </w:r>
      <w:bookmarkEnd w:id="5"/>
    </w:p>
    <w:p w14:paraId="72619A3D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Collection: Agents/forwarders or native audit exports; batch or streaming permitted with back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pressure buffering.</w:t>
      </w:r>
    </w:p>
    <w:p w14:paraId="2566FACA" w14:textId="77777777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Transport security: TLS 1.2+ is required for log transport; mutual authentication (</w:t>
      </w:r>
      <w:proofErr w:type="spellStart"/>
      <w:r w:rsidRPr="005D2094">
        <w:rPr>
          <w:rFonts w:ascii="Arial" w:hAnsi="Arial" w:cs="Arial"/>
          <w:sz w:val="24"/>
          <w:szCs w:val="24"/>
        </w:rPr>
        <w:t>mTLS</w:t>
      </w:r>
      <w:proofErr w:type="spellEnd"/>
      <w:r w:rsidRPr="005D2094">
        <w:rPr>
          <w:rFonts w:ascii="Arial" w:hAnsi="Arial" w:cs="Arial"/>
          <w:sz w:val="24"/>
          <w:szCs w:val="24"/>
        </w:rPr>
        <w:t>) where supported.</w:t>
      </w:r>
    </w:p>
    <w:p w14:paraId="7AAFEF1F" w14:textId="76BCFCBD" w:rsidR="00257613" w:rsidRPr="005D2094" w:rsidRDefault="00257613" w:rsidP="00257613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Reliability: Retries and local queueing on network loss; alert on ingestion failures or lag thresholds.</w:t>
      </w:r>
    </w:p>
    <w:p w14:paraId="5FE474CB" w14:textId="6E1BCB77" w:rsidR="00257613" w:rsidRPr="005D2094" w:rsidRDefault="00295B93" w:rsidP="00257613">
      <w:pPr>
        <w:pStyle w:val="Heading1"/>
        <w:rPr>
          <w:rFonts w:cs="Arial"/>
          <w:szCs w:val="24"/>
        </w:rPr>
      </w:pPr>
      <w:bookmarkStart w:id="6" w:name="_Toc224639660"/>
      <w:r>
        <w:rPr>
          <w:rFonts w:cs="Arial"/>
          <w:szCs w:val="24"/>
        </w:rPr>
        <w:lastRenderedPageBreak/>
        <w:t xml:space="preserve">6. </w:t>
      </w:r>
      <w:r w:rsidR="00257613" w:rsidRPr="005D2094">
        <w:rPr>
          <w:rFonts w:cs="Arial"/>
          <w:szCs w:val="24"/>
        </w:rPr>
        <w:t>Storage, Integrity and Retention</w:t>
      </w:r>
      <w:bookmarkEnd w:id="6"/>
    </w:p>
    <w:p w14:paraId="5A616A68" w14:textId="284363F1" w:rsidR="00257613" w:rsidRPr="005D2094" w:rsidRDefault="00295B93" w:rsidP="00295B93">
      <w:pPr>
        <w:pStyle w:val="Heading1"/>
        <w:numPr>
          <w:ilvl w:val="1"/>
          <w:numId w:val="40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 </w:t>
      </w:r>
      <w:bookmarkStart w:id="7" w:name="_Toc224639661"/>
      <w:r w:rsidR="00257613" w:rsidRPr="005D2094">
        <w:rPr>
          <w:rFonts w:cs="Arial"/>
          <w:szCs w:val="24"/>
        </w:rPr>
        <w:t>Platform and protection</w:t>
      </w:r>
      <w:bookmarkEnd w:id="7"/>
    </w:p>
    <w:p w14:paraId="574083EF" w14:textId="77777777" w:rsidR="00257613" w:rsidRPr="005D2094" w:rsidRDefault="00257613" w:rsidP="00257613">
      <w:pPr>
        <w:pStyle w:val="ListBullet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bookmarkStart w:id="8" w:name="_Toc222942424"/>
      <w:r w:rsidRPr="005D2094">
        <w:rPr>
          <w:rFonts w:ascii="Arial" w:hAnsi="Arial" w:cs="Arial"/>
          <w:sz w:val="24"/>
          <w:szCs w:val="24"/>
        </w:rPr>
        <w:t>Logs are stored on a hardened, access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controlled platform with role separation (collectors vs. analysts vs. admins).</w:t>
      </w:r>
    </w:p>
    <w:p w14:paraId="611239CB" w14:textId="3847F94C" w:rsidR="00257613" w:rsidRPr="005D2094" w:rsidRDefault="00257613" w:rsidP="00257613">
      <w:pPr>
        <w:pStyle w:val="ListBullet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Integrity controls: write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once/immutability options where feasible; cryptographic hashing and chain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of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custody for high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value sources.</w:t>
      </w:r>
    </w:p>
    <w:p w14:paraId="13401603" w14:textId="77777777" w:rsidR="00257613" w:rsidRPr="005D2094" w:rsidRDefault="00257613" w:rsidP="00257613">
      <w:pPr>
        <w:pStyle w:val="ListBullet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Access via least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privilege RBAC; all access is logged and reviewed; break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glass monitored.</w:t>
      </w:r>
    </w:p>
    <w:bookmarkEnd w:id="8"/>
    <w:p w14:paraId="51F279AB" w14:textId="21C6765C" w:rsidR="00257613" w:rsidRPr="005D2094" w:rsidRDefault="00295B93" w:rsidP="00295B93">
      <w:pPr>
        <w:pStyle w:val="Heading1"/>
        <w:numPr>
          <w:ilvl w:val="1"/>
          <w:numId w:val="40"/>
        </w:numPr>
        <w:rPr>
          <w:rFonts w:cs="Arial"/>
          <w:szCs w:val="24"/>
        </w:rPr>
      </w:pPr>
      <w:r>
        <w:rPr>
          <w:rFonts w:cs="Arial"/>
          <w:szCs w:val="24"/>
        </w:rPr>
        <w:t xml:space="preserve">   </w:t>
      </w:r>
      <w:bookmarkStart w:id="9" w:name="_Toc224639662"/>
      <w:r w:rsidR="00257613" w:rsidRPr="005D2094">
        <w:rPr>
          <w:rFonts w:cs="Arial"/>
          <w:szCs w:val="24"/>
        </w:rPr>
        <w:t>Retention</w:t>
      </w:r>
      <w:bookmarkEnd w:id="9"/>
    </w:p>
    <w:p w14:paraId="1279E5C8" w14:textId="77777777" w:rsidR="00257613" w:rsidRPr="005D2094" w:rsidRDefault="00257613" w:rsidP="00257613">
      <w:pPr>
        <w:pStyle w:val="ListBullet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Default retention targets: **Hot** (searchable) ≥ 90 days; **Archive** ≥ 365 days (longer for critical systems as required).</w:t>
      </w:r>
    </w:p>
    <w:p w14:paraId="6970EC6A" w14:textId="77777777" w:rsidR="00257613" w:rsidRPr="005D2094" w:rsidRDefault="00257613" w:rsidP="00257613">
      <w:pPr>
        <w:pStyle w:val="ListBullet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Final retention must align to **Directive 20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01** schedules; where conflicts exist, the Directive prevails.</w:t>
      </w:r>
    </w:p>
    <w:p w14:paraId="2803596E" w14:textId="4CC66867" w:rsidR="00257613" w:rsidRPr="005D2094" w:rsidRDefault="00257613" w:rsidP="00257613">
      <w:pPr>
        <w:pStyle w:val="ListBullet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Monthly export or immutable snapshots of critical logs to ICT SharePoint or approved archive for records management.</w:t>
      </w:r>
    </w:p>
    <w:p w14:paraId="452BE20F" w14:textId="713335DD" w:rsidR="00C61E97" w:rsidRPr="005D2094" w:rsidRDefault="00295B93" w:rsidP="00C61E97">
      <w:pPr>
        <w:pStyle w:val="Heading1"/>
        <w:rPr>
          <w:rFonts w:cs="Arial"/>
          <w:szCs w:val="24"/>
        </w:rPr>
      </w:pPr>
      <w:bookmarkStart w:id="10" w:name="_Toc224639663"/>
      <w:r>
        <w:rPr>
          <w:rFonts w:cs="Arial"/>
          <w:szCs w:val="24"/>
        </w:rPr>
        <w:t xml:space="preserve">7. </w:t>
      </w:r>
      <w:r w:rsidR="005D2094" w:rsidRPr="005D2094">
        <w:rPr>
          <w:rFonts w:cs="Arial"/>
          <w:szCs w:val="24"/>
        </w:rPr>
        <w:t>Access Control and Audit</w:t>
      </w:r>
      <w:bookmarkEnd w:id="10"/>
      <w:r w:rsidR="00C61E97" w:rsidRPr="005D2094">
        <w:rPr>
          <w:rFonts w:cs="Arial"/>
          <w:szCs w:val="24"/>
        </w:rPr>
        <w:t xml:space="preserve"> </w:t>
      </w:r>
    </w:p>
    <w:p w14:paraId="423BEB76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RBAC enforced for all log platforms; access granted by role and business need.</w:t>
      </w:r>
    </w:p>
    <w:p w14:paraId="0FC4D4AD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Quarterly access reviews and ad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hoc reviews for privileged roles; sample verification against HR/identity systems.</w:t>
      </w:r>
    </w:p>
    <w:p w14:paraId="0D1FBD47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Administrative actions on the logging platform are audited and retained as security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relevant events.</w:t>
      </w:r>
    </w:p>
    <w:p w14:paraId="3F8C2068" w14:textId="5852B392" w:rsidR="00C61E97" w:rsidRPr="005D2094" w:rsidRDefault="00295B93" w:rsidP="00C61E97">
      <w:pPr>
        <w:pStyle w:val="Heading1"/>
        <w:rPr>
          <w:rFonts w:cs="Arial"/>
          <w:szCs w:val="24"/>
        </w:rPr>
      </w:pPr>
      <w:bookmarkStart w:id="11" w:name="_Toc224639664"/>
      <w:r>
        <w:rPr>
          <w:rFonts w:cs="Arial"/>
          <w:szCs w:val="24"/>
        </w:rPr>
        <w:t xml:space="preserve">8. </w:t>
      </w:r>
      <w:r w:rsidR="005D2094" w:rsidRPr="005D2094">
        <w:rPr>
          <w:rFonts w:cs="Arial"/>
          <w:szCs w:val="24"/>
        </w:rPr>
        <w:t>Monitoring Content (Use Cases) &amp; Tuning</w:t>
      </w:r>
      <w:bookmarkEnd w:id="11"/>
      <w:r w:rsidR="00C61E97" w:rsidRPr="005D2094">
        <w:rPr>
          <w:rFonts w:cs="Arial"/>
          <w:szCs w:val="24"/>
        </w:rPr>
        <w:t xml:space="preserve"> </w:t>
      </w:r>
    </w:p>
    <w:p w14:paraId="25EEB7A5" w14:textId="77777777" w:rsidR="005D2094" w:rsidRPr="005D2094" w:rsidRDefault="005D2094" w:rsidP="005D2094">
      <w:pPr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MFO will operate a centralized log analytics capability (SIEM/log platform). In the interim, where no SIEM exists, critical detections are implemented using native tools and scheduled queries, migrating to SIEM as it is onboarded.</w:t>
      </w:r>
    </w:p>
    <w:p w14:paraId="5207F920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High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value detections (initial set): privileged logons and elevation; multi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factor failures; config drifts on critical systems; EDR malware/high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severity alerts; IDS/IPS critical signatures; cloud admin activity anomalies; impossible travel; mass permission changes.</w:t>
      </w:r>
    </w:p>
    <w:p w14:paraId="16ED25B5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Use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case lifecycle: define → test (audit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only) → enforce/alert → measure false positives → quarterly tuning.</w:t>
      </w:r>
    </w:p>
    <w:p w14:paraId="22CC4581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Response integration: alerts create incidents/tickets with severity mapping and ownership.</w:t>
      </w:r>
    </w:p>
    <w:p w14:paraId="7DC41024" w14:textId="45C2ADF3" w:rsidR="00C61E97" w:rsidRPr="005D2094" w:rsidRDefault="00295B93" w:rsidP="00C61E97">
      <w:pPr>
        <w:pStyle w:val="Heading1"/>
        <w:rPr>
          <w:rFonts w:cs="Arial"/>
          <w:szCs w:val="24"/>
        </w:rPr>
      </w:pPr>
      <w:bookmarkStart w:id="12" w:name="_Toc224639665"/>
      <w:r>
        <w:rPr>
          <w:rFonts w:cs="Arial"/>
          <w:szCs w:val="24"/>
        </w:rPr>
        <w:lastRenderedPageBreak/>
        <w:t xml:space="preserve">9. </w:t>
      </w:r>
      <w:r w:rsidR="005D2094" w:rsidRPr="005D2094">
        <w:rPr>
          <w:rFonts w:cs="Arial"/>
          <w:szCs w:val="24"/>
        </w:rPr>
        <w:t>Endpoint / EDR Coverage</w:t>
      </w:r>
      <w:bookmarkEnd w:id="12"/>
      <w:r w:rsidR="005D2094" w:rsidRPr="005D2094">
        <w:rPr>
          <w:rFonts w:cs="Arial"/>
          <w:szCs w:val="24"/>
        </w:rPr>
        <w:tab/>
      </w:r>
    </w:p>
    <w:p w14:paraId="0A143E2A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Endpoint/EDR telemetry will be expanded to full coverage per Endpoint Security Standard; minimum: process, sensor health, malware detections, and remediation events.</w:t>
      </w:r>
    </w:p>
    <w:p w14:paraId="45A17DC4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Where EDR is not yet deployed, enable OS native auditing and forwarding for authentication and security events.</w:t>
      </w:r>
    </w:p>
    <w:p w14:paraId="65AC3787" w14:textId="31F06B5D" w:rsidR="00C61E97" w:rsidRPr="005D2094" w:rsidRDefault="00295B93" w:rsidP="00C61E97">
      <w:pPr>
        <w:pStyle w:val="Heading1"/>
        <w:rPr>
          <w:rFonts w:cs="Arial"/>
          <w:szCs w:val="24"/>
        </w:rPr>
      </w:pPr>
      <w:bookmarkStart w:id="13" w:name="_Toc224639666"/>
      <w:r>
        <w:rPr>
          <w:rFonts w:cs="Arial"/>
          <w:szCs w:val="24"/>
        </w:rPr>
        <w:t xml:space="preserve">10. </w:t>
      </w:r>
      <w:r w:rsidR="005D2094" w:rsidRPr="005D2094">
        <w:rPr>
          <w:rFonts w:cs="Arial"/>
          <w:szCs w:val="24"/>
        </w:rPr>
        <w:t>Cloud and Application Log</w:t>
      </w:r>
      <w:bookmarkEnd w:id="13"/>
      <w:r w:rsidR="00C61E97" w:rsidRPr="005D2094">
        <w:rPr>
          <w:rFonts w:cs="Arial"/>
          <w:szCs w:val="24"/>
        </w:rPr>
        <w:t xml:space="preserve"> </w:t>
      </w:r>
    </w:p>
    <w:p w14:paraId="40EA617D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Enable tenant and service audit logs; forward via secure connectors/API to central storage.</w:t>
      </w:r>
    </w:p>
    <w:p w14:paraId="7AAADC23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Treat critical cloud control plane changes and identity events as High priority; align with CSPM findings.</w:t>
      </w:r>
    </w:p>
    <w:p w14:paraId="07CC21DB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Ensure application teams document available logs and failure modes; standardize field mappings during onboarding.</w:t>
      </w:r>
    </w:p>
    <w:p w14:paraId="775DF2C9" w14:textId="52B999DF" w:rsidR="00C61E97" w:rsidRPr="005D2094" w:rsidRDefault="00295B93" w:rsidP="00C85779">
      <w:pPr>
        <w:pStyle w:val="Heading1"/>
        <w:rPr>
          <w:rFonts w:cs="Arial"/>
          <w:szCs w:val="24"/>
        </w:rPr>
      </w:pPr>
      <w:bookmarkStart w:id="14" w:name="_Toc224639667"/>
      <w:r>
        <w:rPr>
          <w:rFonts w:cs="Arial"/>
          <w:szCs w:val="24"/>
        </w:rPr>
        <w:t>11. 1</w:t>
      </w:r>
      <w:r w:rsidR="005D2094" w:rsidRPr="005D2094">
        <w:rPr>
          <w:rFonts w:cs="Arial"/>
          <w:szCs w:val="24"/>
        </w:rPr>
        <w:t>Time Sync (NTP)</w:t>
      </w:r>
      <w:bookmarkEnd w:id="14"/>
    </w:p>
    <w:p w14:paraId="07EB8CD0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NTP is enforced on in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scope systems; monitoring detects drift beyond threshold (e.g., &gt; 5 seconds).</w:t>
      </w:r>
    </w:p>
    <w:p w14:paraId="7285CC7E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Time sources are tiered/approved; configuration changes follow Change Management.</w:t>
      </w:r>
    </w:p>
    <w:p w14:paraId="7768B95D" w14:textId="10FB452F" w:rsidR="00C85779" w:rsidRPr="005D2094" w:rsidRDefault="00295B93" w:rsidP="00C85779">
      <w:pPr>
        <w:pStyle w:val="Heading1"/>
        <w:rPr>
          <w:rFonts w:cs="Arial"/>
          <w:szCs w:val="24"/>
        </w:rPr>
      </w:pPr>
      <w:bookmarkStart w:id="15" w:name="_Toc224639668"/>
      <w:r>
        <w:rPr>
          <w:rFonts w:cs="Arial"/>
          <w:szCs w:val="24"/>
        </w:rPr>
        <w:t>12. 1</w:t>
      </w:r>
      <w:r w:rsidR="005D2094" w:rsidRPr="005D2094">
        <w:rPr>
          <w:rFonts w:cs="Arial"/>
          <w:szCs w:val="24"/>
        </w:rPr>
        <w:t>Change Management Linkage</w:t>
      </w:r>
      <w:bookmarkEnd w:id="15"/>
    </w:p>
    <w:p w14:paraId="59B1531B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Changes to logging configurations, agents, pipelines, retention, or access follow the **Change Management Policy** with appropriate category (Standard/Normal/Emergency).</w:t>
      </w:r>
    </w:p>
    <w:p w14:paraId="02CE2A40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Detecting gaps during incident reviews shall trigger change requests to improve logging coverage or content.</w:t>
      </w:r>
    </w:p>
    <w:p w14:paraId="079C28D0" w14:textId="0912627F" w:rsidR="00C85779" w:rsidRPr="005D2094" w:rsidRDefault="00295B93" w:rsidP="00C85779">
      <w:pPr>
        <w:pStyle w:val="Heading1"/>
        <w:rPr>
          <w:rFonts w:cs="Arial"/>
          <w:szCs w:val="24"/>
        </w:rPr>
      </w:pPr>
      <w:bookmarkStart w:id="16" w:name="_Toc224639669"/>
      <w:r>
        <w:rPr>
          <w:rFonts w:cs="Arial"/>
          <w:szCs w:val="24"/>
        </w:rPr>
        <w:t xml:space="preserve">13. </w:t>
      </w:r>
      <w:r w:rsidR="005D2094" w:rsidRPr="005D2094">
        <w:rPr>
          <w:rFonts w:cs="Arial"/>
          <w:szCs w:val="24"/>
        </w:rPr>
        <w:t>Reporting and Metrics</w:t>
      </w:r>
      <w:bookmarkEnd w:id="16"/>
    </w:p>
    <w:p w14:paraId="76C07B29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Monthly: source coverage %, ingestion lag, dropped events, hot vs. archive storage levels, access review status, top detections, false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positive rate, MTTD/MTTR (where applicable).</w:t>
      </w:r>
    </w:p>
    <w:p w14:paraId="5141B97F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Quarterly: use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case review count, tuning outcomes, and platform health assessments.</w:t>
      </w:r>
    </w:p>
    <w:p w14:paraId="5A97E526" w14:textId="4EC34A07" w:rsidR="00C85779" w:rsidRPr="005D2094" w:rsidRDefault="00295B93" w:rsidP="00C85779">
      <w:pPr>
        <w:pStyle w:val="Heading1"/>
        <w:rPr>
          <w:rFonts w:cs="Arial"/>
          <w:szCs w:val="24"/>
        </w:rPr>
      </w:pPr>
      <w:bookmarkStart w:id="17" w:name="_Toc224639670"/>
      <w:r>
        <w:rPr>
          <w:rFonts w:cs="Arial"/>
          <w:szCs w:val="24"/>
        </w:rPr>
        <w:t xml:space="preserve">14. </w:t>
      </w:r>
      <w:r w:rsidR="005D2094" w:rsidRPr="005D2094">
        <w:rPr>
          <w:rFonts w:cs="Arial"/>
          <w:szCs w:val="24"/>
        </w:rPr>
        <w:t>Governance, Compliance and Reviews</w:t>
      </w:r>
      <w:bookmarkEnd w:id="17"/>
    </w:p>
    <w:p w14:paraId="0CF640F8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Annual policy review; quarterly operational health checks (coverage, transport TLS, format adherence, retention compliance).</w:t>
      </w:r>
    </w:p>
    <w:p w14:paraId="5E271D6B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lastRenderedPageBreak/>
        <w:t>Mappings: ISO/IEC 27001:2022 (e.g., 8.15, 8.16, 5.34), NIST (e.g., AU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2, AU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6, AU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11, AU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12).</w:t>
      </w:r>
    </w:p>
    <w:p w14:paraId="1DA07BF9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Records management aligns to Directive 20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01; privacy requirements apply to any personal data in logs.</w:t>
      </w:r>
    </w:p>
    <w:p w14:paraId="1F26B213" w14:textId="22F260AD" w:rsidR="00C85779" w:rsidRPr="005D2094" w:rsidRDefault="00295B93" w:rsidP="00C85779">
      <w:pPr>
        <w:pStyle w:val="Heading1"/>
        <w:rPr>
          <w:rFonts w:cs="Arial"/>
          <w:szCs w:val="24"/>
        </w:rPr>
      </w:pPr>
      <w:bookmarkStart w:id="18" w:name="_Toc224639671"/>
      <w:r>
        <w:rPr>
          <w:rFonts w:cs="Arial"/>
          <w:szCs w:val="24"/>
        </w:rPr>
        <w:t>15. 1</w:t>
      </w:r>
      <w:r w:rsidR="00C85779" w:rsidRPr="005D2094">
        <w:rPr>
          <w:rFonts w:cs="Arial"/>
          <w:szCs w:val="24"/>
        </w:rPr>
        <w:t>Implementation and Roadmap (First 90 Days)</w:t>
      </w:r>
      <w:bookmarkEnd w:id="18"/>
    </w:p>
    <w:p w14:paraId="02E58C0A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Select/confirm central log platform; define onboarding runbook and data model (JSON/CEF).</w:t>
      </w:r>
    </w:p>
    <w:p w14:paraId="3B3A0119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Enable **TLS 1.2+** transport on pipelines; remediate plaintext syslog.</w:t>
      </w:r>
    </w:p>
    <w:p w14:paraId="3B48EF08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Document retention for each source (hot/archive) and align to Directive 20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01; implement monthly snapshots/exports.</w:t>
      </w:r>
    </w:p>
    <w:p w14:paraId="7806D34E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Onboard priority sources: identity/auth, admin actions, config changes, network/IDS; begin EDR expansion.</w:t>
      </w:r>
    </w:p>
    <w:p w14:paraId="38E54987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Publish initial 8–10 high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value detections and set quarterly review cadence.</w:t>
      </w:r>
    </w:p>
    <w:p w14:paraId="4F4292FD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Establish RBAC groups and schedule quarterly access reviews with audit sampling.</w:t>
      </w:r>
    </w:p>
    <w:p w14:paraId="15F1BA08" w14:textId="64DEAFAE" w:rsidR="00C85779" w:rsidRPr="005D2094" w:rsidRDefault="00295B93" w:rsidP="00C85779">
      <w:pPr>
        <w:pStyle w:val="Heading1"/>
        <w:rPr>
          <w:rFonts w:cs="Arial"/>
          <w:szCs w:val="24"/>
        </w:rPr>
      </w:pPr>
      <w:bookmarkStart w:id="19" w:name="_Toc224639672"/>
      <w:r>
        <w:rPr>
          <w:rFonts w:cs="Arial"/>
          <w:szCs w:val="24"/>
        </w:rPr>
        <w:t xml:space="preserve">16. </w:t>
      </w:r>
      <w:r w:rsidR="00C85779" w:rsidRPr="005D2094">
        <w:rPr>
          <w:rFonts w:cs="Arial"/>
          <w:szCs w:val="24"/>
        </w:rPr>
        <w:t>References</w:t>
      </w:r>
      <w:bookmarkEnd w:id="19"/>
    </w:p>
    <w:p w14:paraId="1D107843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MFO Change Management Policy (</w:t>
      </w:r>
      <w:proofErr w:type="spellStart"/>
      <w:r w:rsidRPr="005D2094">
        <w:rPr>
          <w:rFonts w:ascii="Arial" w:hAnsi="Arial" w:cs="Arial"/>
          <w:sz w:val="24"/>
          <w:szCs w:val="24"/>
        </w:rPr>
        <w:t>vNext</w:t>
      </w:r>
      <w:proofErr w:type="spellEnd"/>
      <w:r w:rsidRPr="005D2094">
        <w:rPr>
          <w:rFonts w:ascii="Arial" w:hAnsi="Arial" w:cs="Arial"/>
          <w:sz w:val="24"/>
          <w:szCs w:val="24"/>
        </w:rPr>
        <w:t>)</w:t>
      </w:r>
    </w:p>
    <w:p w14:paraId="1BE257D7" w14:textId="77777777" w:rsidR="005D2094" w:rsidRPr="005D2094" w:rsidRDefault="005D2094" w:rsidP="005D2094">
      <w:pPr>
        <w:pStyle w:val="ListBullet"/>
        <w:rPr>
          <w:rFonts w:ascii="Arial" w:hAnsi="Arial" w:cs="Arial"/>
          <w:sz w:val="24"/>
          <w:szCs w:val="24"/>
        </w:rPr>
      </w:pPr>
      <w:r w:rsidRPr="005D2094">
        <w:rPr>
          <w:rFonts w:ascii="Arial" w:hAnsi="Arial" w:cs="Arial"/>
          <w:sz w:val="24"/>
          <w:szCs w:val="24"/>
        </w:rPr>
        <w:t>Directive 20</w:t>
      </w:r>
      <w:r w:rsidRPr="005D2094">
        <w:rPr>
          <w:rFonts w:ascii="Cambria Math" w:hAnsi="Cambria Math" w:cs="Cambria Math"/>
          <w:sz w:val="24"/>
          <w:szCs w:val="24"/>
        </w:rPr>
        <w:t>‑</w:t>
      </w:r>
      <w:r w:rsidRPr="005D2094">
        <w:rPr>
          <w:rFonts w:ascii="Arial" w:hAnsi="Arial" w:cs="Arial"/>
          <w:sz w:val="24"/>
          <w:szCs w:val="24"/>
        </w:rPr>
        <w:t>01: Records Disposition Policy</w:t>
      </w:r>
    </w:p>
    <w:p w14:paraId="2A8A46B7" w14:textId="590E5578" w:rsidR="00C85779" w:rsidRPr="00A614B6" w:rsidRDefault="00C85779" w:rsidP="00C85779">
      <w:pPr>
        <w:pStyle w:val="Heading1"/>
        <w:rPr>
          <w:rFonts w:cs="Arial"/>
          <w:szCs w:val="24"/>
        </w:rPr>
      </w:pPr>
      <w:r w:rsidRPr="00A614B6">
        <w:rPr>
          <w:rFonts w:cs="Arial"/>
          <w:szCs w:val="24"/>
        </w:rPr>
        <w:t xml:space="preserve"> </w:t>
      </w:r>
    </w:p>
    <w:p w14:paraId="68C20C8F" w14:textId="77777777" w:rsidR="00C85779" w:rsidRPr="00C85779" w:rsidRDefault="00C85779" w:rsidP="00C85779"/>
    <w:p w14:paraId="01467438" w14:textId="51F1B002" w:rsidR="008F7F94" w:rsidRPr="00A614B6" w:rsidRDefault="008F7F94" w:rsidP="001F3F91">
      <w:pPr>
        <w:pStyle w:val="NoSpacing"/>
        <w:spacing w:after="240"/>
        <w:rPr>
          <w:rFonts w:ascii="Arial" w:hAnsi="Arial" w:cs="Arial"/>
          <w:bCs/>
          <w:sz w:val="24"/>
          <w:szCs w:val="24"/>
        </w:rPr>
      </w:pPr>
    </w:p>
    <w:sectPr w:rsidR="008F7F94" w:rsidRPr="00A614B6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2DC358" w14:textId="77777777" w:rsidR="00372C47" w:rsidRDefault="00372C47" w:rsidP="00C958A1">
      <w:pPr>
        <w:spacing w:after="0" w:line="240" w:lineRule="auto"/>
      </w:pPr>
      <w:r>
        <w:separator/>
      </w:r>
    </w:p>
  </w:endnote>
  <w:endnote w:type="continuationSeparator" w:id="0">
    <w:p w14:paraId="0F04CC15" w14:textId="77777777" w:rsidR="00372C47" w:rsidRDefault="00372C47" w:rsidP="00C958A1">
      <w:pPr>
        <w:spacing w:after="0" w:line="240" w:lineRule="auto"/>
      </w:pPr>
      <w:r>
        <w:continuationSeparator/>
      </w:r>
    </w:p>
  </w:endnote>
  <w:endnote w:type="continuationNotice" w:id="1">
    <w:p w14:paraId="56E3F663" w14:textId="77777777" w:rsidR="00372C47" w:rsidRDefault="00372C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C2C49E" w14:textId="77777777" w:rsidR="00372C47" w:rsidRDefault="00372C47" w:rsidP="00C958A1">
      <w:pPr>
        <w:spacing w:after="0" w:line="240" w:lineRule="auto"/>
      </w:pPr>
      <w:r>
        <w:separator/>
      </w:r>
    </w:p>
  </w:footnote>
  <w:footnote w:type="continuationSeparator" w:id="0">
    <w:p w14:paraId="56012B69" w14:textId="77777777" w:rsidR="00372C47" w:rsidRDefault="00372C47" w:rsidP="00C958A1">
      <w:pPr>
        <w:spacing w:after="0" w:line="240" w:lineRule="auto"/>
      </w:pPr>
      <w:r>
        <w:continuationSeparator/>
      </w:r>
    </w:p>
  </w:footnote>
  <w:footnote w:type="continuationNotice" w:id="1">
    <w:p w14:paraId="2D116590" w14:textId="77777777" w:rsidR="00372C47" w:rsidRDefault="00372C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763F2"/>
    <w:multiLevelType w:val="hybridMultilevel"/>
    <w:tmpl w:val="D3005562"/>
    <w:lvl w:ilvl="0" w:tplc="F5DC9B38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7E5A92"/>
    <w:multiLevelType w:val="multilevel"/>
    <w:tmpl w:val="C832AD8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400523"/>
    <w:multiLevelType w:val="hybridMultilevel"/>
    <w:tmpl w:val="AC5CD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4"/>
  </w:num>
  <w:num w:numId="4">
    <w:abstractNumId w:val="17"/>
  </w:num>
  <w:num w:numId="5">
    <w:abstractNumId w:val="27"/>
  </w:num>
  <w:num w:numId="6">
    <w:abstractNumId w:val="8"/>
  </w:num>
  <w:num w:numId="7">
    <w:abstractNumId w:val="29"/>
  </w:num>
  <w:num w:numId="8">
    <w:abstractNumId w:val="12"/>
  </w:num>
  <w:num w:numId="9">
    <w:abstractNumId w:val="14"/>
  </w:num>
  <w:num w:numId="10">
    <w:abstractNumId w:val="3"/>
  </w:num>
  <w:num w:numId="11">
    <w:abstractNumId w:val="15"/>
  </w:num>
  <w:num w:numId="12">
    <w:abstractNumId w:val="26"/>
  </w:num>
  <w:num w:numId="13">
    <w:abstractNumId w:val="1"/>
  </w:num>
  <w:num w:numId="14">
    <w:abstractNumId w:val="23"/>
  </w:num>
  <w:num w:numId="15">
    <w:abstractNumId w:val="4"/>
  </w:num>
  <w:num w:numId="16">
    <w:abstractNumId w:val="19"/>
  </w:num>
  <w:num w:numId="17">
    <w:abstractNumId w:val="10"/>
  </w:num>
  <w:num w:numId="18">
    <w:abstractNumId w:val="25"/>
  </w:num>
  <w:num w:numId="19">
    <w:abstractNumId w:val="21"/>
  </w:num>
  <w:num w:numId="20">
    <w:abstractNumId w:val="5"/>
  </w:num>
  <w:num w:numId="21">
    <w:abstractNumId w:val="18"/>
  </w:num>
  <w:num w:numId="22">
    <w:abstractNumId w:val="32"/>
  </w:num>
  <w:num w:numId="23">
    <w:abstractNumId w:val="11"/>
  </w:num>
  <w:num w:numId="24">
    <w:abstractNumId w:val="31"/>
  </w:num>
  <w:num w:numId="25">
    <w:abstractNumId w:val="35"/>
  </w:num>
  <w:num w:numId="26">
    <w:abstractNumId w:val="13"/>
  </w:num>
  <w:num w:numId="27">
    <w:abstractNumId w:val="30"/>
  </w:num>
  <w:num w:numId="28">
    <w:abstractNumId w:val="37"/>
  </w:num>
  <w:num w:numId="29">
    <w:abstractNumId w:val="34"/>
  </w:num>
  <w:num w:numId="30">
    <w:abstractNumId w:val="28"/>
  </w:num>
  <w:num w:numId="31">
    <w:abstractNumId w:val="20"/>
  </w:num>
  <w:num w:numId="32">
    <w:abstractNumId w:val="0"/>
  </w:num>
  <w:num w:numId="33">
    <w:abstractNumId w:val="16"/>
  </w:num>
  <w:num w:numId="34">
    <w:abstractNumId w:val="9"/>
  </w:num>
  <w:num w:numId="35">
    <w:abstractNumId w:val="38"/>
  </w:num>
  <w:num w:numId="36">
    <w:abstractNumId w:val="39"/>
  </w:num>
  <w:num w:numId="37">
    <w:abstractNumId w:val="22"/>
  </w:num>
  <w:num w:numId="38">
    <w:abstractNumId w:val="7"/>
  </w:num>
  <w:num w:numId="39">
    <w:abstractNumId w:val="36"/>
  </w:num>
  <w:num w:numId="40">
    <w:abstractNumId w:val="3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95B93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4E57"/>
    <w:rsid w:val="0036251B"/>
    <w:rsid w:val="00371418"/>
    <w:rsid w:val="00372C47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B029E6"/>
    <w:rsid w:val="00B100E4"/>
    <w:rsid w:val="00B12C07"/>
    <w:rsid w:val="00B14FEB"/>
    <w:rsid w:val="00B3573F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577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81609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EEA74D-0130-4F61-BE51-C23794565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3</cp:revision>
  <dcterms:created xsi:type="dcterms:W3CDTF">2026-03-16T09:07:00Z</dcterms:created>
  <dcterms:modified xsi:type="dcterms:W3CDTF">2026-03-17T06:04:00Z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