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7B6FE" w14:textId="7AB63106" w:rsidR="004F3B9C" w:rsidRPr="004F3B9C" w:rsidRDefault="007F0244" w:rsidP="004F3B9C">
      <w:pPr>
        <w:jc w:val="right"/>
        <w:rPr>
          <w:rFonts w:ascii="Impact" w:hAnsi="Impact"/>
          <w:sz w:val="28"/>
          <w:szCs w:val="28"/>
          <w:lang w:val="en-GB"/>
        </w:rPr>
      </w:pPr>
      <w:r>
        <w:rPr>
          <w:rFonts w:ascii="Impact" w:hAnsi="Impact"/>
          <w:sz w:val="28"/>
          <w:szCs w:val="28"/>
          <w:lang w:val="en-GB"/>
        </w:rPr>
        <w:t xml:space="preserve">INPUTS \ </w:t>
      </w:r>
      <w:r w:rsidR="004F3B9C" w:rsidRPr="004F3B9C">
        <w:rPr>
          <w:rFonts w:ascii="Impact" w:hAnsi="Impact"/>
          <w:sz w:val="28"/>
          <w:szCs w:val="28"/>
          <w:lang w:val="en-GB"/>
        </w:rPr>
        <w:t>SENEGAL_INPUTS . XLSX</w:t>
      </w:r>
    </w:p>
    <w:p w14:paraId="1F2A69A7" w14:textId="68C75BB3" w:rsidR="004F3B9C" w:rsidRDefault="004F3B9C" w:rsidP="00A658CE">
      <w:pPr>
        <w:jc w:val="right"/>
        <w:rPr>
          <w:rFonts w:ascii="Georgia" w:hAnsi="Georgia"/>
          <w:i/>
          <w:iCs/>
          <w:lang w:val="en-GB"/>
        </w:rPr>
      </w:pPr>
      <w:r w:rsidRPr="004F3B9C">
        <w:rPr>
          <w:rFonts w:ascii="Georgia" w:hAnsi="Georgia"/>
          <w:i/>
          <w:iCs/>
          <w:lang w:val="en-GB"/>
        </w:rPr>
        <w:t>Data covers period 1961 to 2020.</w:t>
      </w:r>
    </w:p>
    <w:p w14:paraId="29FA49A2" w14:textId="77777777" w:rsidR="004F3B9C" w:rsidRPr="007F0244" w:rsidRDefault="004F3B9C">
      <w:pPr>
        <w:rPr>
          <w:lang w:val="en-GB"/>
        </w:rPr>
      </w:pPr>
    </w:p>
    <w:p w14:paraId="24338994" w14:textId="01AF11AF" w:rsidR="004F3B9C" w:rsidRPr="004F3B9C" w:rsidRDefault="004F3B9C">
      <w:pPr>
        <w:rPr>
          <w:lang w:val="en-GB"/>
        </w:rPr>
      </w:pPr>
      <w:proofErr w:type="spellStart"/>
      <w:r w:rsidRPr="009120C8">
        <w:rPr>
          <w:rFonts w:ascii="Georgia" w:hAnsi="Georgia"/>
          <w:b/>
          <w:bCs/>
          <w:i/>
          <w:iCs/>
          <w:color w:val="0B769F" w:themeColor="accent4" w:themeShade="BF"/>
          <w:lang w:val="en-GB"/>
        </w:rPr>
        <w:t>pop_rur</w:t>
      </w:r>
      <w:proofErr w:type="spellEnd"/>
    </w:p>
    <w:p w14:paraId="74CD8487" w14:textId="34460F7C" w:rsidR="004F3B9C" w:rsidRDefault="009120C8">
      <w:pPr>
        <w:rPr>
          <w:lang w:val="en-GB"/>
        </w:rPr>
      </w:pPr>
      <w:r>
        <w:rPr>
          <w:lang w:val="en-GB"/>
        </w:rPr>
        <w:t>National n</w:t>
      </w:r>
      <w:r w:rsidR="004F3B9C" w:rsidRPr="004F3B9C">
        <w:rPr>
          <w:lang w:val="en-GB"/>
        </w:rPr>
        <w:t>umber o</w:t>
      </w:r>
      <w:r w:rsidR="004F3B9C">
        <w:rPr>
          <w:lang w:val="en-GB"/>
        </w:rPr>
        <w:t>f rural inhabitants.</w:t>
      </w:r>
    </w:p>
    <w:p w14:paraId="76424FF8" w14:textId="5882A569" w:rsidR="004F3B9C" w:rsidRPr="001318C1" w:rsidRDefault="004F3B9C" w:rsidP="001318C1">
      <w:pPr>
        <w:jc w:val="both"/>
        <w:rPr>
          <w:rStyle w:val="Lienhypertexte"/>
          <w:rFonts w:ascii="Georgia" w:hAnsi="Georgia"/>
          <w:color w:val="auto"/>
          <w:u w:val="none"/>
        </w:rPr>
      </w:pPr>
      <w:r w:rsidRPr="009120C8">
        <w:t>Source :</w:t>
      </w:r>
      <w:r w:rsidR="00BD6309">
        <w:t xml:space="preserve"> </w:t>
      </w:r>
      <w:r w:rsidR="00BD6309" w:rsidRPr="00BD6309">
        <w:rPr>
          <w:rStyle w:val="Lienhypertexte"/>
          <w:u w:val="none"/>
        </w:rPr>
        <w:t>FAO,</w:t>
      </w:r>
      <w:r w:rsidR="00BD6309">
        <w:t xml:space="preserve"> </w:t>
      </w:r>
      <w:hyperlink r:id="rId8" w:anchor="data/OA" w:history="1">
        <w:r w:rsidR="009120C8" w:rsidRPr="009120C8">
          <w:rPr>
            <w:rStyle w:val="Lienhypertexte"/>
            <w:rFonts w:ascii="Georgia" w:hAnsi="Georgia"/>
          </w:rPr>
          <w:t>https://www.fao.org/faostat/en/#data/OA</w:t>
        </w:r>
      </w:hyperlink>
      <w:r w:rsidR="001318C1" w:rsidRPr="001318C1">
        <w:rPr>
          <w:rFonts w:ascii="Georgia" w:hAnsi="Georgia"/>
          <w:color w:val="467886" w:themeColor="hyperlink"/>
          <w:u w:val="single"/>
        </w:rPr>
        <w:t xml:space="preserve"> </w:t>
      </w:r>
      <w:r w:rsidR="00A05545" w:rsidRPr="00A05545">
        <w:rPr>
          <w:rFonts w:ascii="Georgia" w:hAnsi="Georgia"/>
        </w:rPr>
        <w:t>[</w:t>
      </w:r>
      <w:r w:rsidR="00A05545">
        <w:rPr>
          <w:rFonts w:ascii="Georgia" w:hAnsi="Georgia"/>
        </w:rPr>
        <w:t>1]</w:t>
      </w:r>
    </w:p>
    <w:p w14:paraId="0E3D35E8" w14:textId="77777777" w:rsidR="009120C8" w:rsidRPr="00736AB2" w:rsidRDefault="009120C8">
      <w:pPr>
        <w:rPr>
          <w:rStyle w:val="Lienhypertexte"/>
          <w:rFonts w:ascii="Georgia" w:hAnsi="Georgia"/>
        </w:rPr>
      </w:pPr>
    </w:p>
    <w:p w14:paraId="4629E523" w14:textId="41B15D5F" w:rsidR="009120C8" w:rsidRPr="004F3B9C" w:rsidRDefault="009120C8" w:rsidP="009120C8">
      <w:pPr>
        <w:rPr>
          <w:lang w:val="en-GB"/>
        </w:rPr>
      </w:pPr>
      <w:proofErr w:type="spellStart"/>
      <w:r w:rsidRPr="009120C8">
        <w:rPr>
          <w:rFonts w:ascii="Georgia" w:hAnsi="Georgia"/>
          <w:b/>
          <w:bCs/>
          <w:i/>
          <w:iCs/>
          <w:color w:val="0B769F" w:themeColor="accent4" w:themeShade="BF"/>
          <w:lang w:val="en-GB"/>
        </w:rPr>
        <w:t>pop_urb</w:t>
      </w:r>
      <w:proofErr w:type="spellEnd"/>
    </w:p>
    <w:p w14:paraId="50483A1E" w14:textId="62DB28F6" w:rsidR="009120C8" w:rsidRDefault="009120C8" w:rsidP="009120C8">
      <w:pPr>
        <w:rPr>
          <w:lang w:val="en-GB"/>
        </w:rPr>
      </w:pPr>
      <w:r>
        <w:rPr>
          <w:lang w:val="en-GB"/>
        </w:rPr>
        <w:t>National n</w:t>
      </w:r>
      <w:r w:rsidRPr="004F3B9C">
        <w:rPr>
          <w:lang w:val="en-GB"/>
        </w:rPr>
        <w:t>umber o</w:t>
      </w:r>
      <w:r>
        <w:rPr>
          <w:lang w:val="en-GB"/>
        </w:rPr>
        <w:t>f urban inhabitants.</w:t>
      </w:r>
    </w:p>
    <w:p w14:paraId="7DEA78E5" w14:textId="427CD8E4" w:rsidR="009120C8" w:rsidRDefault="009120C8" w:rsidP="001318C1">
      <w:pPr>
        <w:jc w:val="both"/>
        <w:rPr>
          <w:rFonts w:ascii="Georgia" w:hAnsi="Georgia"/>
          <w:color w:val="467886" w:themeColor="hyperlink"/>
          <w:u w:val="single"/>
        </w:rPr>
      </w:pPr>
      <w:r w:rsidRPr="009120C8">
        <w:t>Source</w:t>
      </w:r>
      <w:r w:rsidR="00BD6309">
        <w:t> :</w:t>
      </w:r>
      <w:r w:rsidRPr="00BD6309">
        <w:rPr>
          <w:rStyle w:val="Lienhypertexte"/>
          <w:u w:val="none"/>
        </w:rPr>
        <w:t xml:space="preserve"> </w:t>
      </w:r>
      <w:r w:rsidR="00BD6309" w:rsidRPr="00BD6309">
        <w:rPr>
          <w:rStyle w:val="Lienhypertexte"/>
          <w:u w:val="none"/>
        </w:rPr>
        <w:t>FAO,</w:t>
      </w:r>
      <w:r w:rsidR="00BD6309">
        <w:t xml:space="preserve"> </w:t>
      </w:r>
      <w:hyperlink r:id="rId9" w:anchor="data/OA " w:history="1">
        <w:r w:rsidR="00A05545" w:rsidRPr="00E879F4">
          <w:rPr>
            <w:rStyle w:val="Lienhypertexte"/>
            <w:rFonts w:ascii="Georgia" w:hAnsi="Georgia"/>
          </w:rPr>
          <w:t xml:space="preserve">https://www.fao.org/faostat/en/#data/OA </w:t>
        </w:r>
      </w:hyperlink>
      <w:r w:rsidR="00A05545" w:rsidRPr="00A05545">
        <w:rPr>
          <w:rFonts w:ascii="Georgia" w:hAnsi="Georgia"/>
        </w:rPr>
        <w:t>[</w:t>
      </w:r>
      <w:r w:rsidR="00A05545">
        <w:rPr>
          <w:rFonts w:ascii="Georgia" w:hAnsi="Georgia"/>
        </w:rPr>
        <w:t>1]</w:t>
      </w:r>
    </w:p>
    <w:p w14:paraId="6AD46D93" w14:textId="77777777" w:rsidR="001318C1" w:rsidRDefault="001318C1" w:rsidP="001318C1">
      <w:pPr>
        <w:jc w:val="both"/>
        <w:rPr>
          <w:rFonts w:ascii="Georgia" w:hAnsi="Georgia"/>
          <w:color w:val="467886" w:themeColor="hyperlink"/>
          <w:u w:val="single"/>
        </w:rPr>
      </w:pPr>
    </w:p>
    <w:p w14:paraId="52944F1E" w14:textId="77777777" w:rsidR="001318C1" w:rsidRPr="004F3B9C" w:rsidRDefault="001318C1" w:rsidP="001318C1">
      <w:pPr>
        <w:rPr>
          <w:rFonts w:ascii="Georgia" w:hAnsi="Georgia"/>
          <w:b/>
          <w:bCs/>
          <w:i/>
          <w:iCs/>
          <w:color w:val="0B769F" w:themeColor="accent4" w:themeShade="BF"/>
          <w:lang w:val="en-GB"/>
        </w:rPr>
      </w:pPr>
      <w:proofErr w:type="spellStart"/>
      <w:r w:rsidRPr="004F3B9C">
        <w:rPr>
          <w:rFonts w:ascii="Georgia" w:hAnsi="Georgia"/>
          <w:b/>
          <w:bCs/>
          <w:i/>
          <w:iCs/>
          <w:color w:val="0B769F" w:themeColor="accent4" w:themeShade="BF"/>
          <w:lang w:val="en-GB"/>
        </w:rPr>
        <w:t>net_imp</w:t>
      </w:r>
      <w:proofErr w:type="spellEnd"/>
    </w:p>
    <w:p w14:paraId="1EAC121C" w14:textId="77777777" w:rsidR="001318C1" w:rsidRPr="00A70A21" w:rsidRDefault="001318C1" w:rsidP="001318C1">
      <w:pPr>
        <w:jc w:val="both"/>
        <w:rPr>
          <w:rFonts w:ascii="Georgia" w:hAnsi="Georgia"/>
          <w:lang w:val="en-GB"/>
        </w:rPr>
      </w:pPr>
      <w:r>
        <w:rPr>
          <w:rFonts w:ascii="Georgia" w:hAnsi="Georgia"/>
          <w:lang w:val="en-GB"/>
        </w:rPr>
        <w:t>Net cereal imports in tons. Contains national</w:t>
      </w:r>
      <w:r w:rsidRPr="00A70A21">
        <w:rPr>
          <w:rFonts w:ascii="Georgia" w:hAnsi="Georgia"/>
          <w:lang w:val="en-GB"/>
        </w:rPr>
        <w:t xml:space="preserve"> imports </w:t>
      </w:r>
      <w:r>
        <w:rPr>
          <w:rFonts w:ascii="Georgia" w:hAnsi="Georgia"/>
          <w:lang w:val="en-GB"/>
        </w:rPr>
        <w:t xml:space="preserve">minus </w:t>
      </w:r>
      <w:r w:rsidRPr="00A70A21">
        <w:rPr>
          <w:rFonts w:ascii="Georgia" w:hAnsi="Georgia"/>
          <w:lang w:val="en-GB"/>
        </w:rPr>
        <w:t xml:space="preserve">exports quantities </w:t>
      </w:r>
      <w:r>
        <w:rPr>
          <w:rFonts w:ascii="Georgia" w:hAnsi="Georgia"/>
          <w:lang w:val="en-GB"/>
        </w:rPr>
        <w:t>using categories</w:t>
      </w:r>
      <w:r w:rsidRPr="00A70A21">
        <w:rPr>
          <w:rFonts w:ascii="Georgia" w:hAnsi="Georgia"/>
          <w:lang w:val="en-GB"/>
        </w:rPr>
        <w:t xml:space="preserve"> Cereals and Cereal preparations defined by the Central Product Classification (CPC). </w:t>
      </w:r>
    </w:p>
    <w:p w14:paraId="53111D0D" w14:textId="78131A41" w:rsidR="001318C1" w:rsidRPr="001318C1" w:rsidRDefault="001318C1" w:rsidP="001318C1">
      <w:pPr>
        <w:jc w:val="both"/>
        <w:rPr>
          <w:rStyle w:val="Lienhypertexte"/>
          <w:rFonts w:ascii="Georgia" w:hAnsi="Georgia"/>
          <w:color w:val="auto"/>
          <w:u w:val="none"/>
        </w:rPr>
      </w:pPr>
      <w:r w:rsidRPr="00A70A21">
        <w:rPr>
          <w:rFonts w:ascii="Georgia" w:hAnsi="Georgia"/>
        </w:rPr>
        <w:t xml:space="preserve">Source : </w:t>
      </w:r>
      <w:r w:rsidRPr="00BD6309">
        <w:rPr>
          <w:rStyle w:val="Lienhypertexte"/>
          <w:u w:val="none"/>
        </w:rPr>
        <w:t>FAO,</w:t>
      </w:r>
      <w:r>
        <w:rPr>
          <w:rFonts w:ascii="Georgia" w:hAnsi="Georgia"/>
        </w:rPr>
        <w:t xml:space="preserve"> </w:t>
      </w:r>
      <w:hyperlink r:id="rId10" w:anchor="data/TCL" w:history="1">
        <w:r w:rsidRPr="00E879F4">
          <w:rPr>
            <w:rStyle w:val="Lienhypertexte"/>
            <w:rFonts w:ascii="Georgia" w:hAnsi="Georgia"/>
          </w:rPr>
          <w:t>https://www.fao.org/faostat/en/#data/TCL</w:t>
        </w:r>
      </w:hyperlink>
      <w:r w:rsidR="00A05545">
        <w:rPr>
          <w:rFonts w:ascii="Georgia" w:hAnsi="Georgia"/>
        </w:rPr>
        <w:t xml:space="preserve"> </w:t>
      </w:r>
      <w:r w:rsidR="00A05545" w:rsidRPr="00A05545">
        <w:rPr>
          <w:rFonts w:ascii="Georgia" w:hAnsi="Georgia"/>
        </w:rPr>
        <w:t>[</w:t>
      </w:r>
      <w:r w:rsidR="00A05545">
        <w:rPr>
          <w:rFonts w:ascii="Georgia" w:hAnsi="Georgia"/>
        </w:rPr>
        <w:t>1]</w:t>
      </w:r>
    </w:p>
    <w:p w14:paraId="1DDED03F" w14:textId="77777777" w:rsidR="009120C8" w:rsidRPr="00736AB2" w:rsidRDefault="009120C8" w:rsidP="009120C8">
      <w:pPr>
        <w:rPr>
          <w:rStyle w:val="Lienhypertexte"/>
          <w:rFonts w:ascii="Georgia" w:hAnsi="Georgia"/>
        </w:rPr>
      </w:pPr>
    </w:p>
    <w:p w14:paraId="3C5228D5" w14:textId="2B95EAA5" w:rsidR="009120C8" w:rsidRDefault="009120C8" w:rsidP="009120C8">
      <w:pPr>
        <w:rPr>
          <w:rStyle w:val="Lienhypertexte"/>
          <w:rFonts w:ascii="Georgia" w:hAnsi="Georgia"/>
          <w:lang w:val="en-GB"/>
        </w:rPr>
      </w:pPr>
      <w:r w:rsidRPr="009120C8">
        <w:rPr>
          <w:b/>
          <w:bCs/>
          <w:i/>
          <w:iCs/>
          <w:color w:val="0B769F" w:themeColor="accent4" w:themeShade="BF"/>
          <w:lang w:val="en-GB"/>
        </w:rPr>
        <w:t>liv</w:t>
      </w:r>
    </w:p>
    <w:p w14:paraId="51A284E2" w14:textId="654E772A" w:rsidR="009120C8" w:rsidRPr="006F42C3" w:rsidRDefault="009120C8" w:rsidP="009120C8">
      <w:pPr>
        <w:jc w:val="both"/>
        <w:rPr>
          <w:rFonts w:ascii="Georgia" w:hAnsi="Georgia"/>
          <w:lang w:val="en-GB"/>
        </w:rPr>
      </w:pPr>
      <w:r>
        <w:rPr>
          <w:rFonts w:ascii="Georgia" w:hAnsi="Georgia"/>
          <w:lang w:val="en-GB"/>
        </w:rPr>
        <w:t xml:space="preserve">Livestock in tropical livestock unit (TLU). The following species were considered : </w:t>
      </w:r>
      <w:r w:rsidRPr="009120C8">
        <w:rPr>
          <w:rFonts w:ascii="Georgia" w:hAnsi="Georgia"/>
          <w:lang w:val="en-GB"/>
        </w:rPr>
        <w:t>asses</w:t>
      </w:r>
      <w:r w:rsidRPr="006F42C3">
        <w:rPr>
          <w:rFonts w:ascii="Georgia" w:hAnsi="Georgia"/>
          <w:lang w:val="en-GB"/>
        </w:rPr>
        <w:t xml:space="preserve">, </w:t>
      </w:r>
      <w:r w:rsidRPr="009120C8">
        <w:rPr>
          <w:rFonts w:ascii="Georgia" w:hAnsi="Georgia"/>
          <w:lang w:val="en-GB"/>
        </w:rPr>
        <w:t>camels</w:t>
      </w:r>
      <w:r w:rsidRPr="006F42C3">
        <w:rPr>
          <w:rFonts w:ascii="Georgia" w:hAnsi="Georgia"/>
          <w:lang w:val="en-GB"/>
        </w:rPr>
        <w:t xml:space="preserve">, </w:t>
      </w:r>
      <w:r w:rsidRPr="009120C8">
        <w:rPr>
          <w:rFonts w:ascii="Georgia" w:hAnsi="Georgia"/>
          <w:lang w:val="en-GB"/>
        </w:rPr>
        <w:t>cattle</w:t>
      </w:r>
      <w:r w:rsidRPr="006F42C3">
        <w:rPr>
          <w:rFonts w:ascii="Georgia" w:hAnsi="Georgia"/>
          <w:lang w:val="en-GB"/>
        </w:rPr>
        <w:t xml:space="preserve">, </w:t>
      </w:r>
      <w:r w:rsidRPr="009120C8">
        <w:rPr>
          <w:rFonts w:ascii="Georgia" w:hAnsi="Georgia"/>
          <w:lang w:val="en-GB"/>
        </w:rPr>
        <w:t>goats</w:t>
      </w:r>
      <w:r w:rsidRPr="006F42C3">
        <w:rPr>
          <w:rFonts w:ascii="Georgia" w:hAnsi="Georgia"/>
          <w:lang w:val="en-GB"/>
        </w:rPr>
        <w:t xml:space="preserve">, </w:t>
      </w:r>
      <w:r w:rsidRPr="009120C8">
        <w:rPr>
          <w:rFonts w:ascii="Georgia" w:hAnsi="Georgia"/>
          <w:lang w:val="en-GB"/>
        </w:rPr>
        <w:t>horses</w:t>
      </w:r>
      <w:r w:rsidRPr="006F42C3">
        <w:rPr>
          <w:rFonts w:ascii="Georgia" w:hAnsi="Georgia"/>
          <w:lang w:val="en-GB"/>
        </w:rPr>
        <w:t xml:space="preserve"> or </w:t>
      </w:r>
      <w:r w:rsidRPr="009120C8">
        <w:rPr>
          <w:rFonts w:ascii="Georgia" w:hAnsi="Georgia"/>
          <w:lang w:val="en-GB"/>
        </w:rPr>
        <w:t>sheep</w:t>
      </w:r>
      <w:r>
        <w:rPr>
          <w:rFonts w:ascii="Georgia" w:hAnsi="Georgia"/>
          <w:lang w:val="en-GB"/>
        </w:rPr>
        <w:t>.</w:t>
      </w:r>
    </w:p>
    <w:p w14:paraId="62D0BE85" w14:textId="16E9D142" w:rsidR="009120C8" w:rsidRPr="001318C1" w:rsidRDefault="009120C8" w:rsidP="009120C8">
      <w:pPr>
        <w:jc w:val="both"/>
        <w:rPr>
          <w:rFonts w:ascii="Georgia" w:hAnsi="Georgia"/>
        </w:rPr>
      </w:pPr>
      <w:r w:rsidRPr="00736AB2">
        <w:rPr>
          <w:rFonts w:ascii="Georgia" w:hAnsi="Georgia"/>
        </w:rPr>
        <w:t xml:space="preserve">Source : </w:t>
      </w:r>
      <w:r w:rsidR="00BD6309" w:rsidRPr="00BD6309">
        <w:rPr>
          <w:rStyle w:val="Lienhypertexte"/>
          <w:u w:val="none"/>
        </w:rPr>
        <w:t xml:space="preserve">FAO, </w:t>
      </w:r>
      <w:hyperlink r:id="rId11" w:anchor="data/QCL" w:history="1">
        <w:r w:rsidR="00BD6309" w:rsidRPr="00E879F4">
          <w:rPr>
            <w:rStyle w:val="Lienhypertexte"/>
            <w:rFonts w:ascii="Georgia" w:hAnsi="Georgia"/>
          </w:rPr>
          <w:t>https://www.fao.org/faostat/en/#data/QCL</w:t>
        </w:r>
      </w:hyperlink>
      <w:r w:rsidR="001318C1" w:rsidRPr="001318C1">
        <w:rPr>
          <w:rFonts w:ascii="Georgia" w:hAnsi="Georgia"/>
          <w:color w:val="467886" w:themeColor="hyperlink"/>
          <w:u w:val="single"/>
        </w:rPr>
        <w:t xml:space="preserve"> </w:t>
      </w:r>
      <w:r w:rsidR="00A05545" w:rsidRPr="00A05545">
        <w:rPr>
          <w:rFonts w:ascii="Georgia" w:hAnsi="Georgia"/>
        </w:rPr>
        <w:t>[</w:t>
      </w:r>
      <w:r w:rsidR="00A05545">
        <w:rPr>
          <w:rFonts w:ascii="Georgia" w:hAnsi="Georgia"/>
        </w:rPr>
        <w:t>1]</w:t>
      </w:r>
    </w:p>
    <w:p w14:paraId="6E891703" w14:textId="77777777" w:rsidR="009120C8" w:rsidRPr="00736AB2" w:rsidRDefault="009120C8" w:rsidP="009120C8">
      <w:pPr>
        <w:jc w:val="both"/>
        <w:rPr>
          <w:rFonts w:ascii="Georgia" w:hAnsi="Georgia"/>
        </w:rPr>
      </w:pPr>
    </w:p>
    <w:p w14:paraId="1748FDF5" w14:textId="2054B92E" w:rsidR="009120C8" w:rsidRPr="009120C8" w:rsidRDefault="009120C8" w:rsidP="009120C8">
      <w:pPr>
        <w:jc w:val="both"/>
        <w:rPr>
          <w:b/>
          <w:bCs/>
          <w:i/>
          <w:iCs/>
          <w:color w:val="0B769F" w:themeColor="accent4" w:themeShade="BF"/>
          <w:lang w:val="en-GB"/>
        </w:rPr>
      </w:pPr>
      <w:r w:rsidRPr="009120C8">
        <w:rPr>
          <w:b/>
          <w:bCs/>
          <w:i/>
          <w:iCs/>
          <w:color w:val="0B769F" w:themeColor="accent4" w:themeShade="BF"/>
          <w:lang w:val="en-GB"/>
        </w:rPr>
        <w:t>rain</w:t>
      </w:r>
    </w:p>
    <w:p w14:paraId="3BE2D725" w14:textId="77777777" w:rsidR="00F70D2F" w:rsidRDefault="009120C8" w:rsidP="009120C8">
      <w:pPr>
        <w:jc w:val="both"/>
        <w:rPr>
          <w:rFonts w:ascii="Georgia" w:hAnsi="Georgia"/>
          <w:lang w:val="en-GB"/>
        </w:rPr>
      </w:pPr>
      <w:r>
        <w:rPr>
          <w:rFonts w:ascii="Georgia" w:hAnsi="Georgia"/>
          <w:lang w:val="en-GB"/>
        </w:rPr>
        <w:t xml:space="preserve">Yearly cumulated precipitation values in mm. </w:t>
      </w:r>
      <w:r w:rsidR="00F70D2F">
        <w:rPr>
          <w:rFonts w:ascii="Georgia" w:hAnsi="Georgia"/>
          <w:lang w:val="en-GB"/>
        </w:rPr>
        <w:t>Values corresponds to the mean of ERA5 31 km scale data for Senegal.</w:t>
      </w:r>
    </w:p>
    <w:p w14:paraId="14033E7D" w14:textId="6968807C" w:rsidR="009120C8" w:rsidRPr="007F0244" w:rsidRDefault="009120C8" w:rsidP="009120C8">
      <w:pPr>
        <w:jc w:val="both"/>
        <w:rPr>
          <w:rFonts w:ascii="Georgia" w:hAnsi="Georgia"/>
          <w:lang w:val="en-GB"/>
        </w:rPr>
      </w:pPr>
      <w:r w:rsidRPr="007F0244">
        <w:rPr>
          <w:rFonts w:ascii="Georgia" w:hAnsi="Georgia"/>
          <w:lang w:val="en-GB"/>
        </w:rPr>
        <w:t>Source :</w:t>
      </w:r>
      <w:r w:rsidR="00BD6309" w:rsidRPr="007F0244">
        <w:rPr>
          <w:rStyle w:val="Lienhypertexte"/>
          <w:u w:val="none"/>
          <w:lang w:val="en-GB"/>
        </w:rPr>
        <w:t xml:space="preserve"> ERA5,</w:t>
      </w:r>
      <w:r w:rsidRPr="007F0244">
        <w:rPr>
          <w:rStyle w:val="Lienhypertexte"/>
          <w:u w:val="none"/>
          <w:lang w:val="en-GB"/>
        </w:rPr>
        <w:t xml:space="preserve"> </w:t>
      </w:r>
      <w:hyperlink r:id="rId12" w:history="1">
        <w:r w:rsidRPr="007F0244">
          <w:rPr>
            <w:rStyle w:val="Lienhypertexte"/>
            <w:rFonts w:ascii="Georgia" w:hAnsi="Georgia"/>
            <w:lang w:val="en-GB"/>
          </w:rPr>
          <w:t>https://climateknowledgeportal.worldbank.org/download-data</w:t>
        </w:r>
      </w:hyperlink>
      <w:r w:rsidR="001318C1" w:rsidRPr="007F0244">
        <w:rPr>
          <w:rFonts w:ascii="Georgia" w:hAnsi="Georgia"/>
          <w:color w:val="467886" w:themeColor="hyperlink"/>
          <w:u w:val="single"/>
          <w:lang w:val="en-GB"/>
        </w:rPr>
        <w:t xml:space="preserve"> </w:t>
      </w:r>
      <w:r w:rsidR="00A05545" w:rsidRPr="007F0244">
        <w:rPr>
          <w:rFonts w:ascii="Georgia" w:hAnsi="Georgia"/>
          <w:lang w:val="en-GB"/>
        </w:rPr>
        <w:t>[2]</w:t>
      </w:r>
    </w:p>
    <w:p w14:paraId="05401E65" w14:textId="77777777" w:rsidR="009120C8" w:rsidRPr="007F0244" w:rsidRDefault="009120C8" w:rsidP="009120C8">
      <w:pPr>
        <w:jc w:val="both"/>
        <w:rPr>
          <w:rFonts w:ascii="Georgia" w:hAnsi="Georgia"/>
          <w:lang w:val="en-GB"/>
        </w:rPr>
      </w:pPr>
    </w:p>
    <w:p w14:paraId="6D57B074" w14:textId="15F3A616" w:rsidR="009120C8" w:rsidRPr="00DF6402" w:rsidRDefault="00DF6402" w:rsidP="009120C8">
      <w:pPr>
        <w:jc w:val="both"/>
        <w:rPr>
          <w:b/>
          <w:bCs/>
          <w:i/>
          <w:iCs/>
          <w:color w:val="0B769F" w:themeColor="accent4" w:themeShade="BF"/>
          <w:lang w:val="en-GB"/>
        </w:rPr>
      </w:pPr>
      <w:r w:rsidRPr="00DF6402">
        <w:rPr>
          <w:b/>
          <w:bCs/>
          <w:i/>
          <w:iCs/>
          <w:color w:val="0B769F" w:themeColor="accent4" w:themeShade="BF"/>
          <w:lang w:val="en-GB"/>
        </w:rPr>
        <w:t>y</w:t>
      </w:r>
      <w:r w:rsidR="009120C8" w:rsidRPr="00DF6402">
        <w:rPr>
          <w:b/>
          <w:bCs/>
          <w:i/>
          <w:iCs/>
          <w:color w:val="0B769F" w:themeColor="accent4" w:themeShade="BF"/>
          <w:lang w:val="en-GB"/>
        </w:rPr>
        <w:t>ield</w:t>
      </w:r>
    </w:p>
    <w:p w14:paraId="39BF7CCE" w14:textId="74EE254A" w:rsidR="00DF6402" w:rsidRDefault="009E4F33" w:rsidP="00DF6402">
      <w:pPr>
        <w:jc w:val="both"/>
        <w:rPr>
          <w:rFonts w:ascii="Georgia" w:hAnsi="Georgia"/>
          <w:lang w:val="en-GB"/>
        </w:rPr>
      </w:pPr>
      <w:r>
        <w:rPr>
          <w:rFonts w:ascii="Georgia" w:hAnsi="Georgia"/>
          <w:lang w:val="en-GB"/>
        </w:rPr>
        <w:t xml:space="preserve">Cereal </w:t>
      </w:r>
      <w:r w:rsidR="00DF6402" w:rsidRPr="00075FF5">
        <w:rPr>
          <w:rFonts w:ascii="Georgia" w:hAnsi="Georgia"/>
          <w:lang w:val="en-GB"/>
        </w:rPr>
        <w:t xml:space="preserve">yield </w:t>
      </w:r>
      <w:r>
        <w:rPr>
          <w:rFonts w:ascii="Georgia" w:hAnsi="Georgia"/>
          <w:lang w:val="en-GB"/>
        </w:rPr>
        <w:t>in</w:t>
      </w:r>
      <w:r w:rsidR="00DF6402" w:rsidRPr="00075FF5">
        <w:rPr>
          <w:rFonts w:ascii="Georgia" w:hAnsi="Georgia"/>
          <w:lang w:val="en-GB"/>
        </w:rPr>
        <w:t xml:space="preserve"> kilograms per hectare of harvested land</w:t>
      </w:r>
      <w:r>
        <w:rPr>
          <w:rFonts w:ascii="Georgia" w:hAnsi="Georgia"/>
          <w:lang w:val="en-GB"/>
        </w:rPr>
        <w:t xml:space="preserve">. Considered cereals are the following : </w:t>
      </w:r>
      <w:proofErr w:type="spellStart"/>
      <w:r w:rsidR="00DF6402">
        <w:rPr>
          <w:rFonts w:ascii="Georgia" w:hAnsi="Georgia"/>
          <w:lang w:val="en-GB"/>
        </w:rPr>
        <w:t>f</w:t>
      </w:r>
      <w:r w:rsidR="00DF6402" w:rsidRPr="00425A35">
        <w:rPr>
          <w:rFonts w:ascii="Georgia" w:hAnsi="Georgia"/>
          <w:lang w:val="en-GB"/>
        </w:rPr>
        <w:t>onio</w:t>
      </w:r>
      <w:proofErr w:type="spellEnd"/>
      <w:r w:rsidR="00DF6402" w:rsidRPr="00425A35">
        <w:rPr>
          <w:rFonts w:ascii="Georgia" w:hAnsi="Georgia"/>
          <w:lang w:val="en-GB"/>
        </w:rPr>
        <w:t xml:space="preserve">, </w:t>
      </w:r>
      <w:r w:rsidR="00DF6402">
        <w:rPr>
          <w:rFonts w:ascii="Georgia" w:hAnsi="Georgia"/>
          <w:lang w:val="en-GB"/>
        </w:rPr>
        <w:t>m</w:t>
      </w:r>
      <w:r w:rsidR="00DF6402" w:rsidRPr="00425A35">
        <w:rPr>
          <w:rFonts w:ascii="Georgia" w:hAnsi="Georgia"/>
          <w:lang w:val="en-GB"/>
        </w:rPr>
        <w:t xml:space="preserve">aize (corn), </w:t>
      </w:r>
      <w:r w:rsidR="00DF6402">
        <w:rPr>
          <w:rFonts w:ascii="Georgia" w:hAnsi="Georgia"/>
          <w:lang w:val="en-GB"/>
        </w:rPr>
        <w:t>m</w:t>
      </w:r>
      <w:r w:rsidR="00DF6402" w:rsidRPr="00425A35">
        <w:rPr>
          <w:rFonts w:ascii="Georgia" w:hAnsi="Georgia"/>
          <w:lang w:val="en-GB"/>
        </w:rPr>
        <w:t xml:space="preserve">illet, </w:t>
      </w:r>
      <w:r w:rsidR="00DF6402">
        <w:rPr>
          <w:rFonts w:ascii="Georgia" w:hAnsi="Georgia"/>
          <w:lang w:val="en-GB"/>
        </w:rPr>
        <w:t>r</w:t>
      </w:r>
      <w:r w:rsidR="00DF6402" w:rsidRPr="00425A35">
        <w:rPr>
          <w:rFonts w:ascii="Georgia" w:hAnsi="Georgia"/>
          <w:lang w:val="en-GB"/>
        </w:rPr>
        <w:t xml:space="preserve">ice and </w:t>
      </w:r>
      <w:r>
        <w:rPr>
          <w:rFonts w:ascii="Georgia" w:hAnsi="Georgia"/>
          <w:lang w:val="en-GB"/>
        </w:rPr>
        <w:t>s</w:t>
      </w:r>
      <w:r w:rsidR="00DF6402" w:rsidRPr="00425A35">
        <w:rPr>
          <w:rFonts w:ascii="Georgia" w:hAnsi="Georgia"/>
          <w:lang w:val="en-GB"/>
        </w:rPr>
        <w:t>orghum</w:t>
      </w:r>
      <w:r>
        <w:rPr>
          <w:rFonts w:ascii="Georgia" w:hAnsi="Georgia"/>
          <w:lang w:val="en-GB"/>
        </w:rPr>
        <w:t>.</w:t>
      </w:r>
      <w:r w:rsidR="00DF6402">
        <w:rPr>
          <w:rFonts w:ascii="Georgia" w:hAnsi="Georgia"/>
          <w:i/>
          <w:iCs/>
          <w:lang w:val="en-GB"/>
        </w:rPr>
        <w:t xml:space="preserve"> </w:t>
      </w:r>
    </w:p>
    <w:p w14:paraId="496E333F" w14:textId="08283EDD" w:rsidR="001318C1" w:rsidRDefault="00DF6402" w:rsidP="001318C1">
      <w:pPr>
        <w:jc w:val="both"/>
        <w:rPr>
          <w:rFonts w:ascii="Georgia" w:hAnsi="Georgia"/>
        </w:rPr>
      </w:pPr>
      <w:r w:rsidRPr="00075FF5">
        <w:rPr>
          <w:rFonts w:ascii="Georgia" w:hAnsi="Georgia"/>
        </w:rPr>
        <w:t xml:space="preserve">Source : </w:t>
      </w:r>
      <w:hyperlink r:id="rId13" w:anchor="data/QCL" w:history="1">
        <w:r w:rsidRPr="004C3ED8">
          <w:rPr>
            <w:rStyle w:val="Lienhypertexte"/>
            <w:rFonts w:ascii="Georgia" w:hAnsi="Georgia"/>
          </w:rPr>
          <w:t>https://www.fao.org/faostat/en/#data/QCL</w:t>
        </w:r>
      </w:hyperlink>
      <w:r w:rsidR="001318C1">
        <w:rPr>
          <w:rFonts w:ascii="Georgia" w:hAnsi="Georgia"/>
          <w:color w:val="467886" w:themeColor="hyperlink"/>
          <w:u w:val="single"/>
        </w:rPr>
        <w:t xml:space="preserve"> </w:t>
      </w:r>
      <w:r w:rsidR="00A05545" w:rsidRPr="00A05545">
        <w:rPr>
          <w:rFonts w:ascii="Georgia" w:hAnsi="Georgia"/>
        </w:rPr>
        <w:t>[</w:t>
      </w:r>
      <w:r w:rsidR="00A05545">
        <w:rPr>
          <w:rFonts w:ascii="Georgia" w:hAnsi="Georgia"/>
        </w:rPr>
        <w:t>1]</w:t>
      </w:r>
    </w:p>
    <w:p w14:paraId="7F60223A" w14:textId="23B0C6B7" w:rsidR="00DF6402" w:rsidRDefault="00DF6402" w:rsidP="00DF6402">
      <w:pPr>
        <w:jc w:val="both"/>
        <w:rPr>
          <w:rFonts w:ascii="Georgia" w:hAnsi="Georgia"/>
        </w:rPr>
      </w:pPr>
    </w:p>
    <w:p w14:paraId="318E8833" w14:textId="77777777" w:rsidR="001318C1" w:rsidRDefault="001318C1" w:rsidP="00DF6402">
      <w:pPr>
        <w:jc w:val="both"/>
        <w:rPr>
          <w:rFonts w:ascii="Georgia" w:hAnsi="Georgia"/>
        </w:rPr>
      </w:pPr>
    </w:p>
    <w:p w14:paraId="3B47DB0E" w14:textId="77777777" w:rsidR="009E4F33" w:rsidRDefault="009E4F33" w:rsidP="009120C8">
      <w:pPr>
        <w:jc w:val="both"/>
        <w:rPr>
          <w:rFonts w:ascii="Georgia" w:hAnsi="Georgia"/>
        </w:rPr>
      </w:pPr>
    </w:p>
    <w:p w14:paraId="310554F4" w14:textId="71044E1F" w:rsidR="009E4F33" w:rsidRPr="00D6385A" w:rsidRDefault="007F0244" w:rsidP="009E4F33">
      <w:pPr>
        <w:jc w:val="right"/>
        <w:rPr>
          <w:rFonts w:ascii="Impact" w:hAnsi="Impact"/>
          <w:sz w:val="28"/>
          <w:szCs w:val="28"/>
          <w:lang w:val="en-GB"/>
        </w:rPr>
      </w:pPr>
      <w:r>
        <w:rPr>
          <w:rFonts w:ascii="Impact" w:hAnsi="Impact"/>
          <w:sz w:val="28"/>
          <w:szCs w:val="28"/>
          <w:lang w:val="en-GB"/>
        </w:rPr>
        <w:lastRenderedPageBreak/>
        <w:t xml:space="preserve">INPUTS \ </w:t>
      </w:r>
      <w:r w:rsidR="009E4F33" w:rsidRPr="00D6385A">
        <w:rPr>
          <w:rFonts w:ascii="Impact" w:hAnsi="Impact"/>
          <w:sz w:val="28"/>
          <w:szCs w:val="28"/>
          <w:lang w:val="en-GB"/>
        </w:rPr>
        <w:t>GROUNDNUT_INPUTS . XLSX</w:t>
      </w:r>
    </w:p>
    <w:p w14:paraId="17C77414" w14:textId="2F37A64D" w:rsidR="00A658CE" w:rsidRPr="00BD6309" w:rsidRDefault="00D6385A" w:rsidP="00BD6309">
      <w:pPr>
        <w:jc w:val="right"/>
        <w:rPr>
          <w:rFonts w:ascii="Georgia" w:hAnsi="Georgia"/>
          <w:lang w:val="en-GB"/>
        </w:rPr>
      </w:pPr>
      <w:r w:rsidRPr="00D6385A">
        <w:rPr>
          <w:rFonts w:ascii="Georgia" w:hAnsi="Georgia"/>
          <w:lang w:val="en-GB"/>
        </w:rPr>
        <w:t>Data covers period 1974 to 2017.</w:t>
      </w:r>
    </w:p>
    <w:p w14:paraId="1D039D57" w14:textId="77777777" w:rsidR="00D6385A" w:rsidRDefault="00D6385A" w:rsidP="00A64EBD">
      <w:pPr>
        <w:jc w:val="both"/>
        <w:rPr>
          <w:rFonts w:ascii="Georgia" w:hAnsi="Georgia"/>
          <w:lang w:val="en-GB"/>
        </w:rPr>
      </w:pPr>
    </w:p>
    <w:p w14:paraId="0693DD17" w14:textId="60D6513C" w:rsidR="00D6385A" w:rsidRPr="00D6385A" w:rsidRDefault="00D6385A" w:rsidP="00A64EBD">
      <w:pPr>
        <w:jc w:val="both"/>
        <w:rPr>
          <w:rFonts w:ascii="Georgia" w:hAnsi="Georgia"/>
          <w:b/>
          <w:bCs/>
          <w:i/>
          <w:iCs/>
          <w:color w:val="0B769F" w:themeColor="accent4" w:themeShade="BF"/>
          <w:lang w:val="en-GB"/>
        </w:rPr>
      </w:pPr>
      <w:proofErr w:type="spellStart"/>
      <w:r w:rsidRPr="00D6385A">
        <w:rPr>
          <w:rFonts w:ascii="Georgia" w:hAnsi="Georgia"/>
          <w:b/>
          <w:bCs/>
          <w:i/>
          <w:iCs/>
          <w:color w:val="0B769F" w:themeColor="accent4" w:themeShade="BF"/>
          <w:lang w:val="en-GB"/>
        </w:rPr>
        <w:t>pop_rur</w:t>
      </w:r>
      <w:proofErr w:type="spellEnd"/>
    </w:p>
    <w:p w14:paraId="643B8E6A" w14:textId="6E970C73" w:rsidR="00D6385A" w:rsidRPr="00D6385A" w:rsidRDefault="00D6385A" w:rsidP="00A64EBD">
      <w:pPr>
        <w:jc w:val="both"/>
        <w:rPr>
          <w:rFonts w:ascii="Georgia" w:hAnsi="Georgia"/>
          <w:lang w:val="en-GB"/>
        </w:rPr>
      </w:pPr>
      <w:r>
        <w:rPr>
          <w:rFonts w:ascii="Georgia" w:hAnsi="Georgia"/>
          <w:lang w:val="en-GB"/>
        </w:rPr>
        <w:t>Number of rural inhabitants in the groundnut basin.</w:t>
      </w:r>
      <w:r w:rsidR="00A64EBD">
        <w:rPr>
          <w:rFonts w:ascii="Georgia" w:hAnsi="Georgia"/>
          <w:lang w:val="en-GB"/>
        </w:rPr>
        <w:t xml:space="preserve"> Dates not covered by ANSD reports were estimated through interpolation using splines.</w:t>
      </w:r>
    </w:p>
    <w:p w14:paraId="67839310" w14:textId="44E75254" w:rsidR="009E4F33" w:rsidRPr="00D24850" w:rsidRDefault="00D6385A" w:rsidP="00A64EBD">
      <w:pPr>
        <w:jc w:val="both"/>
        <w:rPr>
          <w:rStyle w:val="Lienhypertexte"/>
          <w:u w:val="none"/>
        </w:rPr>
      </w:pPr>
      <w:r w:rsidRPr="00D6385A">
        <w:rPr>
          <w:rFonts w:ascii="Georgia" w:hAnsi="Georgia"/>
        </w:rPr>
        <w:t xml:space="preserve">Source : </w:t>
      </w:r>
      <w:hyperlink r:id="rId14" w:history="1">
        <w:r w:rsidR="00A05545" w:rsidRPr="00E879F4">
          <w:rPr>
            <w:rStyle w:val="Lienhypertexte"/>
            <w:rFonts w:ascii="Georgia" w:hAnsi="Georgia"/>
          </w:rPr>
          <w:t>https://www.ansd.sn/Indicateur/donnees-de-population</w:t>
        </w:r>
      </w:hyperlink>
      <w:r w:rsidR="00A05545">
        <w:rPr>
          <w:rFonts w:ascii="Georgia" w:hAnsi="Georgia"/>
        </w:rPr>
        <w:t xml:space="preserve"> [3][4][5]</w:t>
      </w:r>
    </w:p>
    <w:p w14:paraId="12EB9593" w14:textId="77777777" w:rsidR="00D6385A" w:rsidRDefault="00D6385A" w:rsidP="00A64EBD">
      <w:pPr>
        <w:jc w:val="both"/>
        <w:rPr>
          <w:rFonts w:ascii="Georgia" w:hAnsi="Georgia"/>
        </w:rPr>
      </w:pPr>
    </w:p>
    <w:p w14:paraId="3B7AE3DD" w14:textId="5319360F" w:rsidR="00D6385A" w:rsidRPr="00D6385A" w:rsidRDefault="00D6385A" w:rsidP="00A64EBD">
      <w:pPr>
        <w:jc w:val="both"/>
        <w:rPr>
          <w:rFonts w:ascii="Georgia" w:hAnsi="Georgia"/>
          <w:b/>
          <w:bCs/>
          <w:i/>
          <w:iCs/>
          <w:color w:val="0B769F" w:themeColor="accent4" w:themeShade="BF"/>
          <w:lang w:val="en-GB"/>
        </w:rPr>
      </w:pPr>
      <w:proofErr w:type="spellStart"/>
      <w:r w:rsidRPr="00D6385A">
        <w:rPr>
          <w:rFonts w:ascii="Georgia" w:hAnsi="Georgia"/>
          <w:b/>
          <w:bCs/>
          <w:i/>
          <w:iCs/>
          <w:color w:val="0B769F" w:themeColor="accent4" w:themeShade="BF"/>
          <w:lang w:val="en-GB"/>
        </w:rPr>
        <w:t>pop_urb</w:t>
      </w:r>
      <w:proofErr w:type="spellEnd"/>
    </w:p>
    <w:p w14:paraId="53C819FC" w14:textId="21FE6AC6" w:rsidR="00D6385A" w:rsidRPr="00D6385A" w:rsidRDefault="00D6385A" w:rsidP="00A64EBD">
      <w:pPr>
        <w:jc w:val="both"/>
        <w:rPr>
          <w:rFonts w:ascii="Georgia" w:hAnsi="Georgia"/>
          <w:lang w:val="en-GB"/>
        </w:rPr>
      </w:pPr>
      <w:r w:rsidRPr="00D6385A">
        <w:rPr>
          <w:rFonts w:ascii="Georgia" w:hAnsi="Georgia"/>
          <w:lang w:val="en-GB"/>
        </w:rPr>
        <w:t>Number of u</w:t>
      </w:r>
      <w:r>
        <w:rPr>
          <w:rFonts w:ascii="Georgia" w:hAnsi="Georgia"/>
          <w:lang w:val="en-GB"/>
        </w:rPr>
        <w:t xml:space="preserve">rban inhabitants in the groundnut basin. </w:t>
      </w:r>
      <w:r w:rsidR="00A64EBD">
        <w:rPr>
          <w:rFonts w:ascii="Georgia" w:hAnsi="Georgia"/>
          <w:lang w:val="en-GB"/>
        </w:rPr>
        <w:t>Dates not covered by ANSD reports were estimated through interpolation using splines.</w:t>
      </w:r>
    </w:p>
    <w:p w14:paraId="18B85F7D" w14:textId="5B8C57C5" w:rsidR="00D6385A" w:rsidRDefault="00D6385A" w:rsidP="00A64EBD">
      <w:pPr>
        <w:jc w:val="both"/>
        <w:rPr>
          <w:rFonts w:ascii="Georgia" w:hAnsi="Georgia"/>
        </w:rPr>
      </w:pPr>
      <w:r w:rsidRPr="00D6385A">
        <w:rPr>
          <w:rFonts w:ascii="Georgia" w:hAnsi="Georgia"/>
        </w:rPr>
        <w:t xml:space="preserve">Source : </w:t>
      </w:r>
      <w:hyperlink r:id="rId15" w:history="1">
        <w:r w:rsidRPr="00E879F4">
          <w:rPr>
            <w:rStyle w:val="Lienhypertexte"/>
            <w:rFonts w:ascii="Georgia" w:hAnsi="Georgia"/>
          </w:rPr>
          <w:t>https://www.ansd.sn/Indicateur/donnees-de-population</w:t>
        </w:r>
      </w:hyperlink>
      <w:r w:rsidR="00D24850">
        <w:rPr>
          <w:rFonts w:ascii="Georgia" w:hAnsi="Georgia"/>
        </w:rPr>
        <w:t xml:space="preserve"> [3][4][5]</w:t>
      </w:r>
    </w:p>
    <w:p w14:paraId="09615CC7" w14:textId="77777777" w:rsidR="001318C1" w:rsidRPr="00D24850" w:rsidRDefault="001318C1" w:rsidP="001318C1">
      <w:pPr>
        <w:jc w:val="both"/>
        <w:rPr>
          <w:rFonts w:ascii="Georgia" w:hAnsi="Georgia"/>
          <w:b/>
          <w:bCs/>
          <w:i/>
          <w:iCs/>
          <w:color w:val="0B769F" w:themeColor="accent4" w:themeShade="BF"/>
        </w:rPr>
      </w:pPr>
    </w:p>
    <w:p w14:paraId="773103AC" w14:textId="77777777" w:rsidR="001318C1" w:rsidRPr="00D6385A" w:rsidRDefault="001318C1" w:rsidP="001318C1">
      <w:pPr>
        <w:jc w:val="both"/>
        <w:rPr>
          <w:rFonts w:ascii="Georgia" w:hAnsi="Georgia"/>
          <w:b/>
          <w:bCs/>
          <w:i/>
          <w:iCs/>
          <w:color w:val="0B769F" w:themeColor="accent4" w:themeShade="BF"/>
          <w:lang w:val="en-GB"/>
        </w:rPr>
      </w:pPr>
      <w:proofErr w:type="spellStart"/>
      <w:r w:rsidRPr="00D6385A">
        <w:rPr>
          <w:rFonts w:ascii="Georgia" w:hAnsi="Georgia"/>
          <w:b/>
          <w:bCs/>
          <w:i/>
          <w:iCs/>
          <w:color w:val="0B769F" w:themeColor="accent4" w:themeShade="BF"/>
          <w:lang w:val="en-GB"/>
        </w:rPr>
        <w:t>net_imp</w:t>
      </w:r>
      <w:proofErr w:type="spellEnd"/>
    </w:p>
    <w:p w14:paraId="69FC2697" w14:textId="3C78AD7E" w:rsidR="001318C1" w:rsidRDefault="001318C1" w:rsidP="00A64EBD">
      <w:pPr>
        <w:jc w:val="both"/>
        <w:rPr>
          <w:rFonts w:ascii="Georgia" w:hAnsi="Georgia"/>
          <w:lang w:val="en-GB"/>
        </w:rPr>
      </w:pPr>
      <w:r w:rsidRPr="00D6385A">
        <w:rPr>
          <w:rFonts w:ascii="Georgia" w:hAnsi="Georgia"/>
          <w:lang w:val="en-GB"/>
        </w:rPr>
        <w:t xml:space="preserve">Net cereal imports in tons, calculated using </w:t>
      </w:r>
      <w:r>
        <w:rPr>
          <w:rFonts w:ascii="Georgia" w:hAnsi="Georgia"/>
          <w:lang w:val="en-GB"/>
        </w:rPr>
        <w:t>national cereal imports [1], multiplied by the fraction of national urban population located in the groundnut basin.</w:t>
      </w:r>
    </w:p>
    <w:p w14:paraId="521F6E9C" w14:textId="7EF7BC70" w:rsidR="001318C1" w:rsidRPr="001318C1" w:rsidRDefault="001318C1" w:rsidP="00A64EBD">
      <w:pPr>
        <w:jc w:val="both"/>
        <w:rPr>
          <w:rFonts w:ascii="Georgia" w:hAnsi="Georgia"/>
        </w:rPr>
      </w:pPr>
      <w:r w:rsidRPr="001318C1">
        <w:rPr>
          <w:rFonts w:ascii="Georgia" w:hAnsi="Georgia"/>
        </w:rPr>
        <w:t xml:space="preserve">Source : </w:t>
      </w:r>
      <w:hyperlink r:id="rId16" w:history="1">
        <w:r w:rsidRPr="00E879F4">
          <w:rPr>
            <w:rStyle w:val="Lienhypertexte"/>
            <w:rFonts w:ascii="Georgia" w:hAnsi="Georgia"/>
          </w:rPr>
          <w:t>https://www.ansd.sn/Indicateur/donnees-de-population</w:t>
        </w:r>
      </w:hyperlink>
      <w:r w:rsidR="00D24850">
        <w:rPr>
          <w:rFonts w:ascii="Georgia" w:hAnsi="Georgia"/>
        </w:rPr>
        <w:t xml:space="preserve"> [3][4][5]</w:t>
      </w:r>
    </w:p>
    <w:p w14:paraId="3DADC6B9" w14:textId="77777777" w:rsidR="009E4F33" w:rsidRPr="001318C1" w:rsidRDefault="009E4F33" w:rsidP="00A64EBD">
      <w:pPr>
        <w:jc w:val="both"/>
        <w:rPr>
          <w:rFonts w:ascii="Georgia" w:hAnsi="Georgia"/>
        </w:rPr>
      </w:pPr>
    </w:p>
    <w:p w14:paraId="0B00DE8B" w14:textId="4DCB0615" w:rsidR="00D6385A" w:rsidRPr="00A64EBD" w:rsidRDefault="00D6385A" w:rsidP="00A64EBD">
      <w:pPr>
        <w:jc w:val="both"/>
        <w:rPr>
          <w:rFonts w:ascii="Georgia" w:hAnsi="Georgia"/>
          <w:b/>
          <w:bCs/>
          <w:i/>
          <w:iCs/>
          <w:color w:val="0B769F" w:themeColor="accent4" w:themeShade="BF"/>
          <w:lang w:val="en-GB"/>
        </w:rPr>
      </w:pPr>
      <w:r w:rsidRPr="00A64EBD">
        <w:rPr>
          <w:rFonts w:ascii="Georgia" w:hAnsi="Georgia"/>
          <w:b/>
          <w:bCs/>
          <w:i/>
          <w:iCs/>
          <w:color w:val="0B769F" w:themeColor="accent4" w:themeShade="BF"/>
          <w:lang w:val="en-GB"/>
        </w:rPr>
        <w:t>liv</w:t>
      </w:r>
    </w:p>
    <w:p w14:paraId="40FA4DA3" w14:textId="6B94371B" w:rsidR="00D6385A" w:rsidRPr="00D6385A" w:rsidRDefault="00D6385A" w:rsidP="00A64EBD">
      <w:pPr>
        <w:jc w:val="both"/>
        <w:rPr>
          <w:rFonts w:ascii="Georgia" w:hAnsi="Georgia"/>
          <w:lang w:val="en-GB"/>
        </w:rPr>
      </w:pPr>
      <w:r w:rsidRPr="00D6385A">
        <w:rPr>
          <w:rFonts w:ascii="Georgia" w:hAnsi="Georgia"/>
          <w:lang w:val="en-GB"/>
        </w:rPr>
        <w:t>Groundnut basin livestock in tropical livestock uni</w:t>
      </w:r>
      <w:r>
        <w:rPr>
          <w:rFonts w:ascii="Georgia" w:hAnsi="Georgia"/>
          <w:lang w:val="en-GB"/>
        </w:rPr>
        <w:t xml:space="preserve">t (TLU). </w:t>
      </w:r>
      <w:r w:rsidR="00A64EBD">
        <w:rPr>
          <w:rFonts w:ascii="Georgia" w:hAnsi="Georgia"/>
          <w:lang w:val="en-GB"/>
        </w:rPr>
        <w:t xml:space="preserve">Regional livestock values were extracted from the </w:t>
      </w:r>
      <w:r w:rsidR="00A64EBD" w:rsidRPr="00A64EBD">
        <w:rPr>
          <w:rFonts w:ascii="Georgia" w:hAnsi="Georgia"/>
          <w:lang w:val="en-GB"/>
        </w:rPr>
        <w:t>Gridded Livestock of the World (GLW)</w:t>
      </w:r>
      <w:r w:rsidR="00A64EBD">
        <w:rPr>
          <w:rFonts w:ascii="Georgia" w:hAnsi="Georgia"/>
          <w:lang w:val="en-GB"/>
        </w:rPr>
        <w:t xml:space="preserve"> database for years 2009 and 2019. Species considered were cattle, goats, horses and sheep. The mean proportion of national livestock located in the groundnut basin was used to estimate regional livestock values for years 1974 to 2017.</w:t>
      </w:r>
    </w:p>
    <w:p w14:paraId="1F14D248" w14:textId="1ABD1BF2" w:rsidR="009E4F33" w:rsidRDefault="00A64EBD" w:rsidP="009E4F33">
      <w:pPr>
        <w:rPr>
          <w:rFonts w:ascii="Georgia" w:hAnsi="Georgia"/>
        </w:rPr>
      </w:pPr>
      <w:r w:rsidRPr="00A64EBD">
        <w:rPr>
          <w:rFonts w:ascii="Georgia" w:hAnsi="Georgia"/>
        </w:rPr>
        <w:t xml:space="preserve">Source : </w:t>
      </w:r>
      <w:hyperlink r:id="rId17" w:history="1">
        <w:r w:rsidRPr="00E879F4">
          <w:rPr>
            <w:rStyle w:val="Lienhypertexte"/>
            <w:rFonts w:ascii="Georgia" w:hAnsi="Georgia"/>
          </w:rPr>
          <w:t>https://www.fao.org/livestock-systems/global-distributions/en/</w:t>
        </w:r>
      </w:hyperlink>
      <w:r w:rsidR="00D24850">
        <w:rPr>
          <w:rFonts w:ascii="Georgia" w:hAnsi="Georgia"/>
        </w:rPr>
        <w:t>[</w:t>
      </w:r>
      <w:r w:rsidR="00325C5D">
        <w:rPr>
          <w:rFonts w:ascii="Georgia" w:hAnsi="Georgia"/>
        </w:rPr>
        <w:t>6</w:t>
      </w:r>
      <w:r w:rsidR="00D24850">
        <w:rPr>
          <w:rFonts w:ascii="Georgia" w:hAnsi="Georgia"/>
        </w:rPr>
        <w:t>]</w:t>
      </w:r>
    </w:p>
    <w:p w14:paraId="3085C42D" w14:textId="77777777" w:rsidR="00A64EBD" w:rsidRDefault="00A64EBD" w:rsidP="009E4F33">
      <w:pPr>
        <w:rPr>
          <w:rFonts w:ascii="Georgia" w:hAnsi="Georgia"/>
        </w:rPr>
      </w:pPr>
    </w:p>
    <w:p w14:paraId="75738212" w14:textId="041E1D0F" w:rsidR="00A64EBD" w:rsidRPr="00A64EBD" w:rsidRDefault="00A64EBD" w:rsidP="00A64EBD">
      <w:pPr>
        <w:jc w:val="both"/>
        <w:rPr>
          <w:rFonts w:ascii="Georgia" w:hAnsi="Georgia"/>
          <w:b/>
          <w:bCs/>
          <w:i/>
          <w:iCs/>
          <w:color w:val="0B769F" w:themeColor="accent4" w:themeShade="BF"/>
          <w:lang w:val="en-GB"/>
        </w:rPr>
      </w:pPr>
      <w:r w:rsidRPr="00A64EBD">
        <w:rPr>
          <w:rFonts w:ascii="Georgia" w:hAnsi="Georgia"/>
          <w:b/>
          <w:bCs/>
          <w:i/>
          <w:iCs/>
          <w:color w:val="0B769F" w:themeColor="accent4" w:themeShade="BF"/>
          <w:lang w:val="en-GB"/>
        </w:rPr>
        <w:t>rain</w:t>
      </w:r>
    </w:p>
    <w:p w14:paraId="64038541" w14:textId="46AAC67B" w:rsidR="00A64EBD" w:rsidRDefault="00A64EBD" w:rsidP="00A64EBD">
      <w:pPr>
        <w:jc w:val="both"/>
        <w:rPr>
          <w:rFonts w:ascii="Georgia" w:hAnsi="Georgia"/>
          <w:lang w:val="en-GB"/>
        </w:rPr>
      </w:pPr>
      <w:r>
        <w:rPr>
          <w:rFonts w:ascii="Georgia" w:hAnsi="Georgia"/>
          <w:lang w:val="en-GB"/>
        </w:rPr>
        <w:t>Average yearly cumulated precipitation values in mm. We considered locations</w:t>
      </w:r>
      <w:r w:rsidR="00C8110A">
        <w:rPr>
          <w:rFonts w:ascii="Georgia" w:hAnsi="Georgia"/>
          <w:lang w:val="en-GB"/>
        </w:rPr>
        <w:t xml:space="preserve"> </w:t>
      </w:r>
      <w:r>
        <w:rPr>
          <w:rFonts w:ascii="Georgia" w:hAnsi="Georgia"/>
          <w:lang w:val="en-GB"/>
        </w:rPr>
        <w:t xml:space="preserve">Dakar, </w:t>
      </w:r>
      <w:proofErr w:type="spellStart"/>
      <w:r>
        <w:rPr>
          <w:rFonts w:ascii="Georgia" w:hAnsi="Georgia"/>
          <w:lang w:val="en-GB"/>
        </w:rPr>
        <w:t>Diourbel</w:t>
      </w:r>
      <w:proofErr w:type="spellEnd"/>
      <w:r>
        <w:rPr>
          <w:rFonts w:ascii="Georgia" w:hAnsi="Georgia"/>
          <w:lang w:val="en-GB"/>
        </w:rPr>
        <w:t xml:space="preserve">, </w:t>
      </w:r>
      <w:proofErr w:type="spellStart"/>
      <w:r>
        <w:rPr>
          <w:rFonts w:ascii="Georgia" w:hAnsi="Georgia"/>
          <w:lang w:val="en-GB"/>
        </w:rPr>
        <w:t>Kaolack</w:t>
      </w:r>
      <w:proofErr w:type="spellEnd"/>
      <w:r>
        <w:rPr>
          <w:rFonts w:ascii="Georgia" w:hAnsi="Georgia"/>
          <w:lang w:val="en-GB"/>
        </w:rPr>
        <w:t xml:space="preserve">, and </w:t>
      </w:r>
      <w:proofErr w:type="spellStart"/>
      <w:r>
        <w:rPr>
          <w:rFonts w:ascii="Georgia" w:hAnsi="Georgia"/>
          <w:lang w:val="en-GB"/>
        </w:rPr>
        <w:t>Kongheul</w:t>
      </w:r>
      <w:proofErr w:type="spellEnd"/>
      <w:r w:rsidR="00E222E0">
        <w:rPr>
          <w:rFonts w:ascii="Georgia" w:hAnsi="Georgia"/>
          <w:lang w:val="en-GB"/>
        </w:rPr>
        <w:t>, and months May to November</w:t>
      </w:r>
      <w:r w:rsidR="00A810EE">
        <w:rPr>
          <w:rFonts w:ascii="Georgia" w:hAnsi="Georgia"/>
          <w:lang w:val="en-GB"/>
        </w:rPr>
        <w:t>. R</w:t>
      </w:r>
      <w:r w:rsidR="00200425">
        <w:rPr>
          <w:rFonts w:ascii="Georgia" w:hAnsi="Georgia"/>
          <w:lang w:val="en-GB"/>
        </w:rPr>
        <w:t xml:space="preserve">ain </w:t>
      </w:r>
      <w:r w:rsidR="00A810EE">
        <w:rPr>
          <w:rFonts w:ascii="Georgia" w:hAnsi="Georgia"/>
          <w:lang w:val="en-GB"/>
        </w:rPr>
        <w:t>is</w:t>
      </w:r>
      <w:r w:rsidR="00200425">
        <w:rPr>
          <w:rFonts w:ascii="Georgia" w:hAnsi="Georgia"/>
          <w:lang w:val="en-GB"/>
        </w:rPr>
        <w:t xml:space="preserve"> rare </w:t>
      </w:r>
      <w:r w:rsidR="00A810EE">
        <w:rPr>
          <w:rFonts w:ascii="Georgia" w:hAnsi="Georgia"/>
          <w:lang w:val="en-GB"/>
        </w:rPr>
        <w:t xml:space="preserve">in Senegal </w:t>
      </w:r>
      <w:r w:rsidR="00200425">
        <w:rPr>
          <w:rFonts w:ascii="Georgia" w:hAnsi="Georgia"/>
          <w:lang w:val="en-GB"/>
        </w:rPr>
        <w:t xml:space="preserve">December to </w:t>
      </w:r>
      <w:r w:rsidR="00A810EE">
        <w:rPr>
          <w:rFonts w:ascii="Georgia" w:hAnsi="Georgia"/>
          <w:lang w:val="en-GB"/>
        </w:rPr>
        <w:t>April justifying the approximation</w:t>
      </w:r>
      <w:r w:rsidR="00E222E0">
        <w:rPr>
          <w:rFonts w:ascii="Georgia" w:hAnsi="Georgia"/>
          <w:lang w:val="en-GB"/>
        </w:rPr>
        <w:t>.</w:t>
      </w:r>
    </w:p>
    <w:p w14:paraId="1F0F8245" w14:textId="2D34BE02" w:rsidR="009E4F33" w:rsidRPr="00325C5D" w:rsidRDefault="00A64EBD" w:rsidP="009120C8">
      <w:pPr>
        <w:jc w:val="both"/>
        <w:rPr>
          <w:lang w:val="en-GB"/>
        </w:rPr>
      </w:pPr>
      <w:r>
        <w:rPr>
          <w:rFonts w:ascii="Georgia" w:hAnsi="Georgia"/>
          <w:lang w:val="en-GB"/>
        </w:rPr>
        <w:t xml:space="preserve">Source : </w:t>
      </w:r>
      <w:r w:rsidR="00200425" w:rsidRPr="00325C5D">
        <w:rPr>
          <w:rStyle w:val="Lienhypertexte"/>
          <w:u w:val="none"/>
          <w:lang w:val="en-GB"/>
        </w:rPr>
        <w:t xml:space="preserve">ANACIM data provided by </w:t>
      </w:r>
      <w:r w:rsidR="000332AE" w:rsidRPr="00325C5D">
        <w:rPr>
          <w:rStyle w:val="Lienhypertexte"/>
          <w:u w:val="none"/>
          <w:lang w:val="en-GB"/>
        </w:rPr>
        <w:t xml:space="preserve">Luc </w:t>
      </w:r>
      <w:proofErr w:type="spellStart"/>
      <w:r w:rsidR="000332AE" w:rsidRPr="00325C5D">
        <w:rPr>
          <w:rStyle w:val="Lienhypertexte"/>
          <w:u w:val="none"/>
          <w:lang w:val="en-GB"/>
        </w:rPr>
        <w:t>Descroix</w:t>
      </w:r>
      <w:proofErr w:type="spellEnd"/>
      <w:r w:rsidR="00325C5D" w:rsidRPr="00325C5D">
        <w:rPr>
          <w:rStyle w:val="Lienhypertexte"/>
          <w:u w:val="none"/>
          <w:lang w:val="en-GB"/>
        </w:rPr>
        <w:t xml:space="preserve"> </w:t>
      </w:r>
      <w:r w:rsidR="00325C5D" w:rsidRPr="00A05545">
        <w:rPr>
          <w:rStyle w:val="Lienhypertexte"/>
          <w:color w:val="auto"/>
          <w:u w:val="none"/>
          <w:lang w:val="en-GB"/>
        </w:rPr>
        <w:t>[7]</w:t>
      </w:r>
    </w:p>
    <w:p w14:paraId="4DB35101" w14:textId="77777777" w:rsidR="00A64EBD" w:rsidRDefault="00A64EBD" w:rsidP="009120C8">
      <w:pPr>
        <w:jc w:val="both"/>
        <w:rPr>
          <w:lang w:val="en-GB"/>
        </w:rPr>
      </w:pPr>
    </w:p>
    <w:p w14:paraId="300379F6" w14:textId="74E7643D" w:rsidR="00A64EBD" w:rsidRPr="00641A8B" w:rsidRDefault="00641A8B" w:rsidP="009120C8">
      <w:pPr>
        <w:jc w:val="both"/>
        <w:rPr>
          <w:rFonts w:ascii="Georgia" w:hAnsi="Georgia"/>
          <w:b/>
          <w:bCs/>
          <w:i/>
          <w:iCs/>
          <w:color w:val="0B769F" w:themeColor="accent4" w:themeShade="BF"/>
          <w:lang w:val="en-GB"/>
        </w:rPr>
      </w:pPr>
      <w:r>
        <w:rPr>
          <w:rFonts w:ascii="Georgia" w:hAnsi="Georgia"/>
          <w:b/>
          <w:bCs/>
          <w:i/>
          <w:iCs/>
          <w:color w:val="0B769F" w:themeColor="accent4" w:themeShade="BF"/>
          <w:lang w:val="en-GB"/>
        </w:rPr>
        <w:t>y</w:t>
      </w:r>
      <w:r w:rsidR="00A64EBD" w:rsidRPr="00641A8B">
        <w:rPr>
          <w:rFonts w:ascii="Georgia" w:hAnsi="Georgia"/>
          <w:b/>
          <w:bCs/>
          <w:i/>
          <w:iCs/>
          <w:color w:val="0B769F" w:themeColor="accent4" w:themeShade="BF"/>
          <w:lang w:val="en-GB"/>
        </w:rPr>
        <w:t>ield</w:t>
      </w:r>
    </w:p>
    <w:p w14:paraId="2EC7CD01" w14:textId="03F61FBE" w:rsidR="00A64EBD" w:rsidRDefault="000332AE" w:rsidP="009120C8">
      <w:pPr>
        <w:jc w:val="both"/>
        <w:rPr>
          <w:rFonts w:ascii="Georgia" w:hAnsi="Georgia"/>
          <w:lang w:val="en-GB"/>
        </w:rPr>
      </w:pPr>
      <w:r>
        <w:rPr>
          <w:rFonts w:ascii="Georgia" w:hAnsi="Georgia"/>
          <w:lang w:val="en-GB"/>
        </w:rPr>
        <w:t>Mil</w:t>
      </w:r>
      <w:r w:rsidR="00A64EBD">
        <w:rPr>
          <w:rFonts w:ascii="Georgia" w:hAnsi="Georgia"/>
          <w:lang w:val="en-GB"/>
        </w:rPr>
        <w:t xml:space="preserve"> </w:t>
      </w:r>
      <w:r w:rsidR="00A64EBD" w:rsidRPr="00075FF5">
        <w:rPr>
          <w:rFonts w:ascii="Georgia" w:hAnsi="Georgia"/>
          <w:lang w:val="en-GB"/>
        </w:rPr>
        <w:t xml:space="preserve">yield </w:t>
      </w:r>
      <w:r w:rsidR="00A64EBD">
        <w:rPr>
          <w:rFonts w:ascii="Georgia" w:hAnsi="Georgia"/>
          <w:lang w:val="en-GB"/>
        </w:rPr>
        <w:t>in</w:t>
      </w:r>
      <w:r w:rsidR="00A64EBD" w:rsidRPr="00075FF5">
        <w:rPr>
          <w:rFonts w:ascii="Georgia" w:hAnsi="Georgia"/>
          <w:lang w:val="en-GB"/>
        </w:rPr>
        <w:t xml:space="preserve"> kilograms per hectare of harvested land</w:t>
      </w:r>
      <w:r w:rsidR="00A64EBD">
        <w:rPr>
          <w:rFonts w:ascii="Georgia" w:hAnsi="Georgia"/>
          <w:lang w:val="en-GB"/>
        </w:rPr>
        <w:t>.</w:t>
      </w:r>
      <w:r w:rsidRPr="000332AE">
        <w:rPr>
          <w:rFonts w:ascii="Georgia" w:hAnsi="Georgia"/>
          <w:lang w:val="en-GB"/>
        </w:rPr>
        <w:t xml:space="preserve"> </w:t>
      </w:r>
      <w:r w:rsidR="00A658CE">
        <w:rPr>
          <w:rFonts w:ascii="Georgia" w:hAnsi="Georgia"/>
          <w:lang w:val="en-GB"/>
        </w:rPr>
        <w:t xml:space="preserve">The previously described regional rainfall data was used to estimate the mil productivity </w:t>
      </w:r>
      <w:r w:rsidR="003520EF">
        <w:rPr>
          <w:rFonts w:ascii="Georgia" w:hAnsi="Georgia"/>
          <w:lang w:val="en-GB"/>
        </w:rPr>
        <w:t xml:space="preserve">using the STICS </w:t>
      </w:r>
      <w:r w:rsidR="00A658CE">
        <w:rPr>
          <w:rFonts w:ascii="Georgia" w:hAnsi="Georgia"/>
          <w:lang w:val="en-GB"/>
        </w:rPr>
        <w:t>model</w:t>
      </w:r>
      <w:r w:rsidR="003520EF">
        <w:rPr>
          <w:rFonts w:ascii="Georgia" w:hAnsi="Georgia"/>
          <w:lang w:val="en-GB"/>
        </w:rPr>
        <w:t xml:space="preserve">. </w:t>
      </w:r>
      <w:proofErr w:type="spellStart"/>
      <w:r w:rsidR="003520EF">
        <w:rPr>
          <w:rFonts w:ascii="Georgia" w:hAnsi="Georgia"/>
          <w:lang w:val="en-GB"/>
        </w:rPr>
        <w:t>Bambey’s</w:t>
      </w:r>
      <w:proofErr w:type="spellEnd"/>
      <w:r w:rsidR="003520EF">
        <w:rPr>
          <w:rFonts w:ascii="Georgia" w:hAnsi="Georgia"/>
          <w:lang w:val="en-GB"/>
        </w:rPr>
        <w:t xml:space="preserve"> soil composition was used as reference</w:t>
      </w:r>
      <w:r w:rsidR="004076EB">
        <w:rPr>
          <w:rFonts w:ascii="Georgia" w:hAnsi="Georgia"/>
          <w:lang w:val="en-GB"/>
        </w:rPr>
        <w:t>,</w:t>
      </w:r>
      <w:r w:rsidR="003520EF">
        <w:rPr>
          <w:rFonts w:ascii="Georgia" w:hAnsi="Georgia"/>
          <w:lang w:val="en-GB"/>
        </w:rPr>
        <w:t xml:space="preserve"> with approximately 5% of</w:t>
      </w:r>
      <w:r w:rsidR="004076EB">
        <w:rPr>
          <w:rFonts w:ascii="Georgia" w:hAnsi="Georgia"/>
          <w:lang w:val="en-GB"/>
        </w:rPr>
        <w:t xml:space="preserve"> clay</w:t>
      </w:r>
      <w:r w:rsidR="003520EF">
        <w:rPr>
          <w:rFonts w:ascii="Georgia" w:hAnsi="Georgia"/>
          <w:lang w:val="en-GB"/>
        </w:rPr>
        <w:t>.</w:t>
      </w:r>
    </w:p>
    <w:p w14:paraId="00455FDD" w14:textId="4D18F5DC" w:rsidR="00A658CE" w:rsidRPr="003520EF" w:rsidRDefault="00A658CE" w:rsidP="009120C8">
      <w:pPr>
        <w:jc w:val="both"/>
        <w:rPr>
          <w:rFonts w:ascii="Georgia" w:hAnsi="Georgia"/>
          <w:lang w:val="en-GB"/>
        </w:rPr>
      </w:pPr>
      <w:r w:rsidRPr="003520EF">
        <w:rPr>
          <w:rFonts w:ascii="Georgia" w:hAnsi="Georgia"/>
          <w:lang w:val="en-GB"/>
        </w:rPr>
        <w:lastRenderedPageBreak/>
        <w:t>Source :</w:t>
      </w:r>
      <w:r w:rsidR="00E222E0" w:rsidRPr="003520EF">
        <w:rPr>
          <w:rFonts w:ascii="Georgia" w:hAnsi="Georgia"/>
          <w:lang w:val="en-GB"/>
        </w:rPr>
        <w:t xml:space="preserve"> </w:t>
      </w:r>
      <w:r w:rsidR="003520EF" w:rsidRPr="00D24850">
        <w:rPr>
          <w:rStyle w:val="Lienhypertexte"/>
          <w:u w:val="none"/>
          <w:lang w:val="en-GB"/>
        </w:rPr>
        <w:t>STICS model (multidisciplinary simulator for standard crops)</w:t>
      </w:r>
      <w:r w:rsidR="00325C5D">
        <w:rPr>
          <w:rStyle w:val="Lienhypertexte"/>
          <w:u w:val="none"/>
          <w:lang w:val="en-GB"/>
        </w:rPr>
        <w:t xml:space="preserve"> </w:t>
      </w:r>
      <w:r w:rsidR="00325C5D" w:rsidRPr="00A05545">
        <w:rPr>
          <w:rStyle w:val="Lienhypertexte"/>
          <w:color w:val="auto"/>
          <w:u w:val="none"/>
          <w:lang w:val="en-GB"/>
        </w:rPr>
        <w:t>[8]</w:t>
      </w:r>
    </w:p>
    <w:p w14:paraId="2B015153" w14:textId="77777777" w:rsidR="00A658CE" w:rsidRPr="003520EF" w:rsidRDefault="00A658CE" w:rsidP="009120C8">
      <w:pPr>
        <w:jc w:val="both"/>
        <w:rPr>
          <w:rFonts w:ascii="Georgia" w:hAnsi="Georgia"/>
          <w:lang w:val="en-GB"/>
        </w:rPr>
      </w:pPr>
    </w:p>
    <w:p w14:paraId="5B4B36C7" w14:textId="4A4B48ED" w:rsidR="00A658CE" w:rsidRPr="00A658CE" w:rsidRDefault="00A658CE" w:rsidP="009120C8">
      <w:pPr>
        <w:jc w:val="both"/>
        <w:rPr>
          <w:rFonts w:ascii="Georgia" w:hAnsi="Georgia"/>
          <w:b/>
          <w:bCs/>
          <w:i/>
          <w:iCs/>
          <w:color w:val="0B769F" w:themeColor="accent4" w:themeShade="BF"/>
          <w:lang w:val="en-GB"/>
        </w:rPr>
      </w:pPr>
      <w:proofErr w:type="spellStart"/>
      <w:r w:rsidRPr="00A658CE">
        <w:rPr>
          <w:rFonts w:ascii="Georgia" w:hAnsi="Georgia"/>
          <w:b/>
          <w:bCs/>
          <w:i/>
          <w:iCs/>
          <w:color w:val="0B769F" w:themeColor="accent4" w:themeShade="BF"/>
          <w:lang w:val="en-GB"/>
        </w:rPr>
        <w:t>biom_prod</w:t>
      </w:r>
      <w:proofErr w:type="spellEnd"/>
    </w:p>
    <w:p w14:paraId="1F49F448" w14:textId="61F9027E" w:rsidR="00A658CE" w:rsidRPr="009F342C" w:rsidRDefault="004076EB" w:rsidP="004076EB">
      <w:pPr>
        <w:jc w:val="both"/>
        <w:rPr>
          <w:rFonts w:ascii="Georgia" w:hAnsi="Georgia"/>
          <w:lang w:val="en-GB"/>
        </w:rPr>
      </w:pPr>
      <w:r w:rsidRPr="004076EB">
        <w:rPr>
          <w:rFonts w:ascii="Georgia" w:hAnsi="Georgia"/>
          <w:lang w:val="en-GB"/>
        </w:rPr>
        <w:t>Forage crops</w:t>
      </w:r>
      <w:r w:rsidR="009F342C">
        <w:rPr>
          <w:rFonts w:ascii="Georgia" w:hAnsi="Georgia"/>
          <w:lang w:val="en-GB"/>
        </w:rPr>
        <w:t xml:space="preserve"> biomass</w:t>
      </w:r>
      <w:r>
        <w:rPr>
          <w:rFonts w:ascii="Georgia" w:hAnsi="Georgia"/>
          <w:lang w:val="en-GB"/>
        </w:rPr>
        <w:t xml:space="preserve"> productivity in tonnes per hectare. </w:t>
      </w:r>
      <w:r w:rsidR="009F342C">
        <w:rPr>
          <w:rFonts w:ascii="Georgia" w:hAnsi="Georgia"/>
          <w:lang w:val="en-GB"/>
        </w:rPr>
        <w:t xml:space="preserve">Data was estimated using STEP, a </w:t>
      </w:r>
      <w:r w:rsidR="009F342C" w:rsidRPr="009F342C">
        <w:rPr>
          <w:rFonts w:ascii="Georgia" w:hAnsi="Georgia"/>
          <w:lang w:val="en-GB"/>
        </w:rPr>
        <w:t>simulation of the seasonal herbaceous layer in the Sahel</w:t>
      </w:r>
      <w:r w:rsidR="009F342C">
        <w:rPr>
          <w:rFonts w:ascii="Georgia" w:hAnsi="Georgia"/>
          <w:lang w:val="en-GB"/>
        </w:rPr>
        <w:t xml:space="preserve">. The previously described regional rainfall data as well as </w:t>
      </w:r>
      <w:proofErr w:type="spellStart"/>
      <w:r w:rsidR="009F342C">
        <w:rPr>
          <w:rFonts w:ascii="Georgia" w:hAnsi="Georgia"/>
          <w:lang w:val="en-GB"/>
        </w:rPr>
        <w:t>Bambey’s</w:t>
      </w:r>
      <w:proofErr w:type="spellEnd"/>
      <w:r w:rsidR="009F342C">
        <w:rPr>
          <w:rFonts w:ascii="Georgia" w:hAnsi="Georgia"/>
          <w:lang w:val="en-GB"/>
        </w:rPr>
        <w:t xml:space="preserve"> soil composition were used as entry data.</w:t>
      </w:r>
    </w:p>
    <w:p w14:paraId="543E1DED" w14:textId="711AB311" w:rsidR="009F342C" w:rsidRDefault="0066101A" w:rsidP="009F342C">
      <w:pPr>
        <w:jc w:val="both"/>
        <w:rPr>
          <w:rStyle w:val="Lienhypertexte"/>
          <w:u w:val="none"/>
          <w:lang w:val="en-GB"/>
        </w:rPr>
      </w:pPr>
      <w:r>
        <w:rPr>
          <w:rFonts w:ascii="Georgia" w:hAnsi="Georgia"/>
          <w:lang w:val="en-GB"/>
        </w:rPr>
        <w:t xml:space="preserve">Source : </w:t>
      </w:r>
      <w:r w:rsidR="009F342C" w:rsidRPr="00736AB2">
        <w:rPr>
          <w:rStyle w:val="Lienhypertexte"/>
          <w:u w:val="none"/>
          <w:lang w:val="en-GB"/>
        </w:rPr>
        <w:t>STEP vegetation model</w:t>
      </w:r>
      <w:r w:rsidR="008E1B6A" w:rsidRPr="00736AB2">
        <w:rPr>
          <w:rStyle w:val="Lienhypertexte"/>
          <w:u w:val="none"/>
          <w:lang w:val="en-GB"/>
        </w:rPr>
        <w:t xml:space="preserve"> (Sahelian Transpiration, Evaporation and Productivity)</w:t>
      </w:r>
      <w:r w:rsidR="00325C5D">
        <w:rPr>
          <w:rStyle w:val="Lienhypertexte"/>
          <w:u w:val="none"/>
          <w:lang w:val="en-GB"/>
        </w:rPr>
        <w:t xml:space="preserve"> </w:t>
      </w:r>
      <w:r w:rsidR="00325C5D" w:rsidRPr="00A05545">
        <w:rPr>
          <w:rStyle w:val="Lienhypertexte"/>
          <w:color w:val="auto"/>
          <w:u w:val="none"/>
          <w:lang w:val="en-GB"/>
        </w:rPr>
        <w:t>[9]</w:t>
      </w:r>
    </w:p>
    <w:p w14:paraId="12C1AD28" w14:textId="77777777" w:rsidR="001318C1" w:rsidRDefault="001318C1" w:rsidP="009F342C">
      <w:pPr>
        <w:jc w:val="both"/>
        <w:rPr>
          <w:rStyle w:val="Lienhypertexte"/>
          <w:u w:val="none"/>
          <w:lang w:val="en-GB"/>
        </w:rPr>
      </w:pPr>
    </w:p>
    <w:p w14:paraId="6315D30D" w14:textId="77777777" w:rsidR="00E46203" w:rsidRDefault="00E46203" w:rsidP="009F342C">
      <w:pPr>
        <w:jc w:val="both"/>
        <w:rPr>
          <w:rStyle w:val="Lienhypertexte"/>
          <w:u w:val="none"/>
          <w:lang w:val="en-GB"/>
        </w:rPr>
      </w:pPr>
    </w:p>
    <w:p w14:paraId="7F69F047" w14:textId="50D5D7B3" w:rsidR="001318C1" w:rsidRPr="00E46203" w:rsidRDefault="00E46203" w:rsidP="00E46203">
      <w:pPr>
        <w:jc w:val="right"/>
        <w:rPr>
          <w:rFonts w:ascii="Impact" w:hAnsi="Impact"/>
          <w:sz w:val="32"/>
          <w:szCs w:val="32"/>
        </w:rPr>
      </w:pPr>
      <w:r w:rsidRPr="00E46203">
        <w:rPr>
          <w:rFonts w:ascii="Impact" w:hAnsi="Impact"/>
          <w:sz w:val="32"/>
          <w:szCs w:val="32"/>
        </w:rPr>
        <w:t>Bibliography</w:t>
      </w:r>
    </w:p>
    <w:p w14:paraId="454774AC" w14:textId="77777777" w:rsidR="00E46203" w:rsidRPr="00E46203" w:rsidRDefault="00E46203" w:rsidP="00E46203">
      <w:pPr>
        <w:jc w:val="right"/>
        <w:rPr>
          <w:rFonts w:ascii="Impact" w:hAnsi="Impact"/>
          <w:sz w:val="28"/>
          <w:szCs w:val="28"/>
        </w:rPr>
      </w:pPr>
    </w:p>
    <w:p w14:paraId="14E27E28" w14:textId="77777777" w:rsidR="001318C1" w:rsidRPr="00924468" w:rsidRDefault="001318C1" w:rsidP="00924468">
      <w:pPr>
        <w:pStyle w:val="Paragraphedeliste"/>
        <w:numPr>
          <w:ilvl w:val="0"/>
          <w:numId w:val="1"/>
        </w:numPr>
        <w:spacing w:after="0" w:line="240" w:lineRule="auto"/>
        <w:jc w:val="both"/>
        <w:rPr>
          <w:rFonts w:ascii="Times New Roman" w:eastAsia="Times New Roman" w:hAnsi="Times New Roman" w:cs="Times New Roman"/>
          <w:sz w:val="24"/>
          <w:szCs w:val="24"/>
          <w:lang w:val="en-GB" w:eastAsia="fr-FR" w:bidi="dz-BT"/>
        </w:rPr>
      </w:pPr>
      <w:r w:rsidRPr="00924468">
        <w:rPr>
          <w:rFonts w:ascii="Times New Roman" w:eastAsia="Times New Roman" w:hAnsi="Times New Roman" w:cs="Times New Roman"/>
          <w:sz w:val="24"/>
          <w:szCs w:val="24"/>
          <w:lang w:val="en-GB" w:eastAsia="fr-FR" w:bidi="dz-BT"/>
        </w:rPr>
        <w:t>Food and Agriculture Organization of the United Nations FAO, « Food and Agriculture Organization Corporate Statistical Database (FAOSTAT) », 2024.</w:t>
      </w:r>
    </w:p>
    <w:p w14:paraId="57E4E1F7" w14:textId="77777777" w:rsidR="001318C1" w:rsidRPr="00924468" w:rsidRDefault="001318C1" w:rsidP="00924468">
      <w:pPr>
        <w:spacing w:after="0" w:line="240" w:lineRule="auto"/>
        <w:ind w:left="360"/>
        <w:jc w:val="both"/>
        <w:rPr>
          <w:rFonts w:ascii="Times New Roman" w:eastAsia="Times New Roman" w:hAnsi="Times New Roman" w:cs="Times New Roman"/>
          <w:sz w:val="24"/>
          <w:szCs w:val="24"/>
          <w:lang w:val="en-GB" w:eastAsia="fr-FR" w:bidi="dz-BT"/>
        </w:rPr>
      </w:pPr>
    </w:p>
    <w:p w14:paraId="1565151C" w14:textId="500E83D8" w:rsidR="001318C1" w:rsidRPr="00924468" w:rsidRDefault="001318C1" w:rsidP="00924468">
      <w:pPr>
        <w:pStyle w:val="Paragraphedeliste"/>
        <w:numPr>
          <w:ilvl w:val="0"/>
          <w:numId w:val="1"/>
        </w:numPr>
        <w:spacing w:after="0" w:line="240" w:lineRule="auto"/>
        <w:jc w:val="both"/>
        <w:rPr>
          <w:rFonts w:ascii="Times New Roman" w:eastAsia="Times New Roman" w:hAnsi="Times New Roman" w:cs="Times New Roman"/>
          <w:sz w:val="24"/>
          <w:szCs w:val="24"/>
          <w:lang w:val="en-GB" w:eastAsia="fr-FR" w:bidi="dz-BT"/>
        </w:rPr>
      </w:pPr>
      <w:r w:rsidRPr="00924468">
        <w:rPr>
          <w:rFonts w:ascii="Times New Roman" w:eastAsia="Times New Roman" w:hAnsi="Times New Roman" w:cs="Times New Roman"/>
          <w:sz w:val="24"/>
          <w:szCs w:val="24"/>
          <w:lang w:val="en-GB" w:eastAsia="fr-FR" w:bidi="dz-BT"/>
        </w:rPr>
        <w:t xml:space="preserve">H. </w:t>
      </w:r>
      <w:proofErr w:type="spellStart"/>
      <w:r w:rsidRPr="00924468">
        <w:rPr>
          <w:rFonts w:ascii="Times New Roman" w:eastAsia="Times New Roman" w:hAnsi="Times New Roman" w:cs="Times New Roman"/>
          <w:sz w:val="24"/>
          <w:szCs w:val="24"/>
          <w:lang w:val="en-GB" w:eastAsia="fr-FR" w:bidi="dz-BT"/>
        </w:rPr>
        <w:t>Hersbach</w:t>
      </w:r>
      <w:proofErr w:type="spellEnd"/>
      <w:r w:rsidRPr="00924468">
        <w:rPr>
          <w:rFonts w:ascii="Times New Roman" w:eastAsia="Times New Roman" w:hAnsi="Times New Roman" w:cs="Times New Roman"/>
          <w:sz w:val="24"/>
          <w:szCs w:val="24"/>
          <w:lang w:val="en-GB" w:eastAsia="fr-FR" w:bidi="dz-BT"/>
        </w:rPr>
        <w:t xml:space="preserve">, B. Bell, P. Berrisford, S. Hirahara, A. </w:t>
      </w:r>
      <w:proofErr w:type="spellStart"/>
      <w:r w:rsidRPr="00924468">
        <w:rPr>
          <w:rFonts w:ascii="Times New Roman" w:eastAsia="Times New Roman" w:hAnsi="Times New Roman" w:cs="Times New Roman"/>
          <w:sz w:val="24"/>
          <w:szCs w:val="24"/>
          <w:lang w:val="en-GB" w:eastAsia="fr-FR" w:bidi="dz-BT"/>
        </w:rPr>
        <w:t>Horányi</w:t>
      </w:r>
      <w:proofErr w:type="spellEnd"/>
      <w:r w:rsidRPr="00924468">
        <w:rPr>
          <w:rFonts w:ascii="Times New Roman" w:eastAsia="Times New Roman" w:hAnsi="Times New Roman" w:cs="Times New Roman"/>
          <w:sz w:val="24"/>
          <w:szCs w:val="24"/>
          <w:lang w:val="en-GB" w:eastAsia="fr-FR" w:bidi="dz-BT"/>
        </w:rPr>
        <w:t xml:space="preserve">, J. Muñoz-Sabater, J. Nicolas, C. </w:t>
      </w:r>
      <w:proofErr w:type="spellStart"/>
      <w:r w:rsidRPr="00924468">
        <w:rPr>
          <w:rFonts w:ascii="Times New Roman" w:eastAsia="Times New Roman" w:hAnsi="Times New Roman" w:cs="Times New Roman"/>
          <w:sz w:val="24"/>
          <w:szCs w:val="24"/>
          <w:lang w:val="en-GB" w:eastAsia="fr-FR" w:bidi="dz-BT"/>
        </w:rPr>
        <w:t>Peubey</w:t>
      </w:r>
      <w:proofErr w:type="spellEnd"/>
      <w:r w:rsidRPr="00924468">
        <w:rPr>
          <w:rFonts w:ascii="Times New Roman" w:eastAsia="Times New Roman" w:hAnsi="Times New Roman" w:cs="Times New Roman"/>
          <w:sz w:val="24"/>
          <w:szCs w:val="24"/>
          <w:lang w:val="en-GB" w:eastAsia="fr-FR" w:bidi="dz-BT"/>
        </w:rPr>
        <w:t xml:space="preserve">, R. Radu, D. Schepers, A. Simmons, C. </w:t>
      </w:r>
      <w:proofErr w:type="spellStart"/>
      <w:r w:rsidRPr="00924468">
        <w:rPr>
          <w:rFonts w:ascii="Times New Roman" w:eastAsia="Times New Roman" w:hAnsi="Times New Roman" w:cs="Times New Roman"/>
          <w:sz w:val="24"/>
          <w:szCs w:val="24"/>
          <w:lang w:val="en-GB" w:eastAsia="fr-FR" w:bidi="dz-BT"/>
        </w:rPr>
        <w:t>Soci</w:t>
      </w:r>
      <w:proofErr w:type="spellEnd"/>
      <w:r w:rsidRPr="00924468">
        <w:rPr>
          <w:rFonts w:ascii="Times New Roman" w:eastAsia="Times New Roman" w:hAnsi="Times New Roman" w:cs="Times New Roman"/>
          <w:sz w:val="24"/>
          <w:szCs w:val="24"/>
          <w:lang w:val="en-GB" w:eastAsia="fr-FR" w:bidi="dz-BT"/>
        </w:rPr>
        <w:t xml:space="preserve">, S. Abdalla, X. Abellan, G. Balsamo, P. Bechtold, G. </w:t>
      </w:r>
      <w:proofErr w:type="spellStart"/>
      <w:r w:rsidRPr="00924468">
        <w:rPr>
          <w:rFonts w:ascii="Times New Roman" w:eastAsia="Times New Roman" w:hAnsi="Times New Roman" w:cs="Times New Roman"/>
          <w:sz w:val="24"/>
          <w:szCs w:val="24"/>
          <w:lang w:val="en-GB" w:eastAsia="fr-FR" w:bidi="dz-BT"/>
        </w:rPr>
        <w:t>Biavati</w:t>
      </w:r>
      <w:proofErr w:type="spellEnd"/>
      <w:r w:rsidRPr="00924468">
        <w:rPr>
          <w:rFonts w:ascii="Times New Roman" w:eastAsia="Times New Roman" w:hAnsi="Times New Roman" w:cs="Times New Roman"/>
          <w:sz w:val="24"/>
          <w:szCs w:val="24"/>
          <w:lang w:val="en-GB" w:eastAsia="fr-FR" w:bidi="dz-BT"/>
        </w:rPr>
        <w:t xml:space="preserve">, J. </w:t>
      </w:r>
      <w:proofErr w:type="spellStart"/>
      <w:r w:rsidRPr="00924468">
        <w:rPr>
          <w:rFonts w:ascii="Times New Roman" w:eastAsia="Times New Roman" w:hAnsi="Times New Roman" w:cs="Times New Roman"/>
          <w:sz w:val="24"/>
          <w:szCs w:val="24"/>
          <w:lang w:val="en-GB" w:eastAsia="fr-FR" w:bidi="dz-BT"/>
        </w:rPr>
        <w:t>Bidlot</w:t>
      </w:r>
      <w:proofErr w:type="spellEnd"/>
      <w:r w:rsidRPr="00924468">
        <w:rPr>
          <w:rFonts w:ascii="Times New Roman" w:eastAsia="Times New Roman" w:hAnsi="Times New Roman" w:cs="Times New Roman"/>
          <w:sz w:val="24"/>
          <w:szCs w:val="24"/>
          <w:lang w:val="en-GB" w:eastAsia="fr-FR" w:bidi="dz-BT"/>
        </w:rPr>
        <w:t xml:space="preserve">, M. Bonavita, G. De Chiara, P. Dahlgren, D. Dee, M. </w:t>
      </w:r>
      <w:proofErr w:type="spellStart"/>
      <w:r w:rsidRPr="00924468">
        <w:rPr>
          <w:rFonts w:ascii="Times New Roman" w:eastAsia="Times New Roman" w:hAnsi="Times New Roman" w:cs="Times New Roman"/>
          <w:sz w:val="24"/>
          <w:szCs w:val="24"/>
          <w:lang w:val="en-GB" w:eastAsia="fr-FR" w:bidi="dz-BT"/>
        </w:rPr>
        <w:t>Diamantakis</w:t>
      </w:r>
      <w:proofErr w:type="spellEnd"/>
      <w:r w:rsidRPr="00924468">
        <w:rPr>
          <w:rFonts w:ascii="Times New Roman" w:eastAsia="Times New Roman" w:hAnsi="Times New Roman" w:cs="Times New Roman"/>
          <w:sz w:val="24"/>
          <w:szCs w:val="24"/>
          <w:lang w:val="en-GB" w:eastAsia="fr-FR" w:bidi="dz-BT"/>
        </w:rPr>
        <w:t xml:space="preserve">, R. Dragani, J. Flemming, R. Forbes, M. Fuentes, A. Geer, L. </w:t>
      </w:r>
      <w:proofErr w:type="spellStart"/>
      <w:r w:rsidRPr="00924468">
        <w:rPr>
          <w:rFonts w:ascii="Times New Roman" w:eastAsia="Times New Roman" w:hAnsi="Times New Roman" w:cs="Times New Roman"/>
          <w:sz w:val="24"/>
          <w:szCs w:val="24"/>
          <w:lang w:val="en-GB" w:eastAsia="fr-FR" w:bidi="dz-BT"/>
        </w:rPr>
        <w:t>Haimberger</w:t>
      </w:r>
      <w:proofErr w:type="spellEnd"/>
      <w:r w:rsidRPr="00924468">
        <w:rPr>
          <w:rFonts w:ascii="Times New Roman" w:eastAsia="Times New Roman" w:hAnsi="Times New Roman" w:cs="Times New Roman"/>
          <w:sz w:val="24"/>
          <w:szCs w:val="24"/>
          <w:lang w:val="en-GB" w:eastAsia="fr-FR" w:bidi="dz-BT"/>
        </w:rPr>
        <w:t xml:space="preserve">, S. Healy, R. J. Hogan, E Hólm, M. </w:t>
      </w:r>
      <w:proofErr w:type="spellStart"/>
      <w:r w:rsidRPr="00924468">
        <w:rPr>
          <w:rFonts w:ascii="Times New Roman" w:eastAsia="Times New Roman" w:hAnsi="Times New Roman" w:cs="Times New Roman"/>
          <w:sz w:val="24"/>
          <w:szCs w:val="24"/>
          <w:lang w:val="en-GB" w:eastAsia="fr-FR" w:bidi="dz-BT"/>
        </w:rPr>
        <w:t>Janisková</w:t>
      </w:r>
      <w:proofErr w:type="spellEnd"/>
      <w:r w:rsidRPr="00924468">
        <w:rPr>
          <w:rFonts w:ascii="Times New Roman" w:eastAsia="Times New Roman" w:hAnsi="Times New Roman" w:cs="Times New Roman"/>
          <w:sz w:val="24"/>
          <w:szCs w:val="24"/>
          <w:lang w:val="en-GB" w:eastAsia="fr-FR" w:bidi="dz-BT"/>
        </w:rPr>
        <w:t xml:space="preserve">, S. Keeley, P. </w:t>
      </w:r>
      <w:proofErr w:type="spellStart"/>
      <w:r w:rsidRPr="00924468">
        <w:rPr>
          <w:rFonts w:ascii="Times New Roman" w:eastAsia="Times New Roman" w:hAnsi="Times New Roman" w:cs="Times New Roman"/>
          <w:sz w:val="24"/>
          <w:szCs w:val="24"/>
          <w:lang w:val="en-GB" w:eastAsia="fr-FR" w:bidi="dz-BT"/>
        </w:rPr>
        <w:t>Laloyaux</w:t>
      </w:r>
      <w:proofErr w:type="spellEnd"/>
      <w:r w:rsidRPr="00924468">
        <w:rPr>
          <w:rFonts w:ascii="Times New Roman" w:eastAsia="Times New Roman" w:hAnsi="Times New Roman" w:cs="Times New Roman"/>
          <w:sz w:val="24"/>
          <w:szCs w:val="24"/>
          <w:lang w:val="en-GB" w:eastAsia="fr-FR" w:bidi="dz-BT"/>
        </w:rPr>
        <w:t xml:space="preserve">, P. Lopez, C. Lupu, G. </w:t>
      </w:r>
      <w:proofErr w:type="spellStart"/>
      <w:r w:rsidRPr="00924468">
        <w:rPr>
          <w:rFonts w:ascii="Times New Roman" w:eastAsia="Times New Roman" w:hAnsi="Times New Roman" w:cs="Times New Roman"/>
          <w:sz w:val="24"/>
          <w:szCs w:val="24"/>
          <w:lang w:val="en-GB" w:eastAsia="fr-FR" w:bidi="dz-BT"/>
        </w:rPr>
        <w:t>Radnoti</w:t>
      </w:r>
      <w:proofErr w:type="spellEnd"/>
      <w:r w:rsidRPr="00924468">
        <w:rPr>
          <w:rFonts w:ascii="Times New Roman" w:eastAsia="Times New Roman" w:hAnsi="Times New Roman" w:cs="Times New Roman"/>
          <w:sz w:val="24"/>
          <w:szCs w:val="24"/>
          <w:lang w:val="en-GB" w:eastAsia="fr-FR" w:bidi="dz-BT"/>
        </w:rPr>
        <w:t>, P. de </w:t>
      </w:r>
      <w:proofErr w:type="spellStart"/>
      <w:r w:rsidRPr="00924468">
        <w:rPr>
          <w:rFonts w:ascii="Times New Roman" w:eastAsia="Times New Roman" w:hAnsi="Times New Roman" w:cs="Times New Roman"/>
          <w:sz w:val="24"/>
          <w:szCs w:val="24"/>
          <w:lang w:val="en-GB" w:eastAsia="fr-FR" w:bidi="dz-BT"/>
        </w:rPr>
        <w:t>Rosnay</w:t>
      </w:r>
      <w:proofErr w:type="spellEnd"/>
      <w:r w:rsidRPr="00924468">
        <w:rPr>
          <w:rFonts w:ascii="Times New Roman" w:eastAsia="Times New Roman" w:hAnsi="Times New Roman" w:cs="Times New Roman"/>
          <w:sz w:val="24"/>
          <w:szCs w:val="24"/>
          <w:lang w:val="en-GB" w:eastAsia="fr-FR" w:bidi="dz-BT"/>
        </w:rPr>
        <w:t xml:space="preserve">, I. Rozum, F. </w:t>
      </w:r>
      <w:proofErr w:type="spellStart"/>
      <w:r w:rsidRPr="00924468">
        <w:rPr>
          <w:rFonts w:ascii="Times New Roman" w:eastAsia="Times New Roman" w:hAnsi="Times New Roman" w:cs="Times New Roman"/>
          <w:sz w:val="24"/>
          <w:szCs w:val="24"/>
          <w:lang w:val="en-GB" w:eastAsia="fr-FR" w:bidi="dz-BT"/>
        </w:rPr>
        <w:t>Vamborg</w:t>
      </w:r>
      <w:proofErr w:type="spellEnd"/>
      <w:r w:rsidRPr="00924468">
        <w:rPr>
          <w:rFonts w:ascii="Times New Roman" w:eastAsia="Times New Roman" w:hAnsi="Times New Roman" w:cs="Times New Roman"/>
          <w:sz w:val="24"/>
          <w:szCs w:val="24"/>
          <w:lang w:val="en-GB" w:eastAsia="fr-FR" w:bidi="dz-BT"/>
        </w:rPr>
        <w:t xml:space="preserve">, S. Villaume et J.-N. </w:t>
      </w:r>
      <w:proofErr w:type="spellStart"/>
      <w:r w:rsidRPr="00924468">
        <w:rPr>
          <w:rFonts w:ascii="Times New Roman" w:eastAsia="Times New Roman" w:hAnsi="Times New Roman" w:cs="Times New Roman"/>
          <w:sz w:val="24"/>
          <w:szCs w:val="24"/>
          <w:lang w:val="en-GB" w:eastAsia="fr-FR" w:bidi="dz-BT"/>
        </w:rPr>
        <w:t>Thépaut</w:t>
      </w:r>
      <w:proofErr w:type="spellEnd"/>
      <w:r w:rsidRPr="00924468">
        <w:rPr>
          <w:rFonts w:ascii="Times New Roman" w:eastAsia="Times New Roman" w:hAnsi="Times New Roman" w:cs="Times New Roman"/>
          <w:sz w:val="24"/>
          <w:szCs w:val="24"/>
          <w:lang w:val="en-GB" w:eastAsia="fr-FR" w:bidi="dz-BT"/>
        </w:rPr>
        <w:t>, « The ERA5 global reanalysis », Quarterly Journal of the Royal Meteorological Society, 10.1002/qj.3803, 146-730, 2020, p. 1999--2049.</w:t>
      </w:r>
    </w:p>
    <w:p w14:paraId="191CCF21" w14:textId="77777777" w:rsidR="003654EF" w:rsidRPr="00924468" w:rsidRDefault="003654EF" w:rsidP="00924468">
      <w:pPr>
        <w:spacing w:after="0" w:line="240" w:lineRule="auto"/>
        <w:ind w:left="360"/>
        <w:jc w:val="both"/>
        <w:rPr>
          <w:rFonts w:ascii="Times New Roman" w:eastAsia="Times New Roman" w:hAnsi="Times New Roman" w:cs="Times New Roman"/>
          <w:sz w:val="24"/>
          <w:szCs w:val="24"/>
          <w:lang w:val="en-GB" w:eastAsia="fr-FR" w:bidi="dz-BT"/>
        </w:rPr>
      </w:pPr>
    </w:p>
    <w:p w14:paraId="71CFE2E3" w14:textId="7DB45455" w:rsidR="0097699A" w:rsidRDefault="0097699A" w:rsidP="0097699A">
      <w:pPr>
        <w:pStyle w:val="Paragraphedeliste"/>
        <w:numPr>
          <w:ilvl w:val="0"/>
          <w:numId w:val="1"/>
        </w:numPr>
        <w:spacing w:after="0" w:line="240" w:lineRule="auto"/>
        <w:rPr>
          <w:rFonts w:ascii="Times New Roman" w:eastAsia="Times New Roman" w:hAnsi="Times New Roman" w:cs="Times New Roman"/>
          <w:sz w:val="24"/>
          <w:szCs w:val="24"/>
          <w:lang w:eastAsia="fr-FR" w:bidi="dz-BT"/>
        </w:rPr>
      </w:pPr>
      <w:r w:rsidRPr="0097699A">
        <w:rPr>
          <w:rFonts w:ascii="Times New Roman" w:eastAsia="Times New Roman" w:hAnsi="Times New Roman" w:cs="Times New Roman"/>
          <w:sz w:val="24"/>
          <w:szCs w:val="24"/>
          <w:lang w:eastAsia="fr-FR" w:bidi="dz-BT"/>
        </w:rPr>
        <w:t xml:space="preserve">Direction de La Prévision et de la Statistique </w:t>
      </w:r>
      <w:r w:rsidRPr="0097699A">
        <w:rPr>
          <w:rFonts w:ascii="Times New Roman" w:eastAsia="Times New Roman" w:hAnsi="Times New Roman" w:cs="Times New Roman"/>
          <w:smallCaps/>
          <w:sz w:val="24"/>
          <w:szCs w:val="24"/>
          <w:lang w:eastAsia="fr-FR" w:bidi="dz-BT"/>
        </w:rPr>
        <w:t>Ministère de l’économie, des finances et du plan</w:t>
      </w:r>
      <w:r>
        <w:rPr>
          <w:rFonts w:ascii="Times New Roman" w:eastAsia="Times New Roman" w:hAnsi="Times New Roman" w:cs="Times New Roman"/>
          <w:smallCaps/>
          <w:sz w:val="24"/>
          <w:szCs w:val="24"/>
          <w:lang w:eastAsia="fr-FR" w:bidi="dz-BT"/>
        </w:rPr>
        <w:t xml:space="preserve"> d</w:t>
      </w:r>
      <w:r w:rsidR="00E46203">
        <w:rPr>
          <w:rFonts w:ascii="Times New Roman" w:eastAsia="Times New Roman" w:hAnsi="Times New Roman" w:cs="Times New Roman"/>
          <w:smallCaps/>
          <w:sz w:val="24"/>
          <w:szCs w:val="24"/>
          <w:lang w:eastAsia="fr-FR" w:bidi="dz-BT"/>
        </w:rPr>
        <w:t>e la république du</w:t>
      </w:r>
      <w:r>
        <w:rPr>
          <w:rFonts w:ascii="Times New Roman" w:eastAsia="Times New Roman" w:hAnsi="Times New Roman" w:cs="Times New Roman"/>
          <w:smallCaps/>
          <w:sz w:val="24"/>
          <w:szCs w:val="24"/>
          <w:lang w:eastAsia="fr-FR" w:bidi="dz-BT"/>
        </w:rPr>
        <w:t xml:space="preserve"> Sénégal</w:t>
      </w:r>
      <w:r w:rsidRPr="0097699A">
        <w:rPr>
          <w:rFonts w:ascii="Times New Roman" w:eastAsia="Times New Roman" w:hAnsi="Times New Roman" w:cs="Times New Roman"/>
          <w:sz w:val="24"/>
          <w:szCs w:val="24"/>
          <w:lang w:eastAsia="fr-FR" w:bidi="dz-BT"/>
        </w:rPr>
        <w:t xml:space="preserve">, </w:t>
      </w:r>
      <w:r w:rsidRPr="0097699A">
        <w:rPr>
          <w:rFonts w:ascii="Times New Roman" w:eastAsia="Times New Roman" w:hAnsi="Times New Roman" w:cs="Times New Roman"/>
          <w:i/>
          <w:iCs/>
          <w:sz w:val="24"/>
          <w:szCs w:val="24"/>
          <w:lang w:eastAsia="fr-FR" w:bidi="dz-BT"/>
        </w:rPr>
        <w:t>Recensement général de la population et de l’habitat de 1988</w:t>
      </w:r>
      <w:r w:rsidRPr="0097699A">
        <w:rPr>
          <w:rFonts w:ascii="Times New Roman" w:eastAsia="Times New Roman" w:hAnsi="Times New Roman" w:cs="Times New Roman"/>
          <w:sz w:val="24"/>
          <w:szCs w:val="24"/>
          <w:lang w:eastAsia="fr-FR" w:bidi="dz-BT"/>
        </w:rPr>
        <w:t>, 1993.</w:t>
      </w:r>
    </w:p>
    <w:p w14:paraId="3C8728A4" w14:textId="77777777" w:rsidR="0097699A" w:rsidRPr="0097699A" w:rsidRDefault="0097699A" w:rsidP="0097699A">
      <w:pPr>
        <w:spacing w:after="0" w:line="240" w:lineRule="auto"/>
        <w:rPr>
          <w:rFonts w:ascii="Times New Roman" w:eastAsia="Times New Roman" w:hAnsi="Times New Roman" w:cs="Times New Roman"/>
          <w:sz w:val="24"/>
          <w:szCs w:val="24"/>
          <w:lang w:eastAsia="fr-FR" w:bidi="dz-BT"/>
        </w:rPr>
      </w:pPr>
    </w:p>
    <w:p w14:paraId="36F95F5E" w14:textId="7351A933" w:rsidR="0097699A" w:rsidRDefault="0097699A" w:rsidP="0097699A">
      <w:pPr>
        <w:pStyle w:val="Paragraphedeliste"/>
        <w:numPr>
          <w:ilvl w:val="0"/>
          <w:numId w:val="1"/>
        </w:numPr>
        <w:spacing w:after="0" w:line="240" w:lineRule="auto"/>
        <w:rPr>
          <w:rFonts w:ascii="Times New Roman" w:eastAsia="Times New Roman" w:hAnsi="Times New Roman" w:cs="Times New Roman"/>
          <w:sz w:val="24"/>
          <w:szCs w:val="24"/>
          <w:lang w:eastAsia="fr-FR" w:bidi="dz-BT"/>
        </w:rPr>
      </w:pPr>
      <w:r w:rsidRPr="0097699A">
        <w:rPr>
          <w:rFonts w:ascii="Times New Roman" w:eastAsia="Times New Roman" w:hAnsi="Times New Roman" w:cs="Times New Roman"/>
          <w:sz w:val="24"/>
          <w:szCs w:val="24"/>
          <w:lang w:eastAsia="fr-FR" w:bidi="dz-BT"/>
        </w:rPr>
        <w:t xml:space="preserve">Agence nationale de la statistique et de la démographie (ANSD) </w:t>
      </w:r>
      <w:r w:rsidRPr="0097699A">
        <w:rPr>
          <w:rFonts w:ascii="Times New Roman" w:eastAsia="Times New Roman" w:hAnsi="Times New Roman" w:cs="Times New Roman"/>
          <w:smallCaps/>
          <w:sz w:val="24"/>
          <w:szCs w:val="24"/>
          <w:lang w:eastAsia="fr-FR" w:bidi="dz-BT"/>
        </w:rPr>
        <w:t xml:space="preserve">Ministère de l’économie et des finances </w:t>
      </w:r>
      <w:r w:rsidR="00E46203">
        <w:rPr>
          <w:rFonts w:ascii="Times New Roman" w:eastAsia="Times New Roman" w:hAnsi="Times New Roman" w:cs="Times New Roman"/>
          <w:smallCaps/>
          <w:sz w:val="24"/>
          <w:szCs w:val="24"/>
          <w:lang w:eastAsia="fr-FR" w:bidi="dz-BT"/>
        </w:rPr>
        <w:t xml:space="preserve">de la république </w:t>
      </w:r>
      <w:r w:rsidRPr="0097699A">
        <w:rPr>
          <w:rFonts w:ascii="Times New Roman" w:eastAsia="Times New Roman" w:hAnsi="Times New Roman" w:cs="Times New Roman"/>
          <w:smallCaps/>
          <w:sz w:val="24"/>
          <w:szCs w:val="24"/>
          <w:lang w:eastAsia="fr-FR" w:bidi="dz-BT"/>
        </w:rPr>
        <w:t>du Sénégal</w:t>
      </w:r>
      <w:r w:rsidRPr="0097699A">
        <w:rPr>
          <w:rFonts w:ascii="Times New Roman" w:eastAsia="Times New Roman" w:hAnsi="Times New Roman" w:cs="Times New Roman"/>
          <w:sz w:val="24"/>
          <w:szCs w:val="24"/>
          <w:lang w:eastAsia="fr-FR" w:bidi="dz-BT"/>
        </w:rPr>
        <w:t xml:space="preserve">, </w:t>
      </w:r>
      <w:r w:rsidRPr="0097699A">
        <w:rPr>
          <w:rFonts w:ascii="Times New Roman" w:eastAsia="Times New Roman" w:hAnsi="Times New Roman" w:cs="Times New Roman"/>
          <w:i/>
          <w:iCs/>
          <w:sz w:val="24"/>
          <w:szCs w:val="24"/>
          <w:lang w:eastAsia="fr-FR" w:bidi="dz-BT"/>
        </w:rPr>
        <w:t>Résultats définitifs du troisième recensement général de la population et de l’habitat</w:t>
      </w:r>
      <w:r w:rsidRPr="0097699A">
        <w:rPr>
          <w:rFonts w:ascii="Times New Roman" w:eastAsia="Times New Roman" w:hAnsi="Times New Roman" w:cs="Times New Roman"/>
          <w:sz w:val="24"/>
          <w:szCs w:val="24"/>
          <w:lang w:eastAsia="fr-FR" w:bidi="dz-BT"/>
        </w:rPr>
        <w:t>, 2006.</w:t>
      </w:r>
    </w:p>
    <w:p w14:paraId="54E6BE46" w14:textId="77777777" w:rsidR="0097699A" w:rsidRPr="0097699A" w:rsidRDefault="0097699A" w:rsidP="0097699A">
      <w:pPr>
        <w:spacing w:after="0" w:line="240" w:lineRule="auto"/>
        <w:rPr>
          <w:rFonts w:ascii="Times New Roman" w:eastAsia="Times New Roman" w:hAnsi="Times New Roman" w:cs="Times New Roman"/>
          <w:sz w:val="24"/>
          <w:szCs w:val="24"/>
          <w:lang w:eastAsia="fr-FR" w:bidi="dz-BT"/>
        </w:rPr>
      </w:pPr>
    </w:p>
    <w:p w14:paraId="104BF7D1" w14:textId="5F9FB182" w:rsidR="0097699A" w:rsidRPr="00E46203" w:rsidRDefault="00E46203" w:rsidP="00E46203">
      <w:pPr>
        <w:pStyle w:val="Paragraphedeliste"/>
        <w:numPr>
          <w:ilvl w:val="0"/>
          <w:numId w:val="1"/>
        </w:numPr>
        <w:spacing w:after="0" w:line="240" w:lineRule="auto"/>
        <w:rPr>
          <w:rFonts w:ascii="Times New Roman" w:eastAsia="Times New Roman" w:hAnsi="Times New Roman" w:cs="Times New Roman"/>
          <w:sz w:val="24"/>
          <w:szCs w:val="24"/>
          <w:lang w:eastAsia="fr-FR" w:bidi="dz-BT"/>
        </w:rPr>
      </w:pPr>
      <w:r w:rsidRPr="00E46203">
        <w:rPr>
          <w:rFonts w:ascii="Times New Roman" w:eastAsia="Times New Roman" w:hAnsi="Times New Roman" w:cs="Times New Roman"/>
          <w:sz w:val="24"/>
          <w:szCs w:val="24"/>
          <w:lang w:eastAsia="fr-FR" w:bidi="dz-BT"/>
        </w:rPr>
        <w:t xml:space="preserve">Agence nationale de la statistique et de la démographie (ANSD) </w:t>
      </w:r>
      <w:r w:rsidRPr="00E46203">
        <w:rPr>
          <w:rFonts w:ascii="Times New Roman" w:eastAsia="Times New Roman" w:hAnsi="Times New Roman" w:cs="Times New Roman"/>
          <w:smallCaps/>
          <w:sz w:val="24"/>
          <w:szCs w:val="24"/>
          <w:lang w:eastAsia="fr-FR" w:bidi="dz-BT"/>
        </w:rPr>
        <w:t>Ministère de l’économie, de la finance et du plan de la république du Sénégal</w:t>
      </w:r>
      <w:r w:rsidRPr="00E46203">
        <w:rPr>
          <w:rFonts w:ascii="Times New Roman" w:eastAsia="Times New Roman" w:hAnsi="Times New Roman" w:cs="Times New Roman"/>
          <w:sz w:val="24"/>
          <w:szCs w:val="24"/>
          <w:lang w:eastAsia="fr-FR" w:bidi="dz-BT"/>
        </w:rPr>
        <w:t xml:space="preserve">, </w:t>
      </w:r>
      <w:r w:rsidRPr="00E46203">
        <w:rPr>
          <w:rFonts w:ascii="Times New Roman" w:eastAsia="Times New Roman" w:hAnsi="Times New Roman" w:cs="Times New Roman"/>
          <w:i/>
          <w:iCs/>
          <w:sz w:val="24"/>
          <w:szCs w:val="24"/>
          <w:lang w:eastAsia="fr-FR" w:bidi="dz-BT"/>
        </w:rPr>
        <w:t>Projection de la population du Sénégal</w:t>
      </w:r>
      <w:r w:rsidRPr="00E46203">
        <w:rPr>
          <w:rFonts w:ascii="Times New Roman" w:eastAsia="Times New Roman" w:hAnsi="Times New Roman" w:cs="Times New Roman"/>
          <w:sz w:val="24"/>
          <w:szCs w:val="24"/>
          <w:lang w:eastAsia="fr-FR" w:bidi="dz-BT"/>
        </w:rPr>
        <w:t>, 2016.</w:t>
      </w:r>
    </w:p>
    <w:p w14:paraId="381EF33F" w14:textId="77777777" w:rsidR="001318C1" w:rsidRPr="00924468" w:rsidRDefault="001318C1" w:rsidP="00E46203">
      <w:pPr>
        <w:spacing w:after="0" w:line="240" w:lineRule="auto"/>
        <w:jc w:val="both"/>
        <w:rPr>
          <w:rFonts w:ascii="Times New Roman" w:eastAsia="Times New Roman" w:hAnsi="Times New Roman" w:cs="Times New Roman"/>
          <w:sz w:val="24"/>
          <w:szCs w:val="24"/>
          <w:lang w:eastAsia="fr-FR" w:bidi="dz-BT"/>
        </w:rPr>
      </w:pPr>
    </w:p>
    <w:p w14:paraId="5FF8611F" w14:textId="4974D430" w:rsidR="003A3FA4" w:rsidRDefault="003A3FA4" w:rsidP="003A3FA4">
      <w:pPr>
        <w:pStyle w:val="Paragraphedeliste"/>
        <w:numPr>
          <w:ilvl w:val="0"/>
          <w:numId w:val="1"/>
        </w:numPr>
        <w:spacing w:after="0" w:line="240" w:lineRule="auto"/>
        <w:jc w:val="both"/>
        <w:rPr>
          <w:rFonts w:ascii="Times New Roman" w:eastAsia="Times New Roman" w:hAnsi="Times New Roman" w:cs="Times New Roman"/>
          <w:sz w:val="24"/>
          <w:szCs w:val="24"/>
          <w:lang w:val="en-GB" w:eastAsia="fr-FR" w:bidi="dz-BT"/>
        </w:rPr>
      </w:pPr>
      <w:r w:rsidRPr="003A3FA4">
        <w:rPr>
          <w:rFonts w:ascii="Times New Roman" w:eastAsia="Times New Roman" w:hAnsi="Times New Roman" w:cs="Times New Roman"/>
          <w:sz w:val="24"/>
          <w:szCs w:val="24"/>
          <w:lang w:val="en-GB" w:eastAsia="fr-FR" w:bidi="dz-BT"/>
        </w:rPr>
        <w:t xml:space="preserve">M. </w:t>
      </w:r>
      <w:r w:rsidRPr="00924468">
        <w:rPr>
          <w:rFonts w:ascii="Times New Roman" w:eastAsia="Times New Roman" w:hAnsi="Times New Roman" w:cs="Times New Roman"/>
          <w:sz w:val="24"/>
          <w:szCs w:val="24"/>
          <w:lang w:val="en-GB" w:eastAsia="fr-FR" w:bidi="dz-BT"/>
        </w:rPr>
        <w:t>Gilbert</w:t>
      </w:r>
      <w:r w:rsidRPr="003A3FA4">
        <w:rPr>
          <w:rFonts w:ascii="Times New Roman" w:eastAsia="Times New Roman" w:hAnsi="Times New Roman" w:cs="Times New Roman"/>
          <w:sz w:val="24"/>
          <w:szCs w:val="24"/>
          <w:lang w:val="en-GB" w:eastAsia="fr-FR" w:bidi="dz-BT"/>
        </w:rPr>
        <w:t xml:space="preserve">, G. </w:t>
      </w:r>
      <w:r w:rsidRPr="00924468">
        <w:rPr>
          <w:rFonts w:ascii="Times New Roman" w:eastAsia="Times New Roman" w:hAnsi="Times New Roman" w:cs="Times New Roman"/>
          <w:sz w:val="24"/>
          <w:szCs w:val="24"/>
          <w:lang w:val="en-GB" w:eastAsia="fr-FR" w:bidi="dz-BT"/>
        </w:rPr>
        <w:t>Nicolas</w:t>
      </w:r>
      <w:r w:rsidRPr="003A3FA4">
        <w:rPr>
          <w:rFonts w:ascii="Times New Roman" w:eastAsia="Times New Roman" w:hAnsi="Times New Roman" w:cs="Times New Roman"/>
          <w:sz w:val="24"/>
          <w:szCs w:val="24"/>
          <w:lang w:val="en-GB" w:eastAsia="fr-FR" w:bidi="dz-BT"/>
        </w:rPr>
        <w:t xml:space="preserve">, G. </w:t>
      </w:r>
      <w:proofErr w:type="spellStart"/>
      <w:r w:rsidRPr="00924468">
        <w:rPr>
          <w:rFonts w:ascii="Times New Roman" w:eastAsia="Times New Roman" w:hAnsi="Times New Roman" w:cs="Times New Roman"/>
          <w:sz w:val="24"/>
          <w:szCs w:val="24"/>
          <w:lang w:val="en-GB" w:eastAsia="fr-FR" w:bidi="dz-BT"/>
        </w:rPr>
        <w:t>Cinardi</w:t>
      </w:r>
      <w:proofErr w:type="spellEnd"/>
      <w:r w:rsidRPr="003A3FA4">
        <w:rPr>
          <w:rFonts w:ascii="Times New Roman" w:eastAsia="Times New Roman" w:hAnsi="Times New Roman" w:cs="Times New Roman"/>
          <w:sz w:val="24"/>
          <w:szCs w:val="24"/>
          <w:lang w:val="en-GB" w:eastAsia="fr-FR" w:bidi="dz-BT"/>
        </w:rPr>
        <w:t xml:space="preserve">, T. P. </w:t>
      </w:r>
      <w:r w:rsidRPr="00924468">
        <w:rPr>
          <w:rFonts w:ascii="Times New Roman" w:eastAsia="Times New Roman" w:hAnsi="Times New Roman" w:cs="Times New Roman"/>
          <w:sz w:val="24"/>
          <w:szCs w:val="24"/>
          <w:lang w:val="en-GB" w:eastAsia="fr-FR" w:bidi="dz-BT"/>
        </w:rPr>
        <w:t>Van Boeckel</w:t>
      </w:r>
      <w:r w:rsidRPr="003A3FA4">
        <w:rPr>
          <w:rFonts w:ascii="Times New Roman" w:eastAsia="Times New Roman" w:hAnsi="Times New Roman" w:cs="Times New Roman"/>
          <w:sz w:val="24"/>
          <w:szCs w:val="24"/>
          <w:lang w:val="en-GB" w:eastAsia="fr-FR" w:bidi="dz-BT"/>
        </w:rPr>
        <w:t xml:space="preserve">, S. O. </w:t>
      </w:r>
      <w:proofErr w:type="spellStart"/>
      <w:r w:rsidRPr="00924468">
        <w:rPr>
          <w:rFonts w:ascii="Times New Roman" w:eastAsia="Times New Roman" w:hAnsi="Times New Roman" w:cs="Times New Roman"/>
          <w:sz w:val="24"/>
          <w:szCs w:val="24"/>
          <w:lang w:val="en-GB" w:eastAsia="fr-FR" w:bidi="dz-BT"/>
        </w:rPr>
        <w:t>Vanwambeke</w:t>
      </w:r>
      <w:proofErr w:type="spellEnd"/>
      <w:r w:rsidRPr="003A3FA4">
        <w:rPr>
          <w:rFonts w:ascii="Times New Roman" w:eastAsia="Times New Roman" w:hAnsi="Times New Roman" w:cs="Times New Roman"/>
          <w:sz w:val="24"/>
          <w:szCs w:val="24"/>
          <w:lang w:val="en-GB" w:eastAsia="fr-FR" w:bidi="dz-BT"/>
        </w:rPr>
        <w:t xml:space="preserve">, G. R. W. </w:t>
      </w:r>
      <w:r w:rsidRPr="00924468">
        <w:rPr>
          <w:rFonts w:ascii="Times New Roman" w:eastAsia="Times New Roman" w:hAnsi="Times New Roman" w:cs="Times New Roman"/>
          <w:sz w:val="24"/>
          <w:szCs w:val="24"/>
          <w:lang w:val="en-GB" w:eastAsia="fr-FR" w:bidi="dz-BT"/>
        </w:rPr>
        <w:t>Wint</w:t>
      </w:r>
      <w:r w:rsidRPr="003A3FA4">
        <w:rPr>
          <w:rFonts w:ascii="Times New Roman" w:eastAsia="Times New Roman" w:hAnsi="Times New Roman" w:cs="Times New Roman"/>
          <w:sz w:val="24"/>
          <w:szCs w:val="24"/>
          <w:lang w:val="en-GB" w:eastAsia="fr-FR" w:bidi="dz-BT"/>
        </w:rPr>
        <w:t xml:space="preserve"> et T. P. </w:t>
      </w:r>
      <w:r w:rsidRPr="003A3FA4">
        <w:rPr>
          <w:rFonts w:ascii="Times New Roman" w:eastAsia="Times New Roman" w:hAnsi="Times New Roman" w:cs="Times New Roman"/>
          <w:smallCaps/>
          <w:sz w:val="24"/>
          <w:szCs w:val="24"/>
          <w:lang w:val="en-GB" w:eastAsia="fr-FR" w:bidi="dz-BT"/>
        </w:rPr>
        <w:t>Robinson</w:t>
      </w:r>
      <w:r w:rsidRPr="003A3FA4">
        <w:rPr>
          <w:rFonts w:ascii="Times New Roman" w:eastAsia="Times New Roman" w:hAnsi="Times New Roman" w:cs="Times New Roman"/>
          <w:sz w:val="24"/>
          <w:szCs w:val="24"/>
          <w:lang w:val="en-GB" w:eastAsia="fr-FR" w:bidi="dz-BT"/>
        </w:rPr>
        <w:t xml:space="preserve">, « Global distribution data for cattle, buffaloes, horses, sheep, goats, pigs, chickens and ducks in 2010 », </w:t>
      </w:r>
      <w:r w:rsidRPr="003A3FA4">
        <w:rPr>
          <w:rFonts w:ascii="Times New Roman" w:eastAsia="Times New Roman" w:hAnsi="Times New Roman" w:cs="Times New Roman"/>
          <w:i/>
          <w:iCs/>
          <w:sz w:val="24"/>
          <w:szCs w:val="24"/>
          <w:lang w:val="en-GB" w:eastAsia="fr-FR" w:bidi="dz-BT"/>
        </w:rPr>
        <w:t>Scientific Data</w:t>
      </w:r>
      <w:r w:rsidRPr="003A3FA4">
        <w:rPr>
          <w:rFonts w:ascii="Times New Roman" w:eastAsia="Times New Roman" w:hAnsi="Times New Roman" w:cs="Times New Roman"/>
          <w:sz w:val="24"/>
          <w:szCs w:val="24"/>
          <w:lang w:val="en-GB" w:eastAsia="fr-FR" w:bidi="dz-BT"/>
        </w:rPr>
        <w:t>,</w:t>
      </w:r>
      <w:r>
        <w:rPr>
          <w:rFonts w:ascii="Times New Roman" w:eastAsia="Times New Roman" w:hAnsi="Times New Roman" w:cs="Times New Roman"/>
          <w:sz w:val="24"/>
          <w:szCs w:val="24"/>
          <w:lang w:val="en-GB" w:eastAsia="fr-FR" w:bidi="dz-BT"/>
        </w:rPr>
        <w:t xml:space="preserve"> </w:t>
      </w:r>
      <w:r w:rsidRPr="003A3FA4">
        <w:rPr>
          <w:rFonts w:ascii="Times New Roman" w:eastAsia="Times New Roman" w:hAnsi="Times New Roman" w:cs="Times New Roman"/>
          <w:sz w:val="24"/>
          <w:szCs w:val="24"/>
          <w:lang w:val="en-GB" w:eastAsia="fr-FR" w:bidi="dz-BT"/>
        </w:rPr>
        <w:t>10.1038/sdata.2018.227</w:t>
      </w:r>
      <w:r>
        <w:rPr>
          <w:rFonts w:ascii="Times New Roman" w:eastAsia="Times New Roman" w:hAnsi="Times New Roman" w:cs="Times New Roman"/>
          <w:sz w:val="24"/>
          <w:szCs w:val="24"/>
          <w:lang w:val="en-GB" w:eastAsia="fr-FR" w:bidi="dz-BT"/>
        </w:rPr>
        <w:t xml:space="preserve">, </w:t>
      </w:r>
      <w:r w:rsidRPr="003A3FA4">
        <w:rPr>
          <w:rFonts w:ascii="Times New Roman" w:eastAsia="Times New Roman" w:hAnsi="Times New Roman" w:cs="Times New Roman"/>
          <w:sz w:val="24"/>
          <w:szCs w:val="24"/>
          <w:lang w:val="en-GB" w:eastAsia="fr-FR" w:bidi="dz-BT"/>
        </w:rPr>
        <w:t>5-1, 2018, p. 180227.</w:t>
      </w:r>
    </w:p>
    <w:p w14:paraId="650EF345" w14:textId="77777777" w:rsidR="00924468" w:rsidRPr="00924468" w:rsidRDefault="00924468" w:rsidP="00924468">
      <w:pPr>
        <w:pStyle w:val="Paragraphedeliste"/>
        <w:rPr>
          <w:rFonts w:ascii="Times New Roman" w:eastAsia="Times New Roman" w:hAnsi="Times New Roman" w:cs="Times New Roman"/>
          <w:sz w:val="24"/>
          <w:szCs w:val="24"/>
          <w:lang w:val="en-GB" w:eastAsia="fr-FR" w:bidi="dz-BT"/>
        </w:rPr>
      </w:pPr>
    </w:p>
    <w:p w14:paraId="41FC73CF" w14:textId="3A209508" w:rsidR="001318C1" w:rsidRPr="00924468" w:rsidRDefault="00924468" w:rsidP="003A3FA4">
      <w:pPr>
        <w:pStyle w:val="Paragraphedeliste"/>
        <w:numPr>
          <w:ilvl w:val="0"/>
          <w:numId w:val="1"/>
        </w:numPr>
        <w:spacing w:after="0" w:line="240" w:lineRule="auto"/>
        <w:jc w:val="both"/>
        <w:rPr>
          <w:rFonts w:ascii="Times New Roman" w:eastAsia="Times New Roman" w:hAnsi="Times New Roman" w:cs="Times New Roman"/>
          <w:sz w:val="24"/>
          <w:szCs w:val="24"/>
          <w:lang w:eastAsia="fr-FR" w:bidi="dz-BT"/>
        </w:rPr>
      </w:pPr>
      <w:r w:rsidRPr="00924468">
        <w:rPr>
          <w:rFonts w:ascii="Times New Roman" w:eastAsia="Times New Roman" w:hAnsi="Times New Roman" w:cs="Times New Roman"/>
          <w:sz w:val="24"/>
          <w:szCs w:val="24"/>
          <w:lang w:eastAsia="fr-FR" w:bidi="dz-BT"/>
        </w:rPr>
        <w:t>Agence Nationale de l’Aviation Civile et de la Météorologie</w:t>
      </w:r>
      <w:r>
        <w:rPr>
          <w:rFonts w:ascii="Times New Roman" w:eastAsia="Times New Roman" w:hAnsi="Times New Roman" w:cs="Times New Roman"/>
          <w:sz w:val="24"/>
          <w:szCs w:val="24"/>
          <w:lang w:eastAsia="fr-FR" w:bidi="dz-BT"/>
        </w:rPr>
        <w:t xml:space="preserve">, </w:t>
      </w:r>
      <w:r w:rsidR="00D24850">
        <w:rPr>
          <w:rFonts w:ascii="Times New Roman" w:eastAsia="Times New Roman" w:hAnsi="Times New Roman" w:cs="Times New Roman"/>
          <w:sz w:val="24"/>
          <w:szCs w:val="24"/>
          <w:lang w:eastAsia="fr-FR" w:bidi="dz-BT"/>
        </w:rPr>
        <w:t xml:space="preserve">Sénégal, </w:t>
      </w:r>
      <w:r>
        <w:rPr>
          <w:rFonts w:ascii="Times New Roman" w:eastAsia="Times New Roman" w:hAnsi="Times New Roman" w:cs="Times New Roman"/>
          <w:sz w:val="24"/>
          <w:szCs w:val="24"/>
          <w:lang w:eastAsia="fr-FR" w:bidi="dz-BT"/>
        </w:rPr>
        <w:t>2017</w:t>
      </w:r>
      <w:r w:rsidRPr="00924468">
        <w:rPr>
          <w:rFonts w:ascii="Times New Roman" w:eastAsia="Times New Roman" w:hAnsi="Times New Roman" w:cs="Times New Roman"/>
          <w:sz w:val="24"/>
          <w:szCs w:val="24"/>
          <w:lang w:eastAsia="fr-FR" w:bidi="dz-BT"/>
        </w:rPr>
        <w:t>.</w:t>
      </w:r>
    </w:p>
    <w:p w14:paraId="63F31CEF" w14:textId="77777777" w:rsidR="00924468" w:rsidRPr="00924468" w:rsidRDefault="00924468" w:rsidP="00924468">
      <w:pPr>
        <w:spacing w:after="0" w:line="240" w:lineRule="auto"/>
        <w:jc w:val="both"/>
        <w:rPr>
          <w:rFonts w:ascii="Times New Roman" w:eastAsia="Times New Roman" w:hAnsi="Times New Roman" w:cs="Times New Roman"/>
          <w:sz w:val="24"/>
          <w:szCs w:val="24"/>
          <w:lang w:eastAsia="fr-FR" w:bidi="dz-BT"/>
        </w:rPr>
      </w:pPr>
    </w:p>
    <w:p w14:paraId="62F09120" w14:textId="4ABA99C5" w:rsidR="001318C1" w:rsidRPr="003A3FA4" w:rsidRDefault="003A3FA4" w:rsidP="003A3FA4">
      <w:pPr>
        <w:pStyle w:val="Paragraphedeliste"/>
        <w:numPr>
          <w:ilvl w:val="0"/>
          <w:numId w:val="1"/>
        </w:numPr>
        <w:spacing w:after="0" w:line="240" w:lineRule="auto"/>
        <w:jc w:val="both"/>
        <w:rPr>
          <w:rFonts w:ascii="Times New Roman" w:eastAsia="Times New Roman" w:hAnsi="Times New Roman" w:cs="Times New Roman"/>
          <w:sz w:val="24"/>
          <w:szCs w:val="24"/>
          <w:lang w:val="en-GB" w:eastAsia="fr-FR" w:bidi="dz-BT"/>
        </w:rPr>
      </w:pPr>
      <w:r w:rsidRPr="003A3FA4">
        <w:rPr>
          <w:rFonts w:ascii="Times New Roman" w:eastAsia="Times New Roman" w:hAnsi="Times New Roman" w:cs="Times New Roman"/>
          <w:sz w:val="24"/>
          <w:szCs w:val="24"/>
          <w:lang w:val="en-GB" w:eastAsia="fr-FR" w:bidi="dz-BT"/>
        </w:rPr>
        <w:t xml:space="preserve">N. </w:t>
      </w:r>
      <w:r w:rsidRPr="00924468">
        <w:rPr>
          <w:rFonts w:ascii="Times New Roman" w:eastAsia="Times New Roman" w:hAnsi="Times New Roman" w:cs="Times New Roman"/>
          <w:sz w:val="24"/>
          <w:szCs w:val="24"/>
          <w:lang w:val="en-GB" w:eastAsia="fr-FR" w:bidi="dz-BT"/>
        </w:rPr>
        <w:t>Brisson</w:t>
      </w:r>
      <w:r w:rsidRPr="003A3FA4">
        <w:rPr>
          <w:rFonts w:ascii="Times New Roman" w:eastAsia="Times New Roman" w:hAnsi="Times New Roman" w:cs="Times New Roman"/>
          <w:sz w:val="24"/>
          <w:szCs w:val="24"/>
          <w:lang w:val="en-GB" w:eastAsia="fr-FR" w:bidi="dz-BT"/>
        </w:rPr>
        <w:t xml:space="preserve">, B. </w:t>
      </w:r>
      <w:r w:rsidRPr="00924468">
        <w:rPr>
          <w:rFonts w:ascii="Times New Roman" w:eastAsia="Times New Roman" w:hAnsi="Times New Roman" w:cs="Times New Roman"/>
          <w:sz w:val="24"/>
          <w:szCs w:val="24"/>
          <w:lang w:val="en-GB" w:eastAsia="fr-FR" w:bidi="dz-BT"/>
        </w:rPr>
        <w:t>Mary</w:t>
      </w:r>
      <w:r w:rsidRPr="003A3FA4">
        <w:rPr>
          <w:rFonts w:ascii="Times New Roman" w:eastAsia="Times New Roman" w:hAnsi="Times New Roman" w:cs="Times New Roman"/>
          <w:sz w:val="24"/>
          <w:szCs w:val="24"/>
          <w:lang w:val="en-GB" w:eastAsia="fr-FR" w:bidi="dz-BT"/>
        </w:rPr>
        <w:t xml:space="preserve">, D. </w:t>
      </w:r>
      <w:proofErr w:type="spellStart"/>
      <w:r w:rsidRPr="00924468">
        <w:rPr>
          <w:rFonts w:ascii="Times New Roman" w:eastAsia="Times New Roman" w:hAnsi="Times New Roman" w:cs="Times New Roman"/>
          <w:sz w:val="24"/>
          <w:szCs w:val="24"/>
          <w:lang w:val="en-GB" w:eastAsia="fr-FR" w:bidi="dz-BT"/>
        </w:rPr>
        <w:t>Ripoche</w:t>
      </w:r>
      <w:proofErr w:type="spellEnd"/>
      <w:r w:rsidRPr="003A3FA4">
        <w:rPr>
          <w:rFonts w:ascii="Times New Roman" w:eastAsia="Times New Roman" w:hAnsi="Times New Roman" w:cs="Times New Roman"/>
          <w:sz w:val="24"/>
          <w:szCs w:val="24"/>
          <w:lang w:val="en-GB" w:eastAsia="fr-FR" w:bidi="dz-BT"/>
        </w:rPr>
        <w:t xml:space="preserve">, M.-H. </w:t>
      </w:r>
      <w:proofErr w:type="spellStart"/>
      <w:r w:rsidRPr="00924468">
        <w:rPr>
          <w:rFonts w:ascii="Times New Roman" w:eastAsia="Times New Roman" w:hAnsi="Times New Roman" w:cs="Times New Roman"/>
          <w:sz w:val="24"/>
          <w:szCs w:val="24"/>
          <w:lang w:val="en-GB" w:eastAsia="fr-FR" w:bidi="dz-BT"/>
        </w:rPr>
        <w:t>Jeuffroy</w:t>
      </w:r>
      <w:proofErr w:type="spellEnd"/>
      <w:r w:rsidRPr="003A3FA4">
        <w:rPr>
          <w:rFonts w:ascii="Times New Roman" w:eastAsia="Times New Roman" w:hAnsi="Times New Roman" w:cs="Times New Roman"/>
          <w:sz w:val="24"/>
          <w:szCs w:val="24"/>
          <w:lang w:val="en-GB" w:eastAsia="fr-FR" w:bidi="dz-BT"/>
        </w:rPr>
        <w:t xml:space="preserve">, F. </w:t>
      </w:r>
      <w:proofErr w:type="spellStart"/>
      <w:r w:rsidRPr="00924468">
        <w:rPr>
          <w:rFonts w:ascii="Times New Roman" w:eastAsia="Times New Roman" w:hAnsi="Times New Roman" w:cs="Times New Roman"/>
          <w:sz w:val="24"/>
          <w:szCs w:val="24"/>
          <w:lang w:val="en-GB" w:eastAsia="fr-FR" w:bidi="dz-BT"/>
        </w:rPr>
        <w:t>Ruget</w:t>
      </w:r>
      <w:proofErr w:type="spellEnd"/>
      <w:r w:rsidRPr="003A3FA4">
        <w:rPr>
          <w:rFonts w:ascii="Times New Roman" w:eastAsia="Times New Roman" w:hAnsi="Times New Roman" w:cs="Times New Roman"/>
          <w:sz w:val="24"/>
          <w:szCs w:val="24"/>
          <w:lang w:val="en-GB" w:eastAsia="fr-FR" w:bidi="dz-BT"/>
        </w:rPr>
        <w:t xml:space="preserve">, B. </w:t>
      </w:r>
      <w:proofErr w:type="spellStart"/>
      <w:r w:rsidRPr="00924468">
        <w:rPr>
          <w:rFonts w:ascii="Times New Roman" w:eastAsia="Times New Roman" w:hAnsi="Times New Roman" w:cs="Times New Roman"/>
          <w:sz w:val="24"/>
          <w:szCs w:val="24"/>
          <w:lang w:val="en-GB" w:eastAsia="fr-FR" w:bidi="dz-BT"/>
        </w:rPr>
        <w:t>Nicoullaud</w:t>
      </w:r>
      <w:proofErr w:type="spellEnd"/>
      <w:r w:rsidRPr="003A3FA4">
        <w:rPr>
          <w:rFonts w:ascii="Times New Roman" w:eastAsia="Times New Roman" w:hAnsi="Times New Roman" w:cs="Times New Roman"/>
          <w:sz w:val="24"/>
          <w:szCs w:val="24"/>
          <w:lang w:val="en-GB" w:eastAsia="fr-FR" w:bidi="dz-BT"/>
        </w:rPr>
        <w:t xml:space="preserve">, P. </w:t>
      </w:r>
      <w:r w:rsidRPr="00924468">
        <w:rPr>
          <w:rFonts w:ascii="Times New Roman" w:eastAsia="Times New Roman" w:hAnsi="Times New Roman" w:cs="Times New Roman"/>
          <w:sz w:val="24"/>
          <w:szCs w:val="24"/>
          <w:lang w:val="en-GB" w:eastAsia="fr-FR" w:bidi="dz-BT"/>
        </w:rPr>
        <w:t>Gate</w:t>
      </w:r>
      <w:r w:rsidRPr="003A3FA4">
        <w:rPr>
          <w:rFonts w:ascii="Times New Roman" w:eastAsia="Times New Roman" w:hAnsi="Times New Roman" w:cs="Times New Roman"/>
          <w:sz w:val="24"/>
          <w:szCs w:val="24"/>
          <w:lang w:val="en-GB" w:eastAsia="fr-FR" w:bidi="dz-BT"/>
        </w:rPr>
        <w:t xml:space="preserve">, F. </w:t>
      </w:r>
      <w:proofErr w:type="spellStart"/>
      <w:r w:rsidRPr="00924468">
        <w:rPr>
          <w:rFonts w:ascii="Times New Roman" w:eastAsia="Times New Roman" w:hAnsi="Times New Roman" w:cs="Times New Roman"/>
          <w:sz w:val="24"/>
          <w:szCs w:val="24"/>
          <w:lang w:val="en-GB" w:eastAsia="fr-FR" w:bidi="dz-BT"/>
        </w:rPr>
        <w:t>Devienne</w:t>
      </w:r>
      <w:proofErr w:type="spellEnd"/>
      <w:r w:rsidRPr="00924468">
        <w:rPr>
          <w:rFonts w:ascii="Times New Roman" w:eastAsia="Times New Roman" w:hAnsi="Times New Roman" w:cs="Times New Roman"/>
          <w:sz w:val="24"/>
          <w:szCs w:val="24"/>
          <w:lang w:val="en-GB" w:eastAsia="fr-FR" w:bidi="dz-BT"/>
        </w:rPr>
        <w:t>-Barret</w:t>
      </w:r>
      <w:r w:rsidRPr="003A3FA4">
        <w:rPr>
          <w:rFonts w:ascii="Times New Roman" w:eastAsia="Times New Roman" w:hAnsi="Times New Roman" w:cs="Times New Roman"/>
          <w:sz w:val="24"/>
          <w:szCs w:val="24"/>
          <w:lang w:val="en-GB" w:eastAsia="fr-FR" w:bidi="dz-BT"/>
        </w:rPr>
        <w:t xml:space="preserve">, R. </w:t>
      </w:r>
      <w:proofErr w:type="spellStart"/>
      <w:r w:rsidRPr="00924468">
        <w:rPr>
          <w:rFonts w:ascii="Times New Roman" w:eastAsia="Times New Roman" w:hAnsi="Times New Roman" w:cs="Times New Roman"/>
          <w:sz w:val="24"/>
          <w:szCs w:val="24"/>
          <w:lang w:val="en-GB" w:eastAsia="fr-FR" w:bidi="dz-BT"/>
        </w:rPr>
        <w:t>Antonioletti</w:t>
      </w:r>
      <w:proofErr w:type="spellEnd"/>
      <w:r w:rsidRPr="003A3FA4">
        <w:rPr>
          <w:rFonts w:ascii="Times New Roman" w:eastAsia="Times New Roman" w:hAnsi="Times New Roman" w:cs="Times New Roman"/>
          <w:sz w:val="24"/>
          <w:szCs w:val="24"/>
          <w:lang w:val="en-GB" w:eastAsia="fr-FR" w:bidi="dz-BT"/>
        </w:rPr>
        <w:t xml:space="preserve">, C. </w:t>
      </w:r>
      <w:r w:rsidRPr="00924468">
        <w:rPr>
          <w:rFonts w:ascii="Times New Roman" w:eastAsia="Times New Roman" w:hAnsi="Times New Roman" w:cs="Times New Roman"/>
          <w:sz w:val="24"/>
          <w:szCs w:val="24"/>
          <w:lang w:val="en-GB" w:eastAsia="fr-FR" w:bidi="dz-BT"/>
        </w:rPr>
        <w:t>Dürr</w:t>
      </w:r>
      <w:r w:rsidRPr="003A3FA4">
        <w:rPr>
          <w:rFonts w:ascii="Times New Roman" w:eastAsia="Times New Roman" w:hAnsi="Times New Roman" w:cs="Times New Roman"/>
          <w:sz w:val="24"/>
          <w:szCs w:val="24"/>
          <w:lang w:val="en-GB" w:eastAsia="fr-FR" w:bidi="dz-BT"/>
        </w:rPr>
        <w:t xml:space="preserve">, G. </w:t>
      </w:r>
      <w:r w:rsidRPr="00924468">
        <w:rPr>
          <w:rFonts w:ascii="Times New Roman" w:eastAsia="Times New Roman" w:hAnsi="Times New Roman" w:cs="Times New Roman"/>
          <w:sz w:val="24"/>
          <w:szCs w:val="24"/>
          <w:lang w:val="en-GB" w:eastAsia="fr-FR" w:bidi="dz-BT"/>
        </w:rPr>
        <w:t>Richard</w:t>
      </w:r>
      <w:r w:rsidRPr="003A3FA4">
        <w:rPr>
          <w:rFonts w:ascii="Times New Roman" w:eastAsia="Times New Roman" w:hAnsi="Times New Roman" w:cs="Times New Roman"/>
          <w:sz w:val="24"/>
          <w:szCs w:val="24"/>
          <w:lang w:val="en-GB" w:eastAsia="fr-FR" w:bidi="dz-BT"/>
        </w:rPr>
        <w:t xml:space="preserve">, N. </w:t>
      </w:r>
      <w:r w:rsidRPr="00924468">
        <w:rPr>
          <w:rFonts w:ascii="Times New Roman" w:eastAsia="Times New Roman" w:hAnsi="Times New Roman" w:cs="Times New Roman"/>
          <w:sz w:val="24"/>
          <w:szCs w:val="24"/>
          <w:lang w:val="en-GB" w:eastAsia="fr-FR" w:bidi="dz-BT"/>
        </w:rPr>
        <w:t>Beaudoin</w:t>
      </w:r>
      <w:r w:rsidRPr="003A3FA4">
        <w:rPr>
          <w:rFonts w:ascii="Times New Roman" w:eastAsia="Times New Roman" w:hAnsi="Times New Roman" w:cs="Times New Roman"/>
          <w:sz w:val="24"/>
          <w:szCs w:val="24"/>
          <w:lang w:val="en-GB" w:eastAsia="fr-FR" w:bidi="dz-BT"/>
        </w:rPr>
        <w:t xml:space="preserve">, S. </w:t>
      </w:r>
      <w:proofErr w:type="spellStart"/>
      <w:r w:rsidRPr="00924468">
        <w:rPr>
          <w:rFonts w:ascii="Times New Roman" w:eastAsia="Times New Roman" w:hAnsi="Times New Roman" w:cs="Times New Roman"/>
          <w:sz w:val="24"/>
          <w:szCs w:val="24"/>
          <w:lang w:val="en-GB" w:eastAsia="fr-FR" w:bidi="dz-BT"/>
        </w:rPr>
        <w:t>Recous</w:t>
      </w:r>
      <w:proofErr w:type="spellEnd"/>
      <w:r w:rsidRPr="003A3FA4">
        <w:rPr>
          <w:rFonts w:ascii="Times New Roman" w:eastAsia="Times New Roman" w:hAnsi="Times New Roman" w:cs="Times New Roman"/>
          <w:sz w:val="24"/>
          <w:szCs w:val="24"/>
          <w:lang w:val="en-GB" w:eastAsia="fr-FR" w:bidi="dz-BT"/>
        </w:rPr>
        <w:t xml:space="preserve">, X. </w:t>
      </w:r>
      <w:proofErr w:type="spellStart"/>
      <w:r w:rsidRPr="00924468">
        <w:rPr>
          <w:rFonts w:ascii="Times New Roman" w:eastAsia="Times New Roman" w:hAnsi="Times New Roman" w:cs="Times New Roman"/>
          <w:sz w:val="24"/>
          <w:szCs w:val="24"/>
          <w:lang w:val="en-GB" w:eastAsia="fr-FR" w:bidi="dz-BT"/>
        </w:rPr>
        <w:lastRenderedPageBreak/>
        <w:t>Tayot</w:t>
      </w:r>
      <w:proofErr w:type="spellEnd"/>
      <w:r w:rsidRPr="003A3FA4">
        <w:rPr>
          <w:rFonts w:ascii="Times New Roman" w:eastAsia="Times New Roman" w:hAnsi="Times New Roman" w:cs="Times New Roman"/>
          <w:sz w:val="24"/>
          <w:szCs w:val="24"/>
          <w:lang w:val="en-GB" w:eastAsia="fr-FR" w:bidi="dz-BT"/>
        </w:rPr>
        <w:t xml:space="preserve">, D. </w:t>
      </w:r>
      <w:proofErr w:type="spellStart"/>
      <w:r w:rsidRPr="00924468">
        <w:rPr>
          <w:rFonts w:ascii="Times New Roman" w:eastAsia="Times New Roman" w:hAnsi="Times New Roman" w:cs="Times New Roman"/>
          <w:sz w:val="24"/>
          <w:szCs w:val="24"/>
          <w:lang w:val="en-GB" w:eastAsia="fr-FR" w:bidi="dz-BT"/>
        </w:rPr>
        <w:t>Plenet</w:t>
      </w:r>
      <w:proofErr w:type="spellEnd"/>
      <w:r w:rsidRPr="003A3FA4">
        <w:rPr>
          <w:rFonts w:ascii="Times New Roman" w:eastAsia="Times New Roman" w:hAnsi="Times New Roman" w:cs="Times New Roman"/>
          <w:sz w:val="24"/>
          <w:szCs w:val="24"/>
          <w:lang w:val="en-GB" w:eastAsia="fr-FR" w:bidi="dz-BT"/>
        </w:rPr>
        <w:t xml:space="preserve">, P. </w:t>
      </w:r>
      <w:r w:rsidRPr="00924468">
        <w:rPr>
          <w:rFonts w:ascii="Times New Roman" w:eastAsia="Times New Roman" w:hAnsi="Times New Roman" w:cs="Times New Roman"/>
          <w:sz w:val="24"/>
          <w:szCs w:val="24"/>
          <w:lang w:val="en-GB" w:eastAsia="fr-FR" w:bidi="dz-BT"/>
        </w:rPr>
        <w:t>Cellier</w:t>
      </w:r>
      <w:r w:rsidRPr="003A3FA4">
        <w:rPr>
          <w:rFonts w:ascii="Times New Roman" w:eastAsia="Times New Roman" w:hAnsi="Times New Roman" w:cs="Times New Roman"/>
          <w:sz w:val="24"/>
          <w:szCs w:val="24"/>
          <w:lang w:val="en-GB" w:eastAsia="fr-FR" w:bidi="dz-BT"/>
        </w:rPr>
        <w:t xml:space="preserve">, J.-M. </w:t>
      </w:r>
      <w:r w:rsidRPr="00924468">
        <w:rPr>
          <w:rFonts w:ascii="Times New Roman" w:eastAsia="Times New Roman" w:hAnsi="Times New Roman" w:cs="Times New Roman"/>
          <w:sz w:val="24"/>
          <w:szCs w:val="24"/>
          <w:lang w:val="en-GB" w:eastAsia="fr-FR" w:bidi="dz-BT"/>
        </w:rPr>
        <w:t>Machet</w:t>
      </w:r>
      <w:r w:rsidRPr="003A3FA4">
        <w:rPr>
          <w:rFonts w:ascii="Times New Roman" w:eastAsia="Times New Roman" w:hAnsi="Times New Roman" w:cs="Times New Roman"/>
          <w:sz w:val="24"/>
          <w:szCs w:val="24"/>
          <w:lang w:val="en-GB" w:eastAsia="fr-FR" w:bidi="dz-BT"/>
        </w:rPr>
        <w:t xml:space="preserve">, M. </w:t>
      </w:r>
      <w:r w:rsidRPr="00924468">
        <w:rPr>
          <w:rFonts w:ascii="Times New Roman" w:eastAsia="Times New Roman" w:hAnsi="Times New Roman" w:cs="Times New Roman"/>
          <w:sz w:val="24"/>
          <w:szCs w:val="24"/>
          <w:lang w:val="en-GB" w:eastAsia="fr-FR" w:bidi="dz-BT"/>
        </w:rPr>
        <w:t>Jean-Marc</w:t>
      </w:r>
      <w:r w:rsidRPr="003A3FA4">
        <w:rPr>
          <w:rFonts w:ascii="Times New Roman" w:eastAsia="Times New Roman" w:hAnsi="Times New Roman" w:cs="Times New Roman"/>
          <w:sz w:val="24"/>
          <w:szCs w:val="24"/>
          <w:lang w:val="en-GB" w:eastAsia="fr-FR" w:bidi="dz-BT"/>
        </w:rPr>
        <w:t xml:space="preserve"> et R. </w:t>
      </w:r>
      <w:proofErr w:type="spellStart"/>
      <w:r w:rsidRPr="00924468">
        <w:rPr>
          <w:rFonts w:ascii="Times New Roman" w:eastAsia="Times New Roman" w:hAnsi="Times New Roman" w:cs="Times New Roman"/>
          <w:sz w:val="24"/>
          <w:szCs w:val="24"/>
          <w:lang w:val="en-GB" w:eastAsia="fr-FR" w:bidi="dz-BT"/>
        </w:rPr>
        <w:t>Delécolle</w:t>
      </w:r>
      <w:proofErr w:type="spellEnd"/>
      <w:r w:rsidRPr="003A3FA4">
        <w:rPr>
          <w:rFonts w:ascii="Times New Roman" w:eastAsia="Times New Roman" w:hAnsi="Times New Roman" w:cs="Times New Roman"/>
          <w:sz w:val="24"/>
          <w:szCs w:val="24"/>
          <w:lang w:val="en-GB" w:eastAsia="fr-FR" w:bidi="dz-BT"/>
        </w:rPr>
        <w:t>, « STICS: A generic model for the simulation of crops and their water and nitrogen balances. I. Theory and parameterization applied to wheat and corn », 10.1051/agro:19980501, 18, 1998.</w:t>
      </w:r>
    </w:p>
    <w:p w14:paraId="5B819F2E" w14:textId="77777777" w:rsidR="001318C1" w:rsidRPr="00924468" w:rsidRDefault="001318C1" w:rsidP="003A3FA4">
      <w:pPr>
        <w:pStyle w:val="Paragraphedeliste"/>
        <w:jc w:val="both"/>
        <w:rPr>
          <w:rFonts w:ascii="Times New Roman" w:eastAsia="Times New Roman" w:hAnsi="Times New Roman" w:cs="Times New Roman"/>
          <w:sz w:val="24"/>
          <w:szCs w:val="24"/>
          <w:lang w:val="en-GB" w:eastAsia="fr-FR" w:bidi="dz-BT"/>
        </w:rPr>
      </w:pPr>
    </w:p>
    <w:p w14:paraId="513AE575" w14:textId="5DFC8F5D" w:rsidR="001318C1" w:rsidRPr="00924468" w:rsidRDefault="001318C1" w:rsidP="003A3FA4">
      <w:pPr>
        <w:pStyle w:val="Paragraphedeliste"/>
        <w:numPr>
          <w:ilvl w:val="0"/>
          <w:numId w:val="1"/>
        </w:numPr>
        <w:jc w:val="both"/>
        <w:rPr>
          <w:rFonts w:ascii="Times New Roman" w:eastAsia="Times New Roman" w:hAnsi="Times New Roman" w:cs="Times New Roman"/>
          <w:sz w:val="24"/>
          <w:szCs w:val="24"/>
          <w:lang w:val="en-GB" w:eastAsia="fr-FR" w:bidi="dz-BT"/>
        </w:rPr>
      </w:pPr>
      <w:r w:rsidRPr="00736AB2">
        <w:rPr>
          <w:rFonts w:ascii="Times New Roman" w:eastAsia="Times New Roman" w:hAnsi="Times New Roman" w:cs="Times New Roman"/>
          <w:sz w:val="24"/>
          <w:szCs w:val="24"/>
          <w:lang w:val="en-GB" w:eastAsia="fr-FR" w:bidi="dz-BT"/>
        </w:rPr>
        <w:t xml:space="preserve">E. Mougin, D. Lo Seena, S. </w:t>
      </w:r>
      <w:proofErr w:type="spellStart"/>
      <w:r w:rsidRPr="00736AB2">
        <w:rPr>
          <w:rFonts w:ascii="Times New Roman" w:eastAsia="Times New Roman" w:hAnsi="Times New Roman" w:cs="Times New Roman"/>
          <w:sz w:val="24"/>
          <w:szCs w:val="24"/>
          <w:lang w:val="en-GB" w:eastAsia="fr-FR" w:bidi="dz-BT"/>
        </w:rPr>
        <w:t>Rambal</w:t>
      </w:r>
      <w:proofErr w:type="spellEnd"/>
      <w:r w:rsidRPr="00736AB2">
        <w:rPr>
          <w:rFonts w:ascii="Times New Roman" w:eastAsia="Times New Roman" w:hAnsi="Times New Roman" w:cs="Times New Roman"/>
          <w:sz w:val="24"/>
          <w:szCs w:val="24"/>
          <w:lang w:val="en-GB" w:eastAsia="fr-FR" w:bidi="dz-BT"/>
        </w:rPr>
        <w:t xml:space="preserve">, A. Gaston et P. </w:t>
      </w:r>
      <w:proofErr w:type="spellStart"/>
      <w:r w:rsidRPr="00736AB2">
        <w:rPr>
          <w:rFonts w:ascii="Times New Roman" w:eastAsia="Times New Roman" w:hAnsi="Times New Roman" w:cs="Times New Roman"/>
          <w:sz w:val="24"/>
          <w:szCs w:val="24"/>
          <w:lang w:val="en-GB" w:eastAsia="fr-FR" w:bidi="dz-BT"/>
        </w:rPr>
        <w:t>Hiernaux</w:t>
      </w:r>
      <w:proofErr w:type="spellEnd"/>
      <w:r w:rsidRPr="00736AB2">
        <w:rPr>
          <w:rFonts w:ascii="Times New Roman" w:eastAsia="Times New Roman" w:hAnsi="Times New Roman" w:cs="Times New Roman"/>
          <w:sz w:val="24"/>
          <w:szCs w:val="24"/>
          <w:lang w:val="en-GB" w:eastAsia="fr-FR" w:bidi="dz-BT"/>
        </w:rPr>
        <w:t>, « A regional Sahelian grassland model to be coupled with multispectral satellite data. I: Model description and validation », Remote Sensing of Environment,</w:t>
      </w:r>
      <w:r w:rsidRPr="00924468">
        <w:rPr>
          <w:rFonts w:ascii="Times New Roman" w:eastAsia="Times New Roman" w:hAnsi="Times New Roman" w:cs="Times New Roman"/>
          <w:sz w:val="24"/>
          <w:szCs w:val="24"/>
          <w:lang w:val="en-GB" w:eastAsia="fr-FR" w:bidi="dz-BT"/>
        </w:rPr>
        <w:t xml:space="preserve"> 10.1016/0034-4257(94)00126-8,</w:t>
      </w:r>
      <w:r w:rsidRPr="00736AB2">
        <w:rPr>
          <w:rFonts w:ascii="Times New Roman" w:eastAsia="Times New Roman" w:hAnsi="Times New Roman" w:cs="Times New Roman"/>
          <w:sz w:val="24"/>
          <w:szCs w:val="24"/>
          <w:lang w:val="en-GB" w:eastAsia="fr-FR" w:bidi="dz-BT"/>
        </w:rPr>
        <w:t xml:space="preserve"> 52-3, 1995, p. 181</w:t>
      </w:r>
      <w:r w:rsidRPr="00736AB2">
        <w:rPr>
          <w:rFonts w:ascii="Times New Roman" w:eastAsia="Times New Roman" w:hAnsi="Times New Roman" w:cs="Times New Roman"/>
          <w:sz w:val="24"/>
          <w:szCs w:val="24"/>
          <w:lang w:val="en-GB" w:eastAsia="fr-FR" w:bidi="dz-BT"/>
        </w:rPr>
        <w:noBreakHyphen/>
        <w:t>193.</w:t>
      </w:r>
    </w:p>
    <w:sectPr w:rsidR="001318C1" w:rsidRPr="009244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68B3F" w14:textId="77777777" w:rsidR="00255B4A" w:rsidRDefault="00255B4A" w:rsidP="00736AB2">
      <w:pPr>
        <w:spacing w:after="0" w:line="240" w:lineRule="auto"/>
      </w:pPr>
      <w:r>
        <w:separator/>
      </w:r>
    </w:p>
  </w:endnote>
  <w:endnote w:type="continuationSeparator" w:id="0">
    <w:p w14:paraId="5ABFE601" w14:textId="77777777" w:rsidR="00255B4A" w:rsidRDefault="00255B4A" w:rsidP="0073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09E69" w14:textId="77777777" w:rsidR="00255B4A" w:rsidRDefault="00255B4A" w:rsidP="00736AB2">
      <w:pPr>
        <w:spacing w:after="0" w:line="240" w:lineRule="auto"/>
      </w:pPr>
      <w:r>
        <w:separator/>
      </w:r>
    </w:p>
  </w:footnote>
  <w:footnote w:type="continuationSeparator" w:id="0">
    <w:p w14:paraId="55AA92C3" w14:textId="77777777" w:rsidR="00255B4A" w:rsidRDefault="00255B4A" w:rsidP="00736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26CB8"/>
    <w:multiLevelType w:val="hybridMultilevel"/>
    <w:tmpl w:val="268C2AC0"/>
    <w:lvl w:ilvl="0" w:tplc="D57C73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8874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2"/>
    <w:rsid w:val="000332AE"/>
    <w:rsid w:val="001318C1"/>
    <w:rsid w:val="00200425"/>
    <w:rsid w:val="00255B4A"/>
    <w:rsid w:val="00325C5D"/>
    <w:rsid w:val="003506D1"/>
    <w:rsid w:val="003520EF"/>
    <w:rsid w:val="003654EF"/>
    <w:rsid w:val="003A3FA4"/>
    <w:rsid w:val="004076EB"/>
    <w:rsid w:val="004F3B9C"/>
    <w:rsid w:val="00556B16"/>
    <w:rsid w:val="00582D68"/>
    <w:rsid w:val="00641A8B"/>
    <w:rsid w:val="0066101A"/>
    <w:rsid w:val="00736AB2"/>
    <w:rsid w:val="00746B82"/>
    <w:rsid w:val="00755A2C"/>
    <w:rsid w:val="007F0244"/>
    <w:rsid w:val="008E1B6A"/>
    <w:rsid w:val="009120C8"/>
    <w:rsid w:val="00921687"/>
    <w:rsid w:val="00924468"/>
    <w:rsid w:val="0097699A"/>
    <w:rsid w:val="009E4F33"/>
    <w:rsid w:val="009F342C"/>
    <w:rsid w:val="00A05545"/>
    <w:rsid w:val="00A31ACF"/>
    <w:rsid w:val="00A64EBD"/>
    <w:rsid w:val="00A658CE"/>
    <w:rsid w:val="00A810EE"/>
    <w:rsid w:val="00A90F8D"/>
    <w:rsid w:val="00A9397E"/>
    <w:rsid w:val="00BD6309"/>
    <w:rsid w:val="00C8110A"/>
    <w:rsid w:val="00CB214D"/>
    <w:rsid w:val="00D24850"/>
    <w:rsid w:val="00D6385A"/>
    <w:rsid w:val="00DA2D6C"/>
    <w:rsid w:val="00DF6402"/>
    <w:rsid w:val="00E222E0"/>
    <w:rsid w:val="00E46203"/>
    <w:rsid w:val="00F70D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B6C5"/>
  <w15:chartTrackingRefBased/>
  <w15:docId w15:val="{4BE33F68-849F-4E35-8725-1FBAE9B5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6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46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46B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46B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46B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46B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6B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6B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6B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6B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46B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46B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46B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46B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46B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6B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6B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6B82"/>
    <w:rPr>
      <w:rFonts w:eastAsiaTheme="majorEastAsia" w:cstheme="majorBidi"/>
      <w:color w:val="272727" w:themeColor="text1" w:themeTint="D8"/>
    </w:rPr>
  </w:style>
  <w:style w:type="paragraph" w:styleId="Titre">
    <w:name w:val="Title"/>
    <w:basedOn w:val="Normal"/>
    <w:next w:val="Normal"/>
    <w:link w:val="TitreCar"/>
    <w:uiPriority w:val="10"/>
    <w:qFormat/>
    <w:rsid w:val="00746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B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6B8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6B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6B82"/>
    <w:pPr>
      <w:spacing w:before="160"/>
      <w:jc w:val="center"/>
    </w:pPr>
    <w:rPr>
      <w:i/>
      <w:iCs/>
      <w:color w:val="404040" w:themeColor="text1" w:themeTint="BF"/>
    </w:rPr>
  </w:style>
  <w:style w:type="character" w:customStyle="1" w:styleId="CitationCar">
    <w:name w:val="Citation Car"/>
    <w:basedOn w:val="Policepardfaut"/>
    <w:link w:val="Citation"/>
    <w:uiPriority w:val="29"/>
    <w:rsid w:val="00746B82"/>
    <w:rPr>
      <w:i/>
      <w:iCs/>
      <w:color w:val="404040" w:themeColor="text1" w:themeTint="BF"/>
    </w:rPr>
  </w:style>
  <w:style w:type="paragraph" w:styleId="Paragraphedeliste">
    <w:name w:val="List Paragraph"/>
    <w:basedOn w:val="Normal"/>
    <w:uiPriority w:val="34"/>
    <w:qFormat/>
    <w:rsid w:val="00746B82"/>
    <w:pPr>
      <w:ind w:left="720"/>
      <w:contextualSpacing/>
    </w:pPr>
  </w:style>
  <w:style w:type="character" w:styleId="Accentuationintense">
    <w:name w:val="Intense Emphasis"/>
    <w:basedOn w:val="Policepardfaut"/>
    <w:uiPriority w:val="21"/>
    <w:qFormat/>
    <w:rsid w:val="00746B82"/>
    <w:rPr>
      <w:i/>
      <w:iCs/>
      <w:color w:val="0F4761" w:themeColor="accent1" w:themeShade="BF"/>
    </w:rPr>
  </w:style>
  <w:style w:type="paragraph" w:styleId="Citationintense">
    <w:name w:val="Intense Quote"/>
    <w:basedOn w:val="Normal"/>
    <w:next w:val="Normal"/>
    <w:link w:val="CitationintenseCar"/>
    <w:uiPriority w:val="30"/>
    <w:qFormat/>
    <w:rsid w:val="00746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46B82"/>
    <w:rPr>
      <w:i/>
      <w:iCs/>
      <w:color w:val="0F4761" w:themeColor="accent1" w:themeShade="BF"/>
    </w:rPr>
  </w:style>
  <w:style w:type="character" w:styleId="Rfrenceintense">
    <w:name w:val="Intense Reference"/>
    <w:basedOn w:val="Policepardfaut"/>
    <w:uiPriority w:val="32"/>
    <w:qFormat/>
    <w:rsid w:val="00746B82"/>
    <w:rPr>
      <w:b/>
      <w:bCs/>
      <w:smallCaps/>
      <w:color w:val="0F4761" w:themeColor="accent1" w:themeShade="BF"/>
      <w:spacing w:val="5"/>
    </w:rPr>
  </w:style>
  <w:style w:type="character" w:styleId="Lienhypertexte">
    <w:name w:val="Hyperlink"/>
    <w:basedOn w:val="Policepardfaut"/>
    <w:uiPriority w:val="99"/>
    <w:unhideWhenUsed/>
    <w:rsid w:val="004F3B9C"/>
    <w:rPr>
      <w:color w:val="467886" w:themeColor="hyperlink"/>
      <w:u w:val="single"/>
    </w:rPr>
  </w:style>
  <w:style w:type="character" w:styleId="Mentionnonrsolue">
    <w:name w:val="Unresolved Mention"/>
    <w:basedOn w:val="Policepardfaut"/>
    <w:uiPriority w:val="99"/>
    <w:semiHidden/>
    <w:unhideWhenUsed/>
    <w:rsid w:val="00D6385A"/>
    <w:rPr>
      <w:color w:val="605E5C"/>
      <w:shd w:val="clear" w:color="auto" w:fill="E1DFDD"/>
    </w:rPr>
  </w:style>
  <w:style w:type="paragraph" w:styleId="Notedebasdepage">
    <w:name w:val="footnote text"/>
    <w:basedOn w:val="Normal"/>
    <w:link w:val="NotedebasdepageCar"/>
    <w:uiPriority w:val="99"/>
    <w:semiHidden/>
    <w:unhideWhenUsed/>
    <w:rsid w:val="00736AB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36AB2"/>
    <w:rPr>
      <w:sz w:val="20"/>
      <w:szCs w:val="20"/>
    </w:rPr>
  </w:style>
  <w:style w:type="character" w:styleId="Appelnotedebasdep">
    <w:name w:val="footnote reference"/>
    <w:basedOn w:val="Policepardfaut"/>
    <w:uiPriority w:val="99"/>
    <w:semiHidden/>
    <w:unhideWhenUsed/>
    <w:rsid w:val="00736A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4654">
      <w:bodyDiv w:val="1"/>
      <w:marLeft w:val="0"/>
      <w:marRight w:val="0"/>
      <w:marTop w:val="0"/>
      <w:marBottom w:val="0"/>
      <w:divBdr>
        <w:top w:val="none" w:sz="0" w:space="0" w:color="auto"/>
        <w:left w:val="none" w:sz="0" w:space="0" w:color="auto"/>
        <w:bottom w:val="none" w:sz="0" w:space="0" w:color="auto"/>
        <w:right w:val="none" w:sz="0" w:space="0" w:color="auto"/>
      </w:divBdr>
      <w:divsChild>
        <w:div w:id="1904675954">
          <w:marLeft w:val="0"/>
          <w:marRight w:val="0"/>
          <w:marTop w:val="0"/>
          <w:marBottom w:val="0"/>
          <w:divBdr>
            <w:top w:val="none" w:sz="0" w:space="0" w:color="auto"/>
            <w:left w:val="none" w:sz="0" w:space="0" w:color="auto"/>
            <w:bottom w:val="none" w:sz="0" w:space="0" w:color="auto"/>
            <w:right w:val="none" w:sz="0" w:space="0" w:color="auto"/>
          </w:divBdr>
          <w:divsChild>
            <w:div w:id="3791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022">
      <w:bodyDiv w:val="1"/>
      <w:marLeft w:val="0"/>
      <w:marRight w:val="0"/>
      <w:marTop w:val="0"/>
      <w:marBottom w:val="0"/>
      <w:divBdr>
        <w:top w:val="none" w:sz="0" w:space="0" w:color="auto"/>
        <w:left w:val="none" w:sz="0" w:space="0" w:color="auto"/>
        <w:bottom w:val="none" w:sz="0" w:space="0" w:color="auto"/>
        <w:right w:val="none" w:sz="0" w:space="0" w:color="auto"/>
      </w:divBdr>
      <w:divsChild>
        <w:div w:id="826634628">
          <w:marLeft w:val="0"/>
          <w:marRight w:val="0"/>
          <w:marTop w:val="0"/>
          <w:marBottom w:val="0"/>
          <w:divBdr>
            <w:top w:val="none" w:sz="0" w:space="0" w:color="auto"/>
            <w:left w:val="none" w:sz="0" w:space="0" w:color="auto"/>
            <w:bottom w:val="none" w:sz="0" w:space="0" w:color="auto"/>
            <w:right w:val="none" w:sz="0" w:space="0" w:color="auto"/>
          </w:divBdr>
          <w:divsChild>
            <w:div w:id="93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297">
      <w:bodyDiv w:val="1"/>
      <w:marLeft w:val="0"/>
      <w:marRight w:val="0"/>
      <w:marTop w:val="0"/>
      <w:marBottom w:val="0"/>
      <w:divBdr>
        <w:top w:val="none" w:sz="0" w:space="0" w:color="auto"/>
        <w:left w:val="none" w:sz="0" w:space="0" w:color="auto"/>
        <w:bottom w:val="none" w:sz="0" w:space="0" w:color="auto"/>
        <w:right w:val="none" w:sz="0" w:space="0" w:color="auto"/>
      </w:divBdr>
      <w:divsChild>
        <w:div w:id="984434840">
          <w:marLeft w:val="0"/>
          <w:marRight w:val="0"/>
          <w:marTop w:val="0"/>
          <w:marBottom w:val="0"/>
          <w:divBdr>
            <w:top w:val="none" w:sz="0" w:space="0" w:color="auto"/>
            <w:left w:val="none" w:sz="0" w:space="0" w:color="auto"/>
            <w:bottom w:val="none" w:sz="0" w:space="0" w:color="auto"/>
            <w:right w:val="none" w:sz="0" w:space="0" w:color="auto"/>
          </w:divBdr>
          <w:divsChild>
            <w:div w:id="1182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8751">
      <w:bodyDiv w:val="1"/>
      <w:marLeft w:val="0"/>
      <w:marRight w:val="0"/>
      <w:marTop w:val="0"/>
      <w:marBottom w:val="0"/>
      <w:divBdr>
        <w:top w:val="none" w:sz="0" w:space="0" w:color="auto"/>
        <w:left w:val="none" w:sz="0" w:space="0" w:color="auto"/>
        <w:bottom w:val="none" w:sz="0" w:space="0" w:color="auto"/>
        <w:right w:val="none" w:sz="0" w:space="0" w:color="auto"/>
      </w:divBdr>
      <w:divsChild>
        <w:div w:id="2120449140">
          <w:marLeft w:val="0"/>
          <w:marRight w:val="0"/>
          <w:marTop w:val="0"/>
          <w:marBottom w:val="0"/>
          <w:divBdr>
            <w:top w:val="none" w:sz="0" w:space="0" w:color="auto"/>
            <w:left w:val="none" w:sz="0" w:space="0" w:color="auto"/>
            <w:bottom w:val="none" w:sz="0" w:space="0" w:color="auto"/>
            <w:right w:val="none" w:sz="0" w:space="0" w:color="auto"/>
          </w:divBdr>
          <w:divsChild>
            <w:div w:id="19273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5399">
      <w:bodyDiv w:val="1"/>
      <w:marLeft w:val="0"/>
      <w:marRight w:val="0"/>
      <w:marTop w:val="0"/>
      <w:marBottom w:val="0"/>
      <w:divBdr>
        <w:top w:val="none" w:sz="0" w:space="0" w:color="auto"/>
        <w:left w:val="none" w:sz="0" w:space="0" w:color="auto"/>
        <w:bottom w:val="none" w:sz="0" w:space="0" w:color="auto"/>
        <w:right w:val="none" w:sz="0" w:space="0" w:color="auto"/>
      </w:divBdr>
      <w:divsChild>
        <w:div w:id="1003774673">
          <w:marLeft w:val="0"/>
          <w:marRight w:val="0"/>
          <w:marTop w:val="0"/>
          <w:marBottom w:val="0"/>
          <w:divBdr>
            <w:top w:val="none" w:sz="0" w:space="0" w:color="auto"/>
            <w:left w:val="none" w:sz="0" w:space="0" w:color="auto"/>
            <w:bottom w:val="none" w:sz="0" w:space="0" w:color="auto"/>
            <w:right w:val="none" w:sz="0" w:space="0" w:color="auto"/>
          </w:divBdr>
          <w:divsChild>
            <w:div w:id="1080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7838">
      <w:bodyDiv w:val="1"/>
      <w:marLeft w:val="0"/>
      <w:marRight w:val="0"/>
      <w:marTop w:val="0"/>
      <w:marBottom w:val="0"/>
      <w:divBdr>
        <w:top w:val="none" w:sz="0" w:space="0" w:color="auto"/>
        <w:left w:val="none" w:sz="0" w:space="0" w:color="auto"/>
        <w:bottom w:val="none" w:sz="0" w:space="0" w:color="auto"/>
        <w:right w:val="none" w:sz="0" w:space="0" w:color="auto"/>
      </w:divBdr>
      <w:divsChild>
        <w:div w:id="1951739619">
          <w:marLeft w:val="0"/>
          <w:marRight w:val="0"/>
          <w:marTop w:val="0"/>
          <w:marBottom w:val="0"/>
          <w:divBdr>
            <w:top w:val="none" w:sz="0" w:space="0" w:color="auto"/>
            <w:left w:val="none" w:sz="0" w:space="0" w:color="auto"/>
            <w:bottom w:val="none" w:sz="0" w:space="0" w:color="auto"/>
            <w:right w:val="none" w:sz="0" w:space="0" w:color="auto"/>
          </w:divBdr>
          <w:divsChild>
            <w:div w:id="17662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593">
      <w:bodyDiv w:val="1"/>
      <w:marLeft w:val="0"/>
      <w:marRight w:val="0"/>
      <w:marTop w:val="0"/>
      <w:marBottom w:val="0"/>
      <w:divBdr>
        <w:top w:val="none" w:sz="0" w:space="0" w:color="auto"/>
        <w:left w:val="none" w:sz="0" w:space="0" w:color="auto"/>
        <w:bottom w:val="none" w:sz="0" w:space="0" w:color="auto"/>
        <w:right w:val="none" w:sz="0" w:space="0" w:color="auto"/>
      </w:divBdr>
    </w:div>
    <w:div w:id="1105535058">
      <w:bodyDiv w:val="1"/>
      <w:marLeft w:val="0"/>
      <w:marRight w:val="0"/>
      <w:marTop w:val="0"/>
      <w:marBottom w:val="0"/>
      <w:divBdr>
        <w:top w:val="none" w:sz="0" w:space="0" w:color="auto"/>
        <w:left w:val="none" w:sz="0" w:space="0" w:color="auto"/>
        <w:bottom w:val="none" w:sz="0" w:space="0" w:color="auto"/>
        <w:right w:val="none" w:sz="0" w:space="0" w:color="auto"/>
      </w:divBdr>
    </w:div>
    <w:div w:id="1174760903">
      <w:bodyDiv w:val="1"/>
      <w:marLeft w:val="0"/>
      <w:marRight w:val="0"/>
      <w:marTop w:val="0"/>
      <w:marBottom w:val="0"/>
      <w:divBdr>
        <w:top w:val="none" w:sz="0" w:space="0" w:color="auto"/>
        <w:left w:val="none" w:sz="0" w:space="0" w:color="auto"/>
        <w:bottom w:val="none" w:sz="0" w:space="0" w:color="auto"/>
        <w:right w:val="none" w:sz="0" w:space="0" w:color="auto"/>
      </w:divBdr>
      <w:divsChild>
        <w:div w:id="1356882352">
          <w:marLeft w:val="0"/>
          <w:marRight w:val="0"/>
          <w:marTop w:val="0"/>
          <w:marBottom w:val="0"/>
          <w:divBdr>
            <w:top w:val="none" w:sz="0" w:space="0" w:color="auto"/>
            <w:left w:val="none" w:sz="0" w:space="0" w:color="auto"/>
            <w:bottom w:val="none" w:sz="0" w:space="0" w:color="auto"/>
            <w:right w:val="none" w:sz="0" w:space="0" w:color="auto"/>
          </w:divBdr>
          <w:divsChild>
            <w:div w:id="548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221">
      <w:bodyDiv w:val="1"/>
      <w:marLeft w:val="0"/>
      <w:marRight w:val="0"/>
      <w:marTop w:val="0"/>
      <w:marBottom w:val="0"/>
      <w:divBdr>
        <w:top w:val="none" w:sz="0" w:space="0" w:color="auto"/>
        <w:left w:val="none" w:sz="0" w:space="0" w:color="auto"/>
        <w:bottom w:val="none" w:sz="0" w:space="0" w:color="auto"/>
        <w:right w:val="none" w:sz="0" w:space="0" w:color="auto"/>
      </w:divBdr>
      <w:divsChild>
        <w:div w:id="1198661249">
          <w:marLeft w:val="0"/>
          <w:marRight w:val="0"/>
          <w:marTop w:val="0"/>
          <w:marBottom w:val="0"/>
          <w:divBdr>
            <w:top w:val="none" w:sz="0" w:space="0" w:color="auto"/>
            <w:left w:val="none" w:sz="0" w:space="0" w:color="auto"/>
            <w:bottom w:val="none" w:sz="0" w:space="0" w:color="auto"/>
            <w:right w:val="none" w:sz="0" w:space="0" w:color="auto"/>
          </w:divBdr>
          <w:divsChild>
            <w:div w:id="1975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654">
      <w:bodyDiv w:val="1"/>
      <w:marLeft w:val="0"/>
      <w:marRight w:val="0"/>
      <w:marTop w:val="0"/>
      <w:marBottom w:val="0"/>
      <w:divBdr>
        <w:top w:val="none" w:sz="0" w:space="0" w:color="auto"/>
        <w:left w:val="none" w:sz="0" w:space="0" w:color="auto"/>
        <w:bottom w:val="none" w:sz="0" w:space="0" w:color="auto"/>
        <w:right w:val="none" w:sz="0" w:space="0" w:color="auto"/>
      </w:divBdr>
    </w:div>
    <w:div w:id="1572472103">
      <w:bodyDiv w:val="1"/>
      <w:marLeft w:val="0"/>
      <w:marRight w:val="0"/>
      <w:marTop w:val="0"/>
      <w:marBottom w:val="0"/>
      <w:divBdr>
        <w:top w:val="none" w:sz="0" w:space="0" w:color="auto"/>
        <w:left w:val="none" w:sz="0" w:space="0" w:color="auto"/>
        <w:bottom w:val="none" w:sz="0" w:space="0" w:color="auto"/>
        <w:right w:val="none" w:sz="0" w:space="0" w:color="auto"/>
      </w:divBdr>
      <w:divsChild>
        <w:div w:id="1647274100">
          <w:marLeft w:val="0"/>
          <w:marRight w:val="0"/>
          <w:marTop w:val="0"/>
          <w:marBottom w:val="0"/>
          <w:divBdr>
            <w:top w:val="none" w:sz="0" w:space="0" w:color="auto"/>
            <w:left w:val="none" w:sz="0" w:space="0" w:color="auto"/>
            <w:bottom w:val="none" w:sz="0" w:space="0" w:color="auto"/>
            <w:right w:val="none" w:sz="0" w:space="0" w:color="auto"/>
          </w:divBdr>
          <w:divsChild>
            <w:div w:id="15428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427">
      <w:bodyDiv w:val="1"/>
      <w:marLeft w:val="0"/>
      <w:marRight w:val="0"/>
      <w:marTop w:val="0"/>
      <w:marBottom w:val="0"/>
      <w:divBdr>
        <w:top w:val="none" w:sz="0" w:space="0" w:color="auto"/>
        <w:left w:val="none" w:sz="0" w:space="0" w:color="auto"/>
        <w:bottom w:val="none" w:sz="0" w:space="0" w:color="auto"/>
        <w:right w:val="none" w:sz="0" w:space="0" w:color="auto"/>
      </w:divBdr>
      <w:divsChild>
        <w:div w:id="114104164">
          <w:marLeft w:val="0"/>
          <w:marRight w:val="0"/>
          <w:marTop w:val="0"/>
          <w:marBottom w:val="0"/>
          <w:divBdr>
            <w:top w:val="none" w:sz="0" w:space="0" w:color="auto"/>
            <w:left w:val="none" w:sz="0" w:space="0" w:color="auto"/>
            <w:bottom w:val="none" w:sz="0" w:space="0" w:color="auto"/>
            <w:right w:val="none" w:sz="0" w:space="0" w:color="auto"/>
          </w:divBdr>
          <w:divsChild>
            <w:div w:id="20106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3366">
      <w:bodyDiv w:val="1"/>
      <w:marLeft w:val="0"/>
      <w:marRight w:val="0"/>
      <w:marTop w:val="0"/>
      <w:marBottom w:val="0"/>
      <w:divBdr>
        <w:top w:val="none" w:sz="0" w:space="0" w:color="auto"/>
        <w:left w:val="none" w:sz="0" w:space="0" w:color="auto"/>
        <w:bottom w:val="none" w:sz="0" w:space="0" w:color="auto"/>
        <w:right w:val="none" w:sz="0" w:space="0" w:color="auto"/>
      </w:divBdr>
      <w:divsChild>
        <w:div w:id="593978782">
          <w:marLeft w:val="0"/>
          <w:marRight w:val="0"/>
          <w:marTop w:val="0"/>
          <w:marBottom w:val="0"/>
          <w:divBdr>
            <w:top w:val="none" w:sz="0" w:space="0" w:color="auto"/>
            <w:left w:val="none" w:sz="0" w:space="0" w:color="auto"/>
            <w:bottom w:val="none" w:sz="0" w:space="0" w:color="auto"/>
            <w:right w:val="none" w:sz="0" w:space="0" w:color="auto"/>
          </w:divBdr>
          <w:divsChild>
            <w:div w:id="14023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 TargetMode="External"/><Relationship Id="rId13" Type="http://schemas.openxmlformats.org/officeDocument/2006/relationships/hyperlink" Target="https://www.fao.org/faostat/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mateknowledgeportal.worldbank.org/download-data" TargetMode="External"/><Relationship Id="rId17" Type="http://schemas.openxmlformats.org/officeDocument/2006/relationships/hyperlink" Target="https://www.fao.org/livestock-systems/global-distributions/en/" TargetMode="External"/><Relationship Id="rId2" Type="http://schemas.openxmlformats.org/officeDocument/2006/relationships/numbering" Target="numbering.xml"/><Relationship Id="rId16" Type="http://schemas.openxmlformats.org/officeDocument/2006/relationships/hyperlink" Target="https://www.ansd.sn/Indicateur/donnees-de-pop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o.org/faostat/en/" TargetMode="External"/><Relationship Id="rId5" Type="http://schemas.openxmlformats.org/officeDocument/2006/relationships/webSettings" Target="webSettings.xml"/><Relationship Id="rId15" Type="http://schemas.openxmlformats.org/officeDocument/2006/relationships/hyperlink" Target="https://www.ansd.sn/Indicateur/donnees-de-population" TargetMode="External"/><Relationship Id="rId10" Type="http://schemas.openxmlformats.org/officeDocument/2006/relationships/hyperlink" Target="https://www.fao.org/faostat/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o.org/faostat/en/" TargetMode="External"/><Relationship Id="rId14" Type="http://schemas.openxmlformats.org/officeDocument/2006/relationships/hyperlink" Target="https://www.ansd.sn/Indicateur/donnees-de-popul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biblio</b:Tag>
    <b:RefOrder>1</b:RefOrder>
  </b:Source>
</b:Sources>
</file>

<file path=customXml/itemProps1.xml><?xml version="1.0" encoding="utf-8"?>
<ds:datastoreItem xmlns:ds="http://schemas.openxmlformats.org/officeDocument/2006/customXml" ds:itemID="{E576288C-2CBE-48E7-BEF4-CC1A4414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5448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Anem Dupré</dc:creator>
  <cp:keywords/>
  <dc:description/>
  <cp:lastModifiedBy>Anem Dupré</cp:lastModifiedBy>
  <cp:revision>26</cp:revision>
  <dcterms:created xsi:type="dcterms:W3CDTF">2024-08-03T09:00:00Z</dcterms:created>
  <dcterms:modified xsi:type="dcterms:W3CDTF">2024-08-03T19:58:00Z</dcterms:modified>
</cp:coreProperties>
</file>