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pPr>
        <w:pStyle w:val="FirstParagraph"/>
      </w:pPr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pPr>
        <w:pStyle w:val="FirstParagraph"/>
      </w:pPr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pPr>
        <w:pStyle w:val="FirstParagraph"/>
      </w:pPr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  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       z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wo)[(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       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(ag[i]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pPr>
        <w:pStyle w:val="FirstParagraph"/>
      </w:pPr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pPr>
        <w:pStyle w:val="FirstParagraph"/>
      </w:pPr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y0) {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y0)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 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y0)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pPr>
        <w:pStyle w:val="FirstParagraph"/>
      </w:pPr>
      <w:r>
        <w:t xml:space="preserve">Based on the</w:t>
      </w:r>
      <w:r>
        <w:t xml:space="preserve"> </w:t>
      </w:r>
      <w:hyperlink r:id="rId41">
        <w:r>
          <w:rPr>
            <w:rStyle w:val="Hyper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Hyper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Hyper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pPr>
        <w:pStyle w:val="FirstParagraph"/>
      </w:pPr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1959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758f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Introduction to R for Public Health Researchers</dc:creator>
  <dcterms:created xsi:type="dcterms:W3CDTF">2017-06-16T20:27:05Z</dcterms:created>
  <dcterms:modified xsi:type="dcterms:W3CDTF">2017-06-16T20:27:05Z</dcterms:modified>
</cp:coreProperties>
</file>