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7DE1" w14:textId="306B61B3" w:rsidR="00E65150" w:rsidRDefault="006B0305" w:rsidP="00F97CE3">
      <w:pPr>
        <w:spacing w:before="360" w:after="240" w:line="240" w:lineRule="auto"/>
        <w:jc w:val="center"/>
        <w:rPr>
          <w:b/>
          <w:sz w:val="28"/>
          <w:szCs w:val="28"/>
        </w:rPr>
      </w:pPr>
      <w:r>
        <w:rPr>
          <w:b/>
          <w:sz w:val="28"/>
          <w:szCs w:val="28"/>
        </w:rPr>
        <w:t>CONCEPTOS JURÍDICOS FUNDAMENTALES</w:t>
      </w:r>
    </w:p>
    <w:p w14:paraId="7E3D28DE" w14:textId="77777777" w:rsidR="00472D32" w:rsidRPr="0014272E" w:rsidRDefault="00472D32" w:rsidP="00472D32">
      <w:pPr>
        <w:spacing w:after="120" w:line="240" w:lineRule="auto"/>
        <w:jc w:val="both"/>
        <w:rPr>
          <w:b/>
          <w:sz w:val="26"/>
          <w:szCs w:val="26"/>
        </w:rPr>
      </w:pPr>
      <w:r w:rsidRPr="0014272E">
        <w:rPr>
          <w:b/>
          <w:sz w:val="26"/>
          <w:szCs w:val="26"/>
        </w:rPr>
        <w:t>Instrucciones:</w:t>
      </w:r>
    </w:p>
    <w:p w14:paraId="0B55BFD1" w14:textId="77777777" w:rsidR="00472D32" w:rsidRPr="0014272E" w:rsidRDefault="00472D32" w:rsidP="00472D32">
      <w:pPr>
        <w:spacing w:after="0"/>
        <w:rPr>
          <w:sz w:val="26"/>
          <w:szCs w:val="26"/>
        </w:rPr>
      </w:pPr>
      <w:r w:rsidRPr="0014272E">
        <w:rPr>
          <w:sz w:val="26"/>
          <w:szCs w:val="26"/>
        </w:rPr>
        <w:t>1. Define cada uno los conceptos que se solicitan en la siguiente tabla.</w:t>
      </w:r>
    </w:p>
    <w:p w14:paraId="73AC6F71" w14:textId="77777777" w:rsidR="00472D32" w:rsidRPr="0014272E" w:rsidRDefault="00472D32" w:rsidP="00472D32">
      <w:pPr>
        <w:spacing w:after="0"/>
        <w:rPr>
          <w:sz w:val="26"/>
          <w:szCs w:val="26"/>
        </w:rPr>
      </w:pPr>
    </w:p>
    <w:p w14:paraId="393C3CEF" w14:textId="77777777" w:rsidR="00472D32" w:rsidRPr="0014272E" w:rsidRDefault="00472D32" w:rsidP="00472D32">
      <w:pPr>
        <w:spacing w:after="0"/>
        <w:rPr>
          <w:sz w:val="26"/>
          <w:szCs w:val="26"/>
        </w:rPr>
      </w:pPr>
      <w:r w:rsidRPr="0014272E">
        <w:rPr>
          <w:sz w:val="26"/>
          <w:szCs w:val="26"/>
        </w:rPr>
        <w:t xml:space="preserve">2. Después descarga y lee la </w:t>
      </w:r>
      <w:r w:rsidRPr="0014272E">
        <w:rPr>
          <w:b/>
          <w:sz w:val="26"/>
          <w:szCs w:val="26"/>
        </w:rPr>
        <w:t>Sentencia de Daño Moral</w:t>
      </w:r>
      <w:r w:rsidRPr="0014272E">
        <w:rPr>
          <w:sz w:val="26"/>
          <w:szCs w:val="26"/>
        </w:rPr>
        <w:t xml:space="preserve">, para identificar la situación que ejemplifica cada uno de los conceptos ya definidos y colócala en la columna </w:t>
      </w:r>
      <w:r w:rsidRPr="0014272E">
        <w:rPr>
          <w:i/>
          <w:sz w:val="26"/>
          <w:szCs w:val="26"/>
        </w:rPr>
        <w:t>Situación del caso en donde se identifica el concepto</w:t>
      </w:r>
      <w:r w:rsidRPr="0014272E">
        <w:rPr>
          <w:sz w:val="26"/>
          <w:szCs w:val="26"/>
        </w:rPr>
        <w:t>.</w:t>
      </w:r>
    </w:p>
    <w:p w14:paraId="56FA7277" w14:textId="77777777" w:rsidR="00472D32" w:rsidRPr="0014272E" w:rsidRDefault="00472D32" w:rsidP="00472D32">
      <w:pPr>
        <w:spacing w:after="0" w:line="240" w:lineRule="auto"/>
        <w:jc w:val="both"/>
        <w:rPr>
          <w:sz w:val="26"/>
          <w:szCs w:val="26"/>
        </w:rPr>
      </w:pPr>
      <w:r w:rsidRPr="0014272E">
        <w:rPr>
          <w:b/>
          <w:sz w:val="26"/>
          <w:szCs w:val="26"/>
        </w:rPr>
        <w:t xml:space="preserve">   Nota:</w:t>
      </w:r>
      <w:r w:rsidRPr="0014272E">
        <w:rPr>
          <w:sz w:val="26"/>
          <w:szCs w:val="26"/>
        </w:rPr>
        <w:t xml:space="preserve"> </w:t>
      </w:r>
      <w:r w:rsidRPr="0014272E">
        <w:rPr>
          <w:b/>
          <w:sz w:val="26"/>
          <w:szCs w:val="26"/>
        </w:rPr>
        <w:t xml:space="preserve">Para los conceptos que no se encuentren en el caso, coloca en la celda correspondiente: </w:t>
      </w:r>
      <w:r w:rsidRPr="0014272E">
        <w:rPr>
          <w:b/>
          <w:i/>
          <w:sz w:val="26"/>
          <w:szCs w:val="26"/>
        </w:rPr>
        <w:t>NA</w:t>
      </w:r>
      <w:r w:rsidRPr="0014272E">
        <w:rPr>
          <w:b/>
          <w:sz w:val="26"/>
          <w:szCs w:val="26"/>
        </w:rPr>
        <w:t xml:space="preserve"> (No aplica)</w:t>
      </w:r>
    </w:p>
    <w:p w14:paraId="49B73CDF" w14:textId="77777777" w:rsidR="00832A63" w:rsidRPr="00F97CE3" w:rsidRDefault="00832A63" w:rsidP="00F97CE3">
      <w:pPr>
        <w:spacing w:after="0" w:line="240" w:lineRule="auto"/>
        <w:jc w:val="both"/>
        <w:rPr>
          <w:sz w:val="28"/>
          <w:szCs w:val="28"/>
        </w:rPr>
      </w:pPr>
    </w:p>
    <w:tbl>
      <w:tblPr>
        <w:tblStyle w:val="Tablaconcuadrcula"/>
        <w:tblW w:w="13184" w:type="dxa"/>
        <w:tblInd w:w="-147" w:type="dxa"/>
        <w:tblLayout w:type="fixed"/>
        <w:tblLook w:val="04A0" w:firstRow="1" w:lastRow="0" w:firstColumn="1" w:lastColumn="0" w:noHBand="0" w:noVBand="1"/>
      </w:tblPr>
      <w:tblGrid>
        <w:gridCol w:w="2694"/>
        <w:gridCol w:w="4962"/>
        <w:gridCol w:w="5528"/>
      </w:tblGrid>
      <w:tr w:rsidR="00A13121" w:rsidRPr="008810B9" w14:paraId="6681F65A" w14:textId="77777777" w:rsidTr="00832A63">
        <w:trPr>
          <w:cantSplit/>
          <w:tblHeader/>
        </w:trPr>
        <w:tc>
          <w:tcPr>
            <w:tcW w:w="2694" w:type="dxa"/>
            <w:shd w:val="clear" w:color="auto" w:fill="FBE4D5" w:themeFill="accent2" w:themeFillTint="33"/>
          </w:tcPr>
          <w:p w14:paraId="4AB1D1A5" w14:textId="04E2E709" w:rsidR="00A13121" w:rsidRPr="008810B9" w:rsidRDefault="00A13121" w:rsidP="009819FC">
            <w:pPr>
              <w:jc w:val="center"/>
              <w:rPr>
                <w:rFonts w:cstheme="minorHAnsi"/>
                <w:b/>
                <w:sz w:val="24"/>
                <w:szCs w:val="24"/>
                <w:lang w:val="es-ES"/>
              </w:rPr>
            </w:pPr>
            <w:r w:rsidRPr="008810B9">
              <w:rPr>
                <w:rFonts w:cstheme="minorHAnsi"/>
                <w:b/>
                <w:sz w:val="24"/>
                <w:szCs w:val="24"/>
                <w:lang w:val="es-ES"/>
              </w:rPr>
              <w:t>Conceptos</w:t>
            </w:r>
          </w:p>
        </w:tc>
        <w:tc>
          <w:tcPr>
            <w:tcW w:w="4962" w:type="dxa"/>
            <w:shd w:val="clear" w:color="auto" w:fill="FBE4D5" w:themeFill="accent2" w:themeFillTint="33"/>
          </w:tcPr>
          <w:p w14:paraId="39AA2488" w14:textId="72199A29" w:rsidR="00A13121" w:rsidRPr="008810B9" w:rsidRDefault="00A13121" w:rsidP="009819FC">
            <w:pPr>
              <w:jc w:val="center"/>
              <w:rPr>
                <w:rFonts w:cstheme="minorHAnsi"/>
                <w:b/>
                <w:sz w:val="24"/>
                <w:szCs w:val="24"/>
                <w:lang w:val="es-ES"/>
              </w:rPr>
            </w:pPr>
            <w:r w:rsidRPr="008810B9">
              <w:rPr>
                <w:rFonts w:cstheme="minorHAnsi"/>
                <w:b/>
                <w:sz w:val="24"/>
                <w:szCs w:val="24"/>
                <w:lang w:val="es-ES"/>
              </w:rPr>
              <w:t>Definición</w:t>
            </w:r>
          </w:p>
        </w:tc>
        <w:tc>
          <w:tcPr>
            <w:tcW w:w="5528" w:type="dxa"/>
            <w:shd w:val="clear" w:color="auto" w:fill="FBE4D5" w:themeFill="accent2" w:themeFillTint="33"/>
          </w:tcPr>
          <w:p w14:paraId="22C479D0" w14:textId="2AF1C972" w:rsidR="00A13121" w:rsidRPr="008810B9" w:rsidRDefault="00A13121" w:rsidP="009819FC">
            <w:pPr>
              <w:jc w:val="center"/>
              <w:rPr>
                <w:rFonts w:cstheme="minorHAnsi"/>
                <w:b/>
                <w:sz w:val="24"/>
                <w:szCs w:val="24"/>
                <w:lang w:val="es-ES"/>
              </w:rPr>
            </w:pPr>
            <w:r w:rsidRPr="008810B9">
              <w:rPr>
                <w:rFonts w:cstheme="minorHAnsi"/>
                <w:b/>
                <w:sz w:val="24"/>
                <w:szCs w:val="24"/>
                <w:lang w:val="es-ES"/>
              </w:rPr>
              <w:t>Situación del caso en donde se identifica el concepto</w:t>
            </w:r>
          </w:p>
        </w:tc>
      </w:tr>
      <w:tr w:rsidR="000C651B" w:rsidRPr="008810B9" w14:paraId="5510B47C" w14:textId="77777777" w:rsidTr="00832A63">
        <w:trPr>
          <w:trHeight w:val="851"/>
        </w:trPr>
        <w:tc>
          <w:tcPr>
            <w:tcW w:w="2694" w:type="dxa"/>
            <w:shd w:val="clear" w:color="auto" w:fill="FBE4D5" w:themeFill="accent2" w:themeFillTint="33"/>
            <w:vAlign w:val="center"/>
          </w:tcPr>
          <w:p w14:paraId="092FB68F" w14:textId="7B71741D" w:rsidR="000C651B" w:rsidRPr="008810B9" w:rsidRDefault="000C651B" w:rsidP="00A120D4">
            <w:pPr>
              <w:jc w:val="both"/>
              <w:rPr>
                <w:rFonts w:cstheme="minorHAnsi"/>
                <w:b/>
                <w:sz w:val="24"/>
                <w:szCs w:val="24"/>
                <w:lang w:val="es-ES"/>
              </w:rPr>
            </w:pPr>
            <w:r w:rsidRPr="008810B9">
              <w:rPr>
                <w:rFonts w:cstheme="minorHAnsi"/>
                <w:b/>
                <w:sz w:val="24"/>
                <w:szCs w:val="24"/>
                <w:lang w:val="es-ES"/>
              </w:rPr>
              <w:t>Norma</w:t>
            </w:r>
          </w:p>
        </w:tc>
        <w:tc>
          <w:tcPr>
            <w:tcW w:w="4962" w:type="dxa"/>
            <w:shd w:val="clear" w:color="auto" w:fill="auto"/>
          </w:tcPr>
          <w:p w14:paraId="01BBC32F" w14:textId="226B4B2D" w:rsidR="000C651B" w:rsidRPr="008810B9" w:rsidRDefault="000C651B" w:rsidP="00A120D4">
            <w:pPr>
              <w:jc w:val="both"/>
              <w:rPr>
                <w:rFonts w:cstheme="minorHAnsi"/>
                <w:sz w:val="24"/>
                <w:szCs w:val="24"/>
                <w:lang w:val="es-ES"/>
              </w:rPr>
            </w:pPr>
          </w:p>
        </w:tc>
        <w:tc>
          <w:tcPr>
            <w:tcW w:w="5528" w:type="dxa"/>
            <w:shd w:val="clear" w:color="auto" w:fill="auto"/>
          </w:tcPr>
          <w:p w14:paraId="1B3B82AC" w14:textId="77777777" w:rsidR="000C651B" w:rsidRPr="008810B9" w:rsidRDefault="000C651B" w:rsidP="00A120D4">
            <w:pPr>
              <w:jc w:val="both"/>
              <w:rPr>
                <w:rFonts w:cstheme="minorHAnsi"/>
                <w:sz w:val="24"/>
                <w:szCs w:val="24"/>
                <w:lang w:val="es-ES"/>
              </w:rPr>
            </w:pPr>
          </w:p>
        </w:tc>
      </w:tr>
      <w:tr w:rsidR="000C651B" w:rsidRPr="008810B9" w14:paraId="5954B732" w14:textId="77777777" w:rsidTr="00832A63">
        <w:trPr>
          <w:trHeight w:val="851"/>
        </w:trPr>
        <w:tc>
          <w:tcPr>
            <w:tcW w:w="2694" w:type="dxa"/>
            <w:shd w:val="clear" w:color="auto" w:fill="FBE4D5" w:themeFill="accent2" w:themeFillTint="33"/>
            <w:vAlign w:val="center"/>
          </w:tcPr>
          <w:p w14:paraId="00BB3EE9" w14:textId="4692817A" w:rsidR="000C651B" w:rsidRPr="008810B9" w:rsidRDefault="000C651B" w:rsidP="00A120D4">
            <w:pPr>
              <w:jc w:val="both"/>
              <w:rPr>
                <w:rFonts w:cstheme="minorHAnsi"/>
                <w:b/>
                <w:sz w:val="24"/>
                <w:szCs w:val="24"/>
                <w:lang w:val="es-ES"/>
              </w:rPr>
            </w:pPr>
            <w:r w:rsidRPr="008810B9">
              <w:rPr>
                <w:rFonts w:cstheme="minorHAnsi"/>
                <w:b/>
                <w:sz w:val="24"/>
                <w:szCs w:val="24"/>
                <w:lang w:val="es-ES"/>
              </w:rPr>
              <w:t>Norma jurídica</w:t>
            </w:r>
          </w:p>
        </w:tc>
        <w:tc>
          <w:tcPr>
            <w:tcW w:w="4962" w:type="dxa"/>
            <w:shd w:val="clear" w:color="auto" w:fill="auto"/>
          </w:tcPr>
          <w:p w14:paraId="2A692C37" w14:textId="77777777" w:rsidR="000C651B" w:rsidRPr="008810B9" w:rsidRDefault="000C651B" w:rsidP="00A120D4">
            <w:pPr>
              <w:jc w:val="both"/>
              <w:rPr>
                <w:rFonts w:cstheme="minorHAnsi"/>
                <w:sz w:val="24"/>
                <w:szCs w:val="24"/>
                <w:lang w:val="es-ES"/>
              </w:rPr>
            </w:pPr>
          </w:p>
        </w:tc>
        <w:tc>
          <w:tcPr>
            <w:tcW w:w="5528" w:type="dxa"/>
            <w:shd w:val="clear" w:color="auto" w:fill="auto"/>
          </w:tcPr>
          <w:p w14:paraId="1FD213F7" w14:textId="77777777" w:rsidR="000C651B" w:rsidRPr="008810B9" w:rsidRDefault="000C651B" w:rsidP="00A120D4">
            <w:pPr>
              <w:jc w:val="both"/>
              <w:rPr>
                <w:rFonts w:cstheme="minorHAnsi"/>
                <w:sz w:val="24"/>
                <w:szCs w:val="24"/>
                <w:lang w:val="es-ES"/>
              </w:rPr>
            </w:pPr>
          </w:p>
        </w:tc>
      </w:tr>
      <w:tr w:rsidR="000C651B" w:rsidRPr="008810B9" w14:paraId="163BB829" w14:textId="77777777" w:rsidTr="00832A63">
        <w:trPr>
          <w:trHeight w:val="851"/>
        </w:trPr>
        <w:tc>
          <w:tcPr>
            <w:tcW w:w="2694" w:type="dxa"/>
            <w:shd w:val="clear" w:color="auto" w:fill="FBE4D5" w:themeFill="accent2" w:themeFillTint="33"/>
            <w:vAlign w:val="center"/>
          </w:tcPr>
          <w:p w14:paraId="49364348" w14:textId="5D1E41F5" w:rsidR="000C651B" w:rsidRPr="008810B9" w:rsidRDefault="000C651B" w:rsidP="008810B9">
            <w:pPr>
              <w:rPr>
                <w:rFonts w:cstheme="minorHAnsi"/>
                <w:b/>
                <w:sz w:val="24"/>
                <w:szCs w:val="24"/>
                <w:lang w:val="es-ES"/>
              </w:rPr>
            </w:pPr>
            <w:r w:rsidRPr="008810B9">
              <w:rPr>
                <w:rFonts w:cstheme="minorHAnsi"/>
                <w:b/>
                <w:sz w:val="24"/>
                <w:szCs w:val="24"/>
                <w:lang w:val="es-ES"/>
              </w:rPr>
              <w:t>Estructura norma jurídica prescriptivas</w:t>
            </w:r>
          </w:p>
        </w:tc>
        <w:tc>
          <w:tcPr>
            <w:tcW w:w="4962" w:type="dxa"/>
            <w:shd w:val="clear" w:color="auto" w:fill="auto"/>
          </w:tcPr>
          <w:p w14:paraId="41C00749" w14:textId="77777777" w:rsidR="000C651B" w:rsidRPr="008810B9" w:rsidRDefault="000C651B" w:rsidP="00A120D4">
            <w:pPr>
              <w:jc w:val="both"/>
              <w:rPr>
                <w:rFonts w:cstheme="minorHAnsi"/>
                <w:sz w:val="24"/>
                <w:szCs w:val="24"/>
                <w:lang w:val="es-ES"/>
              </w:rPr>
            </w:pPr>
          </w:p>
        </w:tc>
        <w:tc>
          <w:tcPr>
            <w:tcW w:w="5528" w:type="dxa"/>
            <w:shd w:val="clear" w:color="auto" w:fill="auto"/>
          </w:tcPr>
          <w:p w14:paraId="7EE44518" w14:textId="77777777" w:rsidR="000C651B" w:rsidRPr="008810B9" w:rsidRDefault="000C651B" w:rsidP="00A120D4">
            <w:pPr>
              <w:jc w:val="both"/>
              <w:rPr>
                <w:rFonts w:cstheme="minorHAnsi"/>
                <w:sz w:val="24"/>
                <w:szCs w:val="24"/>
                <w:lang w:val="es-ES"/>
              </w:rPr>
            </w:pPr>
          </w:p>
        </w:tc>
      </w:tr>
      <w:tr w:rsidR="000C651B" w:rsidRPr="008810B9" w14:paraId="0CE42C52" w14:textId="77777777" w:rsidTr="00832A63">
        <w:trPr>
          <w:trHeight w:val="851"/>
        </w:trPr>
        <w:tc>
          <w:tcPr>
            <w:tcW w:w="2694" w:type="dxa"/>
            <w:shd w:val="clear" w:color="auto" w:fill="FBE4D5" w:themeFill="accent2" w:themeFillTint="33"/>
            <w:vAlign w:val="center"/>
          </w:tcPr>
          <w:p w14:paraId="01E702BE" w14:textId="619A3EDC" w:rsidR="000C651B" w:rsidRPr="008810B9" w:rsidRDefault="000C651B" w:rsidP="008810B9">
            <w:pPr>
              <w:rPr>
                <w:rFonts w:cstheme="minorHAnsi"/>
                <w:b/>
                <w:sz w:val="24"/>
                <w:szCs w:val="24"/>
                <w:lang w:val="es-ES"/>
              </w:rPr>
            </w:pPr>
            <w:r w:rsidRPr="008810B9">
              <w:rPr>
                <w:rFonts w:cstheme="minorHAnsi"/>
                <w:b/>
                <w:sz w:val="24"/>
                <w:szCs w:val="24"/>
                <w:lang w:val="es-ES"/>
              </w:rPr>
              <w:t>Estructura de la norma jurídica</w:t>
            </w:r>
          </w:p>
        </w:tc>
        <w:tc>
          <w:tcPr>
            <w:tcW w:w="4962" w:type="dxa"/>
            <w:shd w:val="clear" w:color="auto" w:fill="auto"/>
          </w:tcPr>
          <w:p w14:paraId="1660ED65" w14:textId="77777777" w:rsidR="000C651B" w:rsidRPr="008810B9" w:rsidRDefault="000C651B" w:rsidP="00A120D4">
            <w:pPr>
              <w:jc w:val="both"/>
              <w:rPr>
                <w:rFonts w:cstheme="minorHAnsi"/>
                <w:sz w:val="24"/>
                <w:szCs w:val="24"/>
                <w:lang w:val="es-ES"/>
              </w:rPr>
            </w:pPr>
          </w:p>
        </w:tc>
        <w:tc>
          <w:tcPr>
            <w:tcW w:w="5528" w:type="dxa"/>
            <w:shd w:val="clear" w:color="auto" w:fill="auto"/>
          </w:tcPr>
          <w:p w14:paraId="1F800247" w14:textId="77777777" w:rsidR="000C651B" w:rsidRPr="008810B9" w:rsidRDefault="000C651B" w:rsidP="00A120D4">
            <w:pPr>
              <w:jc w:val="both"/>
              <w:rPr>
                <w:rFonts w:cstheme="minorHAnsi"/>
                <w:sz w:val="24"/>
                <w:szCs w:val="24"/>
                <w:lang w:val="es-ES"/>
              </w:rPr>
            </w:pPr>
          </w:p>
        </w:tc>
      </w:tr>
      <w:tr w:rsidR="000C651B" w:rsidRPr="008810B9" w14:paraId="32B2D411" w14:textId="77777777" w:rsidTr="00832A63">
        <w:trPr>
          <w:trHeight w:val="851"/>
        </w:trPr>
        <w:tc>
          <w:tcPr>
            <w:tcW w:w="2694" w:type="dxa"/>
            <w:shd w:val="clear" w:color="auto" w:fill="FBE4D5" w:themeFill="accent2" w:themeFillTint="33"/>
            <w:vAlign w:val="center"/>
          </w:tcPr>
          <w:p w14:paraId="568B2F80" w14:textId="097554FC" w:rsidR="000C651B" w:rsidRPr="008810B9" w:rsidRDefault="000C651B" w:rsidP="00A120D4">
            <w:pPr>
              <w:jc w:val="both"/>
              <w:rPr>
                <w:rFonts w:cstheme="minorHAnsi"/>
                <w:b/>
                <w:sz w:val="24"/>
                <w:szCs w:val="24"/>
                <w:lang w:val="es-ES"/>
              </w:rPr>
            </w:pPr>
            <w:r w:rsidRPr="008810B9">
              <w:rPr>
                <w:rFonts w:cstheme="minorHAnsi"/>
                <w:b/>
                <w:sz w:val="24"/>
                <w:szCs w:val="24"/>
                <w:lang w:val="es-ES"/>
              </w:rPr>
              <w:t>Reglas</w:t>
            </w:r>
          </w:p>
        </w:tc>
        <w:tc>
          <w:tcPr>
            <w:tcW w:w="4962" w:type="dxa"/>
            <w:shd w:val="clear" w:color="auto" w:fill="auto"/>
          </w:tcPr>
          <w:p w14:paraId="34AA2DEC" w14:textId="77777777" w:rsidR="000C651B" w:rsidRPr="008810B9" w:rsidRDefault="000C651B" w:rsidP="00A120D4">
            <w:pPr>
              <w:jc w:val="both"/>
              <w:rPr>
                <w:rFonts w:cstheme="minorHAnsi"/>
                <w:sz w:val="24"/>
                <w:szCs w:val="24"/>
                <w:lang w:val="es-ES"/>
              </w:rPr>
            </w:pPr>
          </w:p>
        </w:tc>
        <w:tc>
          <w:tcPr>
            <w:tcW w:w="5528" w:type="dxa"/>
            <w:shd w:val="clear" w:color="auto" w:fill="auto"/>
          </w:tcPr>
          <w:p w14:paraId="7FB08A33" w14:textId="77777777" w:rsidR="000C651B" w:rsidRPr="008810B9" w:rsidRDefault="000C651B" w:rsidP="00A120D4">
            <w:pPr>
              <w:jc w:val="both"/>
              <w:rPr>
                <w:rFonts w:cstheme="minorHAnsi"/>
                <w:sz w:val="24"/>
                <w:szCs w:val="24"/>
                <w:lang w:val="es-ES"/>
              </w:rPr>
            </w:pPr>
          </w:p>
        </w:tc>
      </w:tr>
      <w:tr w:rsidR="000C651B" w:rsidRPr="008810B9" w14:paraId="5EA3BFDC" w14:textId="77777777" w:rsidTr="00832A63">
        <w:trPr>
          <w:trHeight w:val="851"/>
        </w:trPr>
        <w:tc>
          <w:tcPr>
            <w:tcW w:w="2694" w:type="dxa"/>
            <w:shd w:val="clear" w:color="auto" w:fill="FBE4D5" w:themeFill="accent2" w:themeFillTint="33"/>
            <w:vAlign w:val="center"/>
          </w:tcPr>
          <w:p w14:paraId="5ABEDCA6" w14:textId="612D77D2" w:rsidR="000C651B" w:rsidRPr="008810B9" w:rsidRDefault="000C651B" w:rsidP="00A120D4">
            <w:pPr>
              <w:jc w:val="both"/>
              <w:rPr>
                <w:rFonts w:cstheme="minorHAnsi"/>
                <w:b/>
                <w:sz w:val="24"/>
                <w:szCs w:val="24"/>
                <w:lang w:val="es-ES"/>
              </w:rPr>
            </w:pPr>
            <w:r w:rsidRPr="008810B9">
              <w:rPr>
                <w:rFonts w:cstheme="minorHAnsi"/>
                <w:b/>
                <w:sz w:val="24"/>
                <w:szCs w:val="24"/>
                <w:lang w:val="es-ES"/>
              </w:rPr>
              <w:t>Principios</w:t>
            </w:r>
          </w:p>
        </w:tc>
        <w:tc>
          <w:tcPr>
            <w:tcW w:w="4962" w:type="dxa"/>
          </w:tcPr>
          <w:p w14:paraId="253188C2" w14:textId="77777777" w:rsidR="000C651B" w:rsidRPr="008810B9" w:rsidRDefault="000C651B" w:rsidP="00A120D4">
            <w:pPr>
              <w:jc w:val="both"/>
              <w:rPr>
                <w:rFonts w:cstheme="minorHAnsi"/>
                <w:sz w:val="24"/>
                <w:szCs w:val="24"/>
                <w:lang w:val="es-ES"/>
              </w:rPr>
            </w:pPr>
          </w:p>
        </w:tc>
        <w:tc>
          <w:tcPr>
            <w:tcW w:w="5528" w:type="dxa"/>
          </w:tcPr>
          <w:p w14:paraId="6723ACA9" w14:textId="3BFAB78E" w:rsidR="000C651B" w:rsidRPr="008810B9" w:rsidRDefault="000C651B" w:rsidP="00F33245">
            <w:pPr>
              <w:jc w:val="both"/>
              <w:rPr>
                <w:rFonts w:cstheme="minorHAnsi"/>
                <w:sz w:val="24"/>
                <w:szCs w:val="24"/>
                <w:lang w:val="es-ES"/>
              </w:rPr>
            </w:pPr>
          </w:p>
        </w:tc>
      </w:tr>
      <w:tr w:rsidR="000C651B" w:rsidRPr="008810B9" w14:paraId="7446AE44" w14:textId="77777777" w:rsidTr="00832A63">
        <w:trPr>
          <w:trHeight w:val="851"/>
        </w:trPr>
        <w:tc>
          <w:tcPr>
            <w:tcW w:w="2694" w:type="dxa"/>
            <w:shd w:val="clear" w:color="auto" w:fill="FBE4D5" w:themeFill="accent2" w:themeFillTint="33"/>
            <w:vAlign w:val="center"/>
          </w:tcPr>
          <w:p w14:paraId="7F1AA3F6" w14:textId="26B43559" w:rsidR="000C651B" w:rsidRPr="008810B9" w:rsidRDefault="000C651B" w:rsidP="008810B9">
            <w:pPr>
              <w:rPr>
                <w:rFonts w:cstheme="minorHAnsi"/>
                <w:b/>
                <w:sz w:val="24"/>
                <w:szCs w:val="24"/>
                <w:lang w:val="es-ES"/>
              </w:rPr>
            </w:pPr>
            <w:r w:rsidRPr="008810B9">
              <w:rPr>
                <w:rFonts w:cstheme="minorHAnsi"/>
                <w:b/>
                <w:sz w:val="24"/>
                <w:szCs w:val="24"/>
                <w:lang w:val="es-ES"/>
              </w:rPr>
              <w:t>Fuentes formales del orden jurídico</w:t>
            </w:r>
          </w:p>
        </w:tc>
        <w:tc>
          <w:tcPr>
            <w:tcW w:w="4962" w:type="dxa"/>
          </w:tcPr>
          <w:p w14:paraId="6BF003E7" w14:textId="77777777" w:rsidR="000C651B" w:rsidRPr="008810B9" w:rsidRDefault="000C651B" w:rsidP="00A120D4">
            <w:pPr>
              <w:jc w:val="both"/>
              <w:rPr>
                <w:rFonts w:cstheme="minorHAnsi"/>
                <w:sz w:val="24"/>
                <w:szCs w:val="24"/>
                <w:lang w:val="es-ES"/>
              </w:rPr>
            </w:pPr>
          </w:p>
        </w:tc>
        <w:tc>
          <w:tcPr>
            <w:tcW w:w="5528" w:type="dxa"/>
          </w:tcPr>
          <w:p w14:paraId="3C110702" w14:textId="78583B83" w:rsidR="000C651B" w:rsidRPr="008810B9" w:rsidRDefault="000C651B" w:rsidP="00A120D4">
            <w:pPr>
              <w:jc w:val="both"/>
              <w:rPr>
                <w:rFonts w:cstheme="minorHAnsi"/>
                <w:sz w:val="24"/>
                <w:szCs w:val="24"/>
                <w:lang w:val="es-ES"/>
              </w:rPr>
            </w:pPr>
          </w:p>
        </w:tc>
      </w:tr>
      <w:tr w:rsidR="000C651B" w:rsidRPr="008810B9" w14:paraId="4B046C9F" w14:textId="77777777" w:rsidTr="00832A63">
        <w:trPr>
          <w:trHeight w:val="851"/>
        </w:trPr>
        <w:tc>
          <w:tcPr>
            <w:tcW w:w="2694" w:type="dxa"/>
            <w:shd w:val="clear" w:color="auto" w:fill="FBE4D5" w:themeFill="accent2" w:themeFillTint="33"/>
            <w:vAlign w:val="center"/>
          </w:tcPr>
          <w:p w14:paraId="2E82D1AF" w14:textId="2AE94960" w:rsidR="000C651B" w:rsidRPr="008810B9" w:rsidRDefault="000C651B" w:rsidP="008810B9">
            <w:pPr>
              <w:rPr>
                <w:rFonts w:cstheme="minorHAnsi"/>
                <w:b/>
                <w:sz w:val="24"/>
                <w:szCs w:val="24"/>
                <w:lang w:val="es-ES"/>
              </w:rPr>
            </w:pPr>
            <w:r w:rsidRPr="008810B9">
              <w:rPr>
                <w:rFonts w:cstheme="minorHAnsi"/>
                <w:b/>
                <w:sz w:val="24"/>
                <w:szCs w:val="24"/>
                <w:lang w:val="es-ES"/>
              </w:rPr>
              <w:lastRenderedPageBreak/>
              <w:t>Concepto jurídico de persona</w:t>
            </w:r>
          </w:p>
        </w:tc>
        <w:tc>
          <w:tcPr>
            <w:tcW w:w="4962" w:type="dxa"/>
          </w:tcPr>
          <w:p w14:paraId="38E05603" w14:textId="77777777" w:rsidR="000C651B" w:rsidRPr="008810B9" w:rsidRDefault="000C651B" w:rsidP="00A120D4">
            <w:pPr>
              <w:jc w:val="both"/>
              <w:rPr>
                <w:rFonts w:cstheme="minorHAnsi"/>
                <w:sz w:val="24"/>
                <w:szCs w:val="24"/>
                <w:lang w:val="es-ES"/>
              </w:rPr>
            </w:pPr>
          </w:p>
        </w:tc>
        <w:tc>
          <w:tcPr>
            <w:tcW w:w="5528" w:type="dxa"/>
          </w:tcPr>
          <w:p w14:paraId="6BB2F240" w14:textId="71D2A3BC" w:rsidR="000C651B" w:rsidRPr="008810B9" w:rsidRDefault="000C651B" w:rsidP="00A120D4">
            <w:pPr>
              <w:jc w:val="both"/>
              <w:rPr>
                <w:rFonts w:cstheme="minorHAnsi"/>
                <w:sz w:val="24"/>
                <w:szCs w:val="24"/>
                <w:lang w:val="es-ES"/>
              </w:rPr>
            </w:pPr>
          </w:p>
        </w:tc>
      </w:tr>
      <w:tr w:rsidR="000C651B" w:rsidRPr="008810B9" w14:paraId="361C76BF" w14:textId="77777777" w:rsidTr="00832A63">
        <w:trPr>
          <w:trHeight w:val="851"/>
        </w:trPr>
        <w:tc>
          <w:tcPr>
            <w:tcW w:w="2694" w:type="dxa"/>
            <w:shd w:val="clear" w:color="auto" w:fill="FBE4D5" w:themeFill="accent2" w:themeFillTint="33"/>
            <w:vAlign w:val="center"/>
          </w:tcPr>
          <w:p w14:paraId="609E5E9D" w14:textId="43303D67" w:rsidR="000C651B" w:rsidRPr="008810B9" w:rsidRDefault="000C651B" w:rsidP="00A120D4">
            <w:pPr>
              <w:jc w:val="both"/>
              <w:rPr>
                <w:rFonts w:cstheme="minorHAnsi"/>
                <w:b/>
                <w:sz w:val="24"/>
                <w:szCs w:val="24"/>
                <w:lang w:val="es-ES"/>
              </w:rPr>
            </w:pPr>
            <w:r w:rsidRPr="008810B9">
              <w:rPr>
                <w:rFonts w:cstheme="minorHAnsi"/>
                <w:b/>
                <w:sz w:val="24"/>
                <w:szCs w:val="24"/>
                <w:lang w:val="es-ES"/>
              </w:rPr>
              <w:t>Persona jurídica</w:t>
            </w:r>
          </w:p>
        </w:tc>
        <w:tc>
          <w:tcPr>
            <w:tcW w:w="4962" w:type="dxa"/>
          </w:tcPr>
          <w:p w14:paraId="36A09E2E" w14:textId="77777777" w:rsidR="000C651B" w:rsidRPr="008810B9" w:rsidRDefault="000C651B" w:rsidP="00A120D4">
            <w:pPr>
              <w:jc w:val="both"/>
              <w:rPr>
                <w:rFonts w:cstheme="minorHAnsi"/>
                <w:sz w:val="24"/>
                <w:szCs w:val="24"/>
                <w:lang w:val="es-ES"/>
              </w:rPr>
            </w:pPr>
          </w:p>
        </w:tc>
        <w:tc>
          <w:tcPr>
            <w:tcW w:w="5528" w:type="dxa"/>
          </w:tcPr>
          <w:p w14:paraId="4AE108D3" w14:textId="77777777" w:rsidR="000C651B" w:rsidRPr="008810B9" w:rsidRDefault="000C651B" w:rsidP="00A120D4">
            <w:pPr>
              <w:jc w:val="both"/>
              <w:rPr>
                <w:rFonts w:cstheme="minorHAnsi"/>
                <w:sz w:val="24"/>
                <w:szCs w:val="24"/>
                <w:lang w:val="es-ES"/>
              </w:rPr>
            </w:pPr>
          </w:p>
        </w:tc>
      </w:tr>
      <w:tr w:rsidR="000C651B" w:rsidRPr="008810B9" w14:paraId="43290C77" w14:textId="77777777" w:rsidTr="00832A63">
        <w:trPr>
          <w:trHeight w:val="851"/>
        </w:trPr>
        <w:tc>
          <w:tcPr>
            <w:tcW w:w="2694" w:type="dxa"/>
            <w:shd w:val="clear" w:color="auto" w:fill="FBE4D5" w:themeFill="accent2" w:themeFillTint="33"/>
            <w:vAlign w:val="center"/>
          </w:tcPr>
          <w:p w14:paraId="7789445C" w14:textId="51D00439" w:rsidR="000C651B" w:rsidRPr="008810B9" w:rsidRDefault="000C651B" w:rsidP="00A120D4">
            <w:pPr>
              <w:jc w:val="both"/>
              <w:rPr>
                <w:rFonts w:cstheme="minorHAnsi"/>
                <w:b/>
                <w:sz w:val="24"/>
                <w:szCs w:val="24"/>
                <w:lang w:val="es-ES"/>
              </w:rPr>
            </w:pPr>
            <w:r w:rsidRPr="008810B9">
              <w:rPr>
                <w:rFonts w:cstheme="minorHAnsi"/>
                <w:b/>
                <w:sz w:val="24"/>
                <w:szCs w:val="24"/>
                <w:lang w:val="es-ES"/>
              </w:rPr>
              <w:t>Persona física</w:t>
            </w:r>
          </w:p>
        </w:tc>
        <w:tc>
          <w:tcPr>
            <w:tcW w:w="4962" w:type="dxa"/>
          </w:tcPr>
          <w:p w14:paraId="68107CDF" w14:textId="52730C93" w:rsidR="000C651B" w:rsidRPr="008810B9" w:rsidRDefault="0026372C" w:rsidP="00A120D4">
            <w:pPr>
              <w:jc w:val="both"/>
              <w:rPr>
                <w:rFonts w:cstheme="minorHAnsi"/>
                <w:sz w:val="24"/>
                <w:szCs w:val="24"/>
                <w:lang w:val="es-ES"/>
              </w:rPr>
            </w:pPr>
            <w:r w:rsidRPr="0026372C">
              <w:rPr>
                <w:rFonts w:cstheme="minorHAnsi"/>
                <w:sz w:val="24"/>
                <w:szCs w:val="24"/>
                <w:lang w:val="es-ES"/>
              </w:rPr>
              <w:t xml:space="preserve">La persona física es el individuo, el ser humano, sin distinción de </w:t>
            </w:r>
            <w:r w:rsidRPr="0026372C">
              <w:rPr>
                <w:rFonts w:cstheme="minorHAnsi"/>
                <w:sz w:val="24"/>
                <w:szCs w:val="24"/>
                <w:lang w:val="es-ES"/>
              </w:rPr>
              <w:t>género</w:t>
            </w:r>
            <w:r w:rsidRPr="0026372C">
              <w:rPr>
                <w:rFonts w:cstheme="minorHAnsi"/>
                <w:sz w:val="24"/>
                <w:szCs w:val="24"/>
                <w:lang w:val="es-ES"/>
              </w:rPr>
              <w:t>, raza o posición social, el cual desde el momento mismo de su concepción adquiere la capacidad de goce y por consecuencia tiene derecho a la protección que el Estado le brinda a través del derecho a todos y cada uno de sus miembros</w:t>
            </w:r>
            <w:r>
              <w:rPr>
                <w:rFonts w:cstheme="minorHAnsi"/>
                <w:sz w:val="24"/>
                <w:szCs w:val="24"/>
                <w:lang w:val="es-ES"/>
              </w:rPr>
              <w:t>.</w:t>
            </w:r>
          </w:p>
        </w:tc>
        <w:tc>
          <w:tcPr>
            <w:tcW w:w="5528" w:type="dxa"/>
          </w:tcPr>
          <w:p w14:paraId="5B93762A" w14:textId="2C8DAEAE" w:rsidR="000C651B" w:rsidRPr="008810B9" w:rsidRDefault="0026372C" w:rsidP="00A120D4">
            <w:pPr>
              <w:jc w:val="both"/>
              <w:rPr>
                <w:rFonts w:cstheme="minorHAnsi"/>
                <w:sz w:val="24"/>
                <w:szCs w:val="24"/>
                <w:lang w:val="es-ES"/>
              </w:rPr>
            </w:pPr>
            <w:r w:rsidRPr="0026372C">
              <w:rPr>
                <w:rFonts w:cstheme="minorHAnsi"/>
                <w:sz w:val="24"/>
                <w:szCs w:val="24"/>
                <w:lang w:val="es-ES"/>
              </w:rPr>
              <w:t>En el juicio ordinario civil, el actor demandó de una sociedad mercantil y de una persona física, la responsabilidad civil por afectación a sus derechos de personalidad, la declaración judicial que los enjuiciados produjeron daño moral derivado de la afectación causada como consecuencia de la responsabilidad civil de aquéllos, en términos del artículo 1916 del Código Civil para el Distrito Federal, al pago de la justa indemnización a título de reparación moral</w:t>
            </w:r>
            <w:r>
              <w:rPr>
                <w:rFonts w:cstheme="minorHAnsi"/>
                <w:sz w:val="24"/>
                <w:szCs w:val="24"/>
                <w:lang w:val="es-ES"/>
              </w:rPr>
              <w:t>.</w:t>
            </w:r>
          </w:p>
        </w:tc>
      </w:tr>
      <w:tr w:rsidR="000C651B" w:rsidRPr="008810B9" w14:paraId="483A1A06" w14:textId="77777777" w:rsidTr="00832A63">
        <w:trPr>
          <w:trHeight w:val="851"/>
        </w:trPr>
        <w:tc>
          <w:tcPr>
            <w:tcW w:w="2694" w:type="dxa"/>
            <w:shd w:val="clear" w:color="auto" w:fill="FBE4D5" w:themeFill="accent2" w:themeFillTint="33"/>
            <w:vAlign w:val="center"/>
          </w:tcPr>
          <w:p w14:paraId="2908B738" w14:textId="6FCC04AC" w:rsidR="000C651B" w:rsidRPr="008810B9" w:rsidRDefault="000C651B" w:rsidP="008810B9">
            <w:pPr>
              <w:rPr>
                <w:rFonts w:cstheme="minorHAnsi"/>
                <w:b/>
                <w:sz w:val="24"/>
                <w:szCs w:val="24"/>
                <w:lang w:val="es-ES"/>
              </w:rPr>
            </w:pPr>
            <w:r w:rsidRPr="008810B9">
              <w:rPr>
                <w:rFonts w:cstheme="minorHAnsi"/>
                <w:b/>
                <w:sz w:val="24"/>
                <w:szCs w:val="24"/>
                <w:lang w:val="es-ES"/>
              </w:rPr>
              <w:t>Persona jurídico-colectiva</w:t>
            </w:r>
          </w:p>
        </w:tc>
        <w:tc>
          <w:tcPr>
            <w:tcW w:w="4962" w:type="dxa"/>
          </w:tcPr>
          <w:p w14:paraId="5A7897ED" w14:textId="76A9F1BF" w:rsidR="000C651B" w:rsidRPr="008810B9" w:rsidRDefault="0026372C" w:rsidP="00921889">
            <w:pPr>
              <w:jc w:val="both"/>
              <w:rPr>
                <w:rFonts w:cstheme="minorHAnsi"/>
                <w:sz w:val="24"/>
                <w:szCs w:val="24"/>
                <w:lang w:val="es-ES"/>
              </w:rPr>
            </w:pPr>
            <w:r w:rsidRPr="0026372C">
              <w:rPr>
                <w:rFonts w:cstheme="minorHAnsi"/>
                <w:sz w:val="24"/>
                <w:szCs w:val="24"/>
                <w:lang w:val="es-ES"/>
              </w:rPr>
              <w:t xml:space="preserve">Las personas jurídicas colectivas son las constituidas conforme a la ley, por grupos de individuos a las cuales el derecho considera como una sola entidad para ejercer derechos y asumir </w:t>
            </w:r>
            <w:r w:rsidRPr="0026372C">
              <w:rPr>
                <w:rFonts w:cstheme="minorHAnsi"/>
                <w:sz w:val="24"/>
                <w:szCs w:val="24"/>
                <w:lang w:val="es-ES"/>
              </w:rPr>
              <w:t>obligaciones</w:t>
            </w:r>
            <w:r>
              <w:rPr>
                <w:rFonts w:cstheme="minorHAnsi"/>
                <w:sz w:val="24"/>
                <w:szCs w:val="24"/>
                <w:lang w:val="es-ES"/>
              </w:rPr>
              <w:t>.</w:t>
            </w:r>
          </w:p>
        </w:tc>
        <w:tc>
          <w:tcPr>
            <w:tcW w:w="5528" w:type="dxa"/>
          </w:tcPr>
          <w:p w14:paraId="4E69B463" w14:textId="68BB20E8" w:rsidR="000C651B" w:rsidRPr="008810B9" w:rsidRDefault="0026372C" w:rsidP="00A120D4">
            <w:pPr>
              <w:jc w:val="both"/>
              <w:rPr>
                <w:rFonts w:cstheme="minorHAnsi"/>
                <w:sz w:val="24"/>
                <w:szCs w:val="24"/>
                <w:lang w:val="es-ES"/>
              </w:rPr>
            </w:pPr>
            <w:r>
              <w:rPr>
                <w:rFonts w:cstheme="minorHAnsi"/>
                <w:sz w:val="24"/>
                <w:szCs w:val="24"/>
                <w:lang w:val="es-ES"/>
              </w:rPr>
              <w:t>L</w:t>
            </w:r>
            <w:r w:rsidRPr="0026372C">
              <w:rPr>
                <w:rFonts w:cstheme="minorHAnsi"/>
                <w:sz w:val="24"/>
                <w:szCs w:val="24"/>
                <w:lang w:val="es-ES"/>
              </w:rPr>
              <w:t>a elección del actor podría proporcionar una fotografía a la sociedad mercantil demandada para que fuera publicada junto con la retractación referida, para que tuviera mayor impacto la reparación del daño causado; a la reparación del daño moral, cuya cantidad debería ser cuantificada en ejecución de sentencia</w:t>
            </w:r>
            <w:r>
              <w:rPr>
                <w:rFonts w:cstheme="minorHAnsi"/>
                <w:sz w:val="24"/>
                <w:szCs w:val="24"/>
                <w:lang w:val="es-ES"/>
              </w:rPr>
              <w:t>.</w:t>
            </w:r>
          </w:p>
        </w:tc>
      </w:tr>
      <w:tr w:rsidR="000C651B" w:rsidRPr="008810B9" w14:paraId="4C9C2F94" w14:textId="77777777" w:rsidTr="00832A63">
        <w:trPr>
          <w:trHeight w:val="851"/>
        </w:trPr>
        <w:tc>
          <w:tcPr>
            <w:tcW w:w="2694" w:type="dxa"/>
            <w:shd w:val="clear" w:color="auto" w:fill="FBE4D5" w:themeFill="accent2" w:themeFillTint="33"/>
            <w:vAlign w:val="center"/>
          </w:tcPr>
          <w:p w14:paraId="7993848A" w14:textId="57303F23" w:rsidR="000C651B" w:rsidRPr="008810B9" w:rsidRDefault="000C651B" w:rsidP="00A120D4">
            <w:pPr>
              <w:jc w:val="both"/>
              <w:rPr>
                <w:rFonts w:cstheme="minorHAnsi"/>
                <w:b/>
                <w:sz w:val="24"/>
                <w:szCs w:val="24"/>
                <w:lang w:val="es-ES"/>
              </w:rPr>
            </w:pPr>
            <w:r w:rsidRPr="008810B9">
              <w:rPr>
                <w:rFonts w:cstheme="minorHAnsi"/>
                <w:b/>
                <w:sz w:val="24"/>
                <w:szCs w:val="24"/>
                <w:lang w:val="es-ES"/>
              </w:rPr>
              <w:t>Sanción</w:t>
            </w:r>
          </w:p>
        </w:tc>
        <w:tc>
          <w:tcPr>
            <w:tcW w:w="4962" w:type="dxa"/>
          </w:tcPr>
          <w:p w14:paraId="61C2EBFB" w14:textId="1A9F26DD" w:rsidR="000C651B" w:rsidRPr="008810B9" w:rsidRDefault="0026372C" w:rsidP="00A120D4">
            <w:pPr>
              <w:jc w:val="both"/>
              <w:rPr>
                <w:rFonts w:cstheme="minorHAnsi"/>
                <w:sz w:val="24"/>
                <w:szCs w:val="24"/>
                <w:lang w:val="es-ES"/>
              </w:rPr>
            </w:pPr>
            <w:r w:rsidRPr="0026372C">
              <w:rPr>
                <w:rFonts w:cstheme="minorHAnsi"/>
                <w:sz w:val="24"/>
                <w:szCs w:val="24"/>
                <w:lang w:val="es-ES"/>
              </w:rPr>
              <w:t xml:space="preserve">Una sanción </w:t>
            </w:r>
            <w:r>
              <w:rPr>
                <w:rFonts w:cstheme="minorHAnsi"/>
                <w:sz w:val="24"/>
                <w:szCs w:val="24"/>
                <w:lang w:val="es-ES"/>
              </w:rPr>
              <w:t>e</w:t>
            </w:r>
            <w:r w:rsidRPr="0026372C">
              <w:rPr>
                <w:rFonts w:cstheme="minorHAnsi"/>
                <w:sz w:val="24"/>
                <w:szCs w:val="24"/>
                <w:lang w:val="es-ES"/>
              </w:rPr>
              <w:t xml:space="preserve">s la </w:t>
            </w:r>
            <w:proofErr w:type="gramStart"/>
            <w:r w:rsidRPr="0026372C">
              <w:rPr>
                <w:rFonts w:cstheme="minorHAnsi"/>
                <w:sz w:val="24"/>
                <w:szCs w:val="24"/>
                <w:lang w:val="es-ES"/>
              </w:rPr>
              <w:t>autoridad pública</w:t>
            </w:r>
            <w:proofErr w:type="gramEnd"/>
            <w:r w:rsidRPr="0026372C">
              <w:rPr>
                <w:rFonts w:cstheme="minorHAnsi"/>
                <w:sz w:val="24"/>
                <w:szCs w:val="24"/>
                <w:lang w:val="es-ES"/>
              </w:rPr>
              <w:t xml:space="preserve"> o privada como consecuencia del incumplimiento de una regla o norma de conducta obligatoria, en perjuicio de la persona humana que viene de humanos o jurídica a la que se le atribuye la responsabilidad responsable por el incumplimiento</w:t>
            </w:r>
            <w:r>
              <w:rPr>
                <w:rFonts w:cstheme="minorHAnsi"/>
                <w:sz w:val="24"/>
                <w:szCs w:val="24"/>
                <w:lang w:val="es-ES"/>
              </w:rPr>
              <w:t>.</w:t>
            </w:r>
          </w:p>
        </w:tc>
        <w:tc>
          <w:tcPr>
            <w:tcW w:w="5528" w:type="dxa"/>
          </w:tcPr>
          <w:p w14:paraId="2B508F74" w14:textId="5FE2D0C5" w:rsidR="000C651B" w:rsidRPr="008810B9" w:rsidRDefault="0026372C" w:rsidP="00A120D4">
            <w:pPr>
              <w:jc w:val="both"/>
              <w:rPr>
                <w:rFonts w:cstheme="minorHAnsi"/>
                <w:sz w:val="24"/>
                <w:szCs w:val="24"/>
                <w:lang w:val="es-ES"/>
              </w:rPr>
            </w:pPr>
            <w:r>
              <w:rPr>
                <w:rFonts w:cstheme="minorHAnsi"/>
                <w:sz w:val="24"/>
                <w:szCs w:val="24"/>
                <w:lang w:val="es-ES"/>
              </w:rPr>
              <w:t>D</w:t>
            </w:r>
            <w:r w:rsidRPr="0026372C">
              <w:rPr>
                <w:rFonts w:cstheme="minorHAnsi"/>
                <w:sz w:val="24"/>
                <w:szCs w:val="24"/>
                <w:lang w:val="es-ES"/>
              </w:rPr>
              <w:t xml:space="preserve">ecidió condenar a la reparación del daño sobre la base de los dispuesto por el artículo 39 de la Ley de Responsabilidad Civil para la Protección del Derecho a la Vida Privada, el Honor y la Propia Imagen en el Distrito Federal y no </w:t>
            </w:r>
            <w:r w:rsidRPr="0026372C">
              <w:rPr>
                <w:rFonts w:cstheme="minorHAnsi"/>
                <w:sz w:val="24"/>
                <w:szCs w:val="24"/>
                <w:lang w:val="es-ES"/>
              </w:rPr>
              <w:t>en relación con</w:t>
            </w:r>
            <w:r w:rsidRPr="0026372C">
              <w:rPr>
                <w:rFonts w:cstheme="minorHAnsi"/>
                <w:sz w:val="24"/>
                <w:szCs w:val="24"/>
                <w:lang w:val="es-ES"/>
              </w:rPr>
              <w:t xml:space="preserve"> lo dispuesto por el artículo 41 de dicha ley,</w:t>
            </w:r>
          </w:p>
        </w:tc>
      </w:tr>
      <w:tr w:rsidR="000C651B" w:rsidRPr="008810B9" w14:paraId="244069DA" w14:textId="77777777" w:rsidTr="00832A63">
        <w:trPr>
          <w:trHeight w:val="851"/>
        </w:trPr>
        <w:tc>
          <w:tcPr>
            <w:tcW w:w="2694" w:type="dxa"/>
            <w:shd w:val="clear" w:color="auto" w:fill="FBE4D5" w:themeFill="accent2" w:themeFillTint="33"/>
            <w:vAlign w:val="center"/>
          </w:tcPr>
          <w:p w14:paraId="7281B5B3" w14:textId="2A5E5348" w:rsidR="000C651B" w:rsidRPr="008810B9" w:rsidRDefault="000C651B" w:rsidP="00A120D4">
            <w:pPr>
              <w:jc w:val="both"/>
              <w:rPr>
                <w:rFonts w:cstheme="minorHAnsi"/>
                <w:b/>
                <w:sz w:val="24"/>
                <w:szCs w:val="24"/>
                <w:lang w:val="es-ES"/>
              </w:rPr>
            </w:pPr>
            <w:r w:rsidRPr="008810B9">
              <w:rPr>
                <w:rFonts w:cstheme="minorHAnsi"/>
                <w:b/>
                <w:sz w:val="24"/>
                <w:szCs w:val="24"/>
                <w:lang w:val="es-ES"/>
              </w:rPr>
              <w:t>Pena</w:t>
            </w:r>
          </w:p>
        </w:tc>
        <w:tc>
          <w:tcPr>
            <w:tcW w:w="4962" w:type="dxa"/>
          </w:tcPr>
          <w:p w14:paraId="75247E7F" w14:textId="46DE2AAE" w:rsidR="000C651B" w:rsidRPr="008810B9" w:rsidRDefault="000C651B" w:rsidP="00653246">
            <w:pPr>
              <w:jc w:val="both"/>
              <w:rPr>
                <w:rFonts w:cstheme="minorHAnsi"/>
                <w:sz w:val="24"/>
                <w:szCs w:val="24"/>
                <w:lang w:val="es-ES"/>
              </w:rPr>
            </w:pPr>
          </w:p>
        </w:tc>
        <w:tc>
          <w:tcPr>
            <w:tcW w:w="5528" w:type="dxa"/>
          </w:tcPr>
          <w:p w14:paraId="1415D2B0" w14:textId="77777777" w:rsidR="000C651B" w:rsidRPr="008810B9" w:rsidRDefault="000C651B" w:rsidP="00A120D4">
            <w:pPr>
              <w:jc w:val="both"/>
              <w:rPr>
                <w:rFonts w:cstheme="minorHAnsi"/>
                <w:sz w:val="24"/>
                <w:szCs w:val="24"/>
                <w:lang w:val="es-ES"/>
              </w:rPr>
            </w:pPr>
          </w:p>
        </w:tc>
      </w:tr>
      <w:tr w:rsidR="00165085" w:rsidRPr="008810B9" w14:paraId="13448F45" w14:textId="77777777" w:rsidTr="00832A63">
        <w:trPr>
          <w:trHeight w:val="851"/>
        </w:trPr>
        <w:tc>
          <w:tcPr>
            <w:tcW w:w="2694" w:type="dxa"/>
            <w:shd w:val="clear" w:color="auto" w:fill="FBE4D5" w:themeFill="accent2" w:themeFillTint="33"/>
            <w:vAlign w:val="center"/>
          </w:tcPr>
          <w:p w14:paraId="257695CE" w14:textId="62E19B6E" w:rsidR="00165085" w:rsidRPr="008810B9" w:rsidRDefault="00165085" w:rsidP="000C651B">
            <w:pPr>
              <w:rPr>
                <w:rFonts w:cstheme="minorHAnsi"/>
                <w:b/>
                <w:sz w:val="24"/>
                <w:szCs w:val="24"/>
                <w:lang w:val="es-ES"/>
              </w:rPr>
            </w:pPr>
            <w:r w:rsidRPr="008810B9">
              <w:rPr>
                <w:rFonts w:cstheme="minorHAnsi"/>
                <w:b/>
                <w:sz w:val="24"/>
                <w:szCs w:val="24"/>
                <w:lang w:val="es-ES"/>
              </w:rPr>
              <w:lastRenderedPageBreak/>
              <w:t>Validez</w:t>
            </w:r>
          </w:p>
        </w:tc>
        <w:tc>
          <w:tcPr>
            <w:tcW w:w="4962" w:type="dxa"/>
          </w:tcPr>
          <w:p w14:paraId="4F6AA838" w14:textId="77777777" w:rsidR="00165085" w:rsidRPr="008810B9" w:rsidRDefault="00165085" w:rsidP="000C651B">
            <w:pPr>
              <w:jc w:val="both"/>
              <w:rPr>
                <w:rFonts w:cstheme="minorHAnsi"/>
                <w:sz w:val="24"/>
                <w:szCs w:val="24"/>
                <w:lang w:val="es-ES"/>
              </w:rPr>
            </w:pPr>
          </w:p>
        </w:tc>
        <w:tc>
          <w:tcPr>
            <w:tcW w:w="5528" w:type="dxa"/>
          </w:tcPr>
          <w:p w14:paraId="515DB70F" w14:textId="66C93106" w:rsidR="00165085" w:rsidRPr="008810B9" w:rsidRDefault="00165085" w:rsidP="000C651B">
            <w:pPr>
              <w:jc w:val="both"/>
              <w:rPr>
                <w:rFonts w:cstheme="minorHAnsi"/>
                <w:sz w:val="24"/>
                <w:szCs w:val="24"/>
                <w:lang w:val="es-ES"/>
              </w:rPr>
            </w:pPr>
          </w:p>
        </w:tc>
      </w:tr>
      <w:tr w:rsidR="000C651B" w:rsidRPr="008810B9" w14:paraId="62C6939B" w14:textId="77777777" w:rsidTr="00832A63">
        <w:trPr>
          <w:trHeight w:val="851"/>
        </w:trPr>
        <w:tc>
          <w:tcPr>
            <w:tcW w:w="2694" w:type="dxa"/>
            <w:shd w:val="clear" w:color="auto" w:fill="FBE4D5" w:themeFill="accent2" w:themeFillTint="33"/>
            <w:vAlign w:val="center"/>
          </w:tcPr>
          <w:p w14:paraId="318AC966" w14:textId="6A9DA554" w:rsidR="000C651B" w:rsidRPr="008810B9" w:rsidRDefault="000C651B" w:rsidP="00165085">
            <w:pPr>
              <w:rPr>
                <w:rFonts w:cstheme="minorHAnsi"/>
                <w:b/>
                <w:sz w:val="24"/>
                <w:szCs w:val="24"/>
                <w:lang w:val="es-ES"/>
              </w:rPr>
            </w:pPr>
            <w:r w:rsidRPr="008810B9">
              <w:rPr>
                <w:rFonts w:cstheme="minorHAnsi"/>
                <w:b/>
                <w:sz w:val="24"/>
                <w:szCs w:val="24"/>
                <w:lang w:val="es-ES"/>
              </w:rPr>
              <w:t>Tipos de validez</w:t>
            </w:r>
          </w:p>
        </w:tc>
        <w:tc>
          <w:tcPr>
            <w:tcW w:w="4962" w:type="dxa"/>
          </w:tcPr>
          <w:p w14:paraId="345D2067" w14:textId="77777777" w:rsidR="000C651B" w:rsidRPr="008810B9" w:rsidRDefault="000C651B" w:rsidP="000C651B">
            <w:pPr>
              <w:jc w:val="both"/>
              <w:rPr>
                <w:rFonts w:cstheme="minorHAnsi"/>
                <w:sz w:val="24"/>
                <w:szCs w:val="24"/>
                <w:lang w:val="es-ES"/>
              </w:rPr>
            </w:pPr>
          </w:p>
        </w:tc>
        <w:tc>
          <w:tcPr>
            <w:tcW w:w="5528" w:type="dxa"/>
          </w:tcPr>
          <w:p w14:paraId="73B0DACB" w14:textId="77777777" w:rsidR="000C651B" w:rsidRPr="008810B9" w:rsidRDefault="000C651B" w:rsidP="000C651B">
            <w:pPr>
              <w:jc w:val="both"/>
              <w:rPr>
                <w:rFonts w:cstheme="minorHAnsi"/>
                <w:sz w:val="24"/>
                <w:szCs w:val="24"/>
                <w:lang w:val="es-ES"/>
              </w:rPr>
            </w:pPr>
          </w:p>
        </w:tc>
      </w:tr>
      <w:tr w:rsidR="000C651B" w:rsidRPr="008810B9" w14:paraId="2CACBC91" w14:textId="77777777" w:rsidTr="00832A63">
        <w:trPr>
          <w:trHeight w:val="851"/>
        </w:trPr>
        <w:tc>
          <w:tcPr>
            <w:tcW w:w="2694" w:type="dxa"/>
            <w:shd w:val="clear" w:color="auto" w:fill="FBE4D5" w:themeFill="accent2" w:themeFillTint="33"/>
            <w:vAlign w:val="center"/>
          </w:tcPr>
          <w:p w14:paraId="66A42566" w14:textId="3019E235" w:rsidR="000C651B" w:rsidRPr="008810B9" w:rsidRDefault="000C651B" w:rsidP="00165085">
            <w:pPr>
              <w:rPr>
                <w:rFonts w:cstheme="minorHAnsi"/>
                <w:b/>
                <w:sz w:val="24"/>
                <w:szCs w:val="24"/>
                <w:lang w:val="es-ES"/>
              </w:rPr>
            </w:pPr>
            <w:r w:rsidRPr="008810B9">
              <w:rPr>
                <w:rFonts w:cstheme="minorHAnsi"/>
                <w:b/>
                <w:sz w:val="24"/>
                <w:szCs w:val="24"/>
                <w:lang w:val="es-ES"/>
              </w:rPr>
              <w:t>Ámbitos de validez</w:t>
            </w:r>
          </w:p>
        </w:tc>
        <w:tc>
          <w:tcPr>
            <w:tcW w:w="4962" w:type="dxa"/>
          </w:tcPr>
          <w:p w14:paraId="423BB4DD" w14:textId="77777777" w:rsidR="000C651B" w:rsidRPr="008810B9" w:rsidRDefault="000C651B" w:rsidP="000C651B">
            <w:pPr>
              <w:jc w:val="both"/>
              <w:rPr>
                <w:rFonts w:cstheme="minorHAnsi"/>
                <w:sz w:val="24"/>
                <w:szCs w:val="24"/>
                <w:lang w:val="es-ES"/>
              </w:rPr>
            </w:pPr>
          </w:p>
        </w:tc>
        <w:tc>
          <w:tcPr>
            <w:tcW w:w="5528" w:type="dxa"/>
          </w:tcPr>
          <w:p w14:paraId="079650F7" w14:textId="77777777" w:rsidR="000C651B" w:rsidRPr="008810B9" w:rsidRDefault="000C651B" w:rsidP="000C651B">
            <w:pPr>
              <w:jc w:val="both"/>
              <w:rPr>
                <w:rFonts w:cstheme="minorHAnsi"/>
                <w:sz w:val="24"/>
                <w:szCs w:val="24"/>
                <w:lang w:val="es-ES"/>
              </w:rPr>
            </w:pPr>
          </w:p>
        </w:tc>
      </w:tr>
      <w:tr w:rsidR="00165085" w:rsidRPr="008810B9" w14:paraId="6BBD528F" w14:textId="77777777" w:rsidTr="00832A63">
        <w:trPr>
          <w:trHeight w:val="851"/>
        </w:trPr>
        <w:tc>
          <w:tcPr>
            <w:tcW w:w="2694" w:type="dxa"/>
            <w:shd w:val="clear" w:color="auto" w:fill="FBE4D5" w:themeFill="accent2" w:themeFillTint="33"/>
            <w:vAlign w:val="center"/>
          </w:tcPr>
          <w:p w14:paraId="7F5ECBE9" w14:textId="657E3CE9" w:rsidR="00165085" w:rsidRPr="008810B9" w:rsidRDefault="00165085" w:rsidP="00165085">
            <w:pPr>
              <w:rPr>
                <w:rFonts w:cstheme="minorHAnsi"/>
                <w:b/>
                <w:sz w:val="24"/>
                <w:szCs w:val="24"/>
                <w:lang w:val="es-ES"/>
              </w:rPr>
            </w:pPr>
            <w:r w:rsidRPr="008810B9">
              <w:rPr>
                <w:rFonts w:cstheme="minorHAnsi"/>
                <w:b/>
                <w:sz w:val="24"/>
                <w:szCs w:val="24"/>
                <w:lang w:val="es-ES"/>
              </w:rPr>
              <w:t>Hecho jurídico</w:t>
            </w:r>
          </w:p>
        </w:tc>
        <w:tc>
          <w:tcPr>
            <w:tcW w:w="4962" w:type="dxa"/>
          </w:tcPr>
          <w:p w14:paraId="72C1B529" w14:textId="77777777" w:rsidR="00165085" w:rsidRPr="008810B9" w:rsidRDefault="00165085" w:rsidP="000C651B">
            <w:pPr>
              <w:jc w:val="both"/>
              <w:rPr>
                <w:rFonts w:cstheme="minorHAnsi"/>
                <w:sz w:val="24"/>
                <w:szCs w:val="24"/>
                <w:lang w:val="es-ES"/>
              </w:rPr>
            </w:pPr>
          </w:p>
        </w:tc>
        <w:tc>
          <w:tcPr>
            <w:tcW w:w="5528" w:type="dxa"/>
          </w:tcPr>
          <w:p w14:paraId="0C4FC821" w14:textId="77777777" w:rsidR="00165085" w:rsidRPr="008810B9" w:rsidRDefault="00165085" w:rsidP="000C651B">
            <w:pPr>
              <w:jc w:val="both"/>
              <w:rPr>
                <w:rFonts w:cstheme="minorHAnsi"/>
                <w:sz w:val="24"/>
                <w:szCs w:val="24"/>
                <w:lang w:val="es-ES"/>
              </w:rPr>
            </w:pPr>
          </w:p>
        </w:tc>
      </w:tr>
      <w:tr w:rsidR="00165085" w:rsidRPr="008810B9" w14:paraId="02A9CE5F" w14:textId="77777777" w:rsidTr="00832A63">
        <w:trPr>
          <w:trHeight w:val="851"/>
        </w:trPr>
        <w:tc>
          <w:tcPr>
            <w:tcW w:w="2694" w:type="dxa"/>
            <w:shd w:val="clear" w:color="auto" w:fill="FBE4D5" w:themeFill="accent2" w:themeFillTint="33"/>
            <w:vAlign w:val="center"/>
          </w:tcPr>
          <w:p w14:paraId="7F2E9196" w14:textId="32042C3E" w:rsidR="00165085" w:rsidRPr="008810B9" w:rsidRDefault="00165085" w:rsidP="000C651B">
            <w:pPr>
              <w:jc w:val="both"/>
              <w:rPr>
                <w:rFonts w:cstheme="minorHAnsi"/>
                <w:b/>
                <w:sz w:val="24"/>
                <w:szCs w:val="24"/>
                <w:lang w:val="es-ES"/>
              </w:rPr>
            </w:pPr>
            <w:r w:rsidRPr="008810B9">
              <w:rPr>
                <w:rFonts w:cstheme="minorHAnsi"/>
                <w:b/>
                <w:sz w:val="24"/>
                <w:szCs w:val="24"/>
                <w:lang w:val="es-ES"/>
              </w:rPr>
              <w:t xml:space="preserve">Acto </w:t>
            </w:r>
            <w:r w:rsidR="000C651B" w:rsidRPr="008810B9">
              <w:rPr>
                <w:rFonts w:cstheme="minorHAnsi"/>
                <w:b/>
                <w:sz w:val="24"/>
                <w:szCs w:val="24"/>
                <w:lang w:val="es-ES"/>
              </w:rPr>
              <w:t>jurídico</w:t>
            </w:r>
          </w:p>
        </w:tc>
        <w:tc>
          <w:tcPr>
            <w:tcW w:w="4962" w:type="dxa"/>
          </w:tcPr>
          <w:p w14:paraId="389413EA" w14:textId="77777777" w:rsidR="00165085" w:rsidRPr="008810B9" w:rsidRDefault="00165085" w:rsidP="000C651B">
            <w:pPr>
              <w:jc w:val="both"/>
              <w:rPr>
                <w:rFonts w:cstheme="minorHAnsi"/>
                <w:sz w:val="24"/>
                <w:szCs w:val="24"/>
                <w:lang w:val="es-ES"/>
              </w:rPr>
            </w:pPr>
          </w:p>
        </w:tc>
        <w:tc>
          <w:tcPr>
            <w:tcW w:w="5528" w:type="dxa"/>
          </w:tcPr>
          <w:p w14:paraId="23CCCB8E" w14:textId="77777777" w:rsidR="00165085" w:rsidRPr="008810B9" w:rsidRDefault="00165085" w:rsidP="000C651B">
            <w:pPr>
              <w:jc w:val="both"/>
              <w:rPr>
                <w:rFonts w:cstheme="minorHAnsi"/>
                <w:sz w:val="24"/>
                <w:szCs w:val="24"/>
                <w:lang w:val="es-ES"/>
              </w:rPr>
            </w:pPr>
          </w:p>
        </w:tc>
      </w:tr>
    </w:tbl>
    <w:p w14:paraId="0E840395" w14:textId="491E055F" w:rsidR="00E65150" w:rsidRDefault="00E65150" w:rsidP="00F97CE3">
      <w:pPr>
        <w:ind w:left="-426"/>
      </w:pPr>
    </w:p>
    <w:sectPr w:rsidR="00E65150" w:rsidSect="00437144">
      <w:headerReference w:type="default" r:id="rId11"/>
      <w:pgSz w:w="15840" w:h="12240" w:orient="landscape"/>
      <w:pgMar w:top="1482" w:right="1418" w:bottom="993"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BA8E" w14:textId="77777777" w:rsidR="00846902" w:rsidRDefault="00846902" w:rsidP="009819FC">
      <w:pPr>
        <w:spacing w:after="0" w:line="240" w:lineRule="auto"/>
      </w:pPr>
      <w:r>
        <w:separator/>
      </w:r>
    </w:p>
  </w:endnote>
  <w:endnote w:type="continuationSeparator" w:id="0">
    <w:p w14:paraId="7892B2CF" w14:textId="77777777" w:rsidR="00846902" w:rsidRDefault="00846902" w:rsidP="0098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33B5" w14:textId="77777777" w:rsidR="00846902" w:rsidRDefault="00846902" w:rsidP="009819FC">
      <w:pPr>
        <w:spacing w:after="0" w:line="240" w:lineRule="auto"/>
      </w:pPr>
      <w:r>
        <w:separator/>
      </w:r>
    </w:p>
  </w:footnote>
  <w:footnote w:type="continuationSeparator" w:id="0">
    <w:p w14:paraId="5FBEC70B" w14:textId="77777777" w:rsidR="00846902" w:rsidRDefault="00846902" w:rsidP="00981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EE23" w14:textId="2A82A67C" w:rsidR="009819FC" w:rsidRDefault="009819FC" w:rsidP="0026372C">
    <w:pPr>
      <w:pStyle w:val="Encabezado"/>
    </w:pPr>
    <w:r w:rsidRPr="0076589B">
      <w:rPr>
        <w:noProof/>
        <w:sz w:val="20"/>
        <w:szCs w:val="20"/>
        <w:lang w:eastAsia="es-MX"/>
      </w:rPr>
      <w:drawing>
        <wp:anchor distT="0" distB="0" distL="114300" distR="114300" simplePos="0" relativeHeight="251659264" behindDoc="1" locked="0" layoutInCell="1" allowOverlap="1" wp14:anchorId="25046E56" wp14:editId="3642DF17">
          <wp:simplePos x="0" y="0"/>
          <wp:positionH relativeFrom="column">
            <wp:posOffset>5609145</wp:posOffset>
          </wp:positionH>
          <wp:positionV relativeFrom="paragraph">
            <wp:posOffset>-253005</wp:posOffset>
          </wp:positionV>
          <wp:extent cx="2552700" cy="477672"/>
          <wp:effectExtent l="0" t="0" r="0" b="0"/>
          <wp:wrapNone/>
          <wp:docPr id="7" name="0 Imagen" descr="lau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aure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477672"/>
                  </a:xfrm>
                  <a:prstGeom prst="rect">
                    <a:avLst/>
                  </a:prstGeom>
                  <a:noFill/>
                </pic:spPr>
              </pic:pic>
            </a:graphicData>
          </a:graphic>
          <wp14:sizeRelH relativeFrom="page">
            <wp14:pctWidth>0</wp14:pctWidth>
          </wp14:sizeRelH>
          <wp14:sizeRelV relativeFrom="page">
            <wp14:pctHeight>0</wp14:pctHeight>
          </wp14:sizeRelV>
        </wp:anchor>
      </w:drawing>
    </w:r>
    <w:r w:rsidR="0026372C">
      <w:t xml:space="preserve">Edna Naomi Alvarez </w:t>
    </w:r>
    <w:proofErr w:type="spellStart"/>
    <w:r w:rsidR="0026372C">
      <w:t>Lom</w:t>
    </w:r>
    <w:r w:rsidR="00AE7E76">
      <w:t>á</w:t>
    </w:r>
    <w:r w:rsidR="0026372C">
      <w:t>n</w:t>
    </w:r>
    <w:proofErr w:type="spellEnd"/>
    <w:r w:rsidR="0026372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042C"/>
    <w:multiLevelType w:val="hybridMultilevel"/>
    <w:tmpl w:val="5E80DC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6C3215E6"/>
    <w:multiLevelType w:val="hybridMultilevel"/>
    <w:tmpl w:val="FBE883E4"/>
    <w:lvl w:ilvl="0" w:tplc="09AEC27E">
      <w:numFmt w:val="bullet"/>
      <w:lvlText w:val="•"/>
      <w:lvlJc w:val="left"/>
      <w:pPr>
        <w:ind w:left="1144" w:hanging="435"/>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16cid:durableId="1083381478">
    <w:abstractNumId w:val="0"/>
  </w:num>
  <w:num w:numId="2" w16cid:durableId="160538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150"/>
    <w:rsid w:val="00063724"/>
    <w:rsid w:val="000B30D8"/>
    <w:rsid w:val="000C651B"/>
    <w:rsid w:val="00165085"/>
    <w:rsid w:val="001B3A03"/>
    <w:rsid w:val="00230C25"/>
    <w:rsid w:val="0026372C"/>
    <w:rsid w:val="002C2A84"/>
    <w:rsid w:val="00437144"/>
    <w:rsid w:val="00472D32"/>
    <w:rsid w:val="004828CF"/>
    <w:rsid w:val="004B1634"/>
    <w:rsid w:val="004F3672"/>
    <w:rsid w:val="004F582E"/>
    <w:rsid w:val="005208DA"/>
    <w:rsid w:val="005B74E8"/>
    <w:rsid w:val="005D2969"/>
    <w:rsid w:val="005D4FE3"/>
    <w:rsid w:val="005E3454"/>
    <w:rsid w:val="00653246"/>
    <w:rsid w:val="006B0305"/>
    <w:rsid w:val="006D2436"/>
    <w:rsid w:val="00773A62"/>
    <w:rsid w:val="00832A63"/>
    <w:rsid w:val="00846902"/>
    <w:rsid w:val="00865BF6"/>
    <w:rsid w:val="008810B9"/>
    <w:rsid w:val="0088627E"/>
    <w:rsid w:val="008B1DAF"/>
    <w:rsid w:val="008C2E5F"/>
    <w:rsid w:val="008D5C79"/>
    <w:rsid w:val="008E5C83"/>
    <w:rsid w:val="00917784"/>
    <w:rsid w:val="00921889"/>
    <w:rsid w:val="00925081"/>
    <w:rsid w:val="009815DD"/>
    <w:rsid w:val="009819FC"/>
    <w:rsid w:val="009B73AC"/>
    <w:rsid w:val="00A120D4"/>
    <w:rsid w:val="00A13121"/>
    <w:rsid w:val="00A1754A"/>
    <w:rsid w:val="00AE7E76"/>
    <w:rsid w:val="00D95782"/>
    <w:rsid w:val="00E35A60"/>
    <w:rsid w:val="00E65150"/>
    <w:rsid w:val="00E779B6"/>
    <w:rsid w:val="00F104F5"/>
    <w:rsid w:val="00F33245"/>
    <w:rsid w:val="00F97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E4093"/>
  <w15:chartTrackingRefBased/>
  <w15:docId w15:val="{FE1C1466-6C18-4047-8ECE-4FC16656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5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1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9FC"/>
  </w:style>
  <w:style w:type="paragraph" w:styleId="Piedepgina">
    <w:name w:val="footer"/>
    <w:basedOn w:val="Normal"/>
    <w:link w:val="PiedepginaCar"/>
    <w:uiPriority w:val="99"/>
    <w:unhideWhenUsed/>
    <w:rsid w:val="00981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9FC"/>
  </w:style>
  <w:style w:type="paragraph" w:styleId="Textodeglobo">
    <w:name w:val="Balloon Text"/>
    <w:basedOn w:val="Normal"/>
    <w:link w:val="TextodegloboCar"/>
    <w:uiPriority w:val="99"/>
    <w:semiHidden/>
    <w:unhideWhenUsed/>
    <w:rsid w:val="008E5C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83"/>
    <w:rPr>
      <w:rFonts w:ascii="Segoe UI" w:hAnsi="Segoe UI" w:cs="Segoe UI"/>
      <w:sz w:val="18"/>
      <w:szCs w:val="18"/>
    </w:rPr>
  </w:style>
  <w:style w:type="paragraph" w:styleId="Prrafodelista">
    <w:name w:val="List Paragraph"/>
    <w:basedOn w:val="Normal"/>
    <w:uiPriority w:val="34"/>
    <w:qFormat/>
    <w:rsid w:val="00A1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E0AB85DC2742B4DBEF1D5D76D893410" ma:contentTypeVersion="10" ma:contentTypeDescription="Crear nuevo documento." ma:contentTypeScope="" ma:versionID="38d407571ab66077dbbd525784f184ee">
  <xsd:schema xmlns:xsd="http://www.w3.org/2001/XMLSchema" xmlns:xs="http://www.w3.org/2001/XMLSchema" xmlns:p="http://schemas.microsoft.com/office/2006/metadata/properties" xmlns:ns3="d4e4a4ec-59eb-4b96-8d19-edbb8090eef5" xmlns:ns4="355e4f7d-edb3-4480-a754-7c133023b5cc" targetNamespace="http://schemas.microsoft.com/office/2006/metadata/properties" ma:root="true" ma:fieldsID="783ae12cf93593d6781e2e4aa6eb0036" ns3:_="" ns4:_="">
    <xsd:import namespace="d4e4a4ec-59eb-4b96-8d19-edbb8090eef5"/>
    <xsd:import namespace="355e4f7d-edb3-4480-a754-7c133023b5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4a4ec-59eb-4b96-8d19-edbb8090eef5"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5e4f7d-edb3-4480-a754-7c133023b5c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6A2E77-96C0-4726-AFE0-1651C0A120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D09F5-D418-4F8E-9092-2EA7A92E2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4a4ec-59eb-4b96-8d19-edbb8090eef5"/>
    <ds:schemaRef ds:uri="355e4f7d-edb3-4480-a754-7c133023b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86089C-81AA-4C21-8F3F-D3BE4360F5A9}">
  <ds:schemaRefs>
    <ds:schemaRef ds:uri="http://schemas.openxmlformats.org/officeDocument/2006/bibliography"/>
  </ds:schemaRefs>
</ds:datastoreItem>
</file>

<file path=customXml/itemProps4.xml><?xml version="1.0" encoding="utf-8"?>
<ds:datastoreItem xmlns:ds="http://schemas.openxmlformats.org/officeDocument/2006/customXml" ds:itemID="{EDF73980-5D60-43A6-BB99-8A70014DC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Martinez Luna</dc:creator>
  <cp:keywords/>
  <dc:description/>
  <cp:lastModifiedBy>Aneth Armenta Alvarez</cp:lastModifiedBy>
  <cp:revision>3</cp:revision>
  <dcterms:created xsi:type="dcterms:W3CDTF">2020-12-12T16:01:00Z</dcterms:created>
  <dcterms:modified xsi:type="dcterms:W3CDTF">2023-09-27T20:12:00Z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0x0101000E0AB85DC2742B4DBEF1D5D76D893410</vt:lpwstr>
  </property>
</Properties>
</file>