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180" w:line="360" w:lineRule="auto"/>
      </w:pPr>
      <w:r>
        <w:rPr>
          <w:rFonts w:ascii="Microsoft YaHei" w:hAnsi="Microsoft YaHei" w:eastAsia="Microsoft YaHei"/>
          <w:sz w:val="22"/>
          <w:szCs w:val="22"/>
        </w:rPr>
        <w:t>MAX6675温度通过I²C数码管显示开发指南</w:t>
      </w:r>
    </w:p>
    <w:p>
      <w:pPr>
        <w:pStyle w:val="Subtitle"/>
        <w:jc w:val="center"/>
        <w:spacing w:after="300" w:line="360" w:lineRule="auto"/>
      </w:pPr>
      <w:r>
        <w:rPr>
          <w:rFonts w:ascii="Microsoft YaHei" w:hAnsi="Microsoft YaHei" w:eastAsia="Microsoft YaHei"/>
          <w:sz w:val="22"/>
          <w:szCs w:val="22"/>
        </w:rPr>
        <w:t>ESP32-S3 · ESP-IDF v5.2.1 · HT16K33十四段显示器</w:t>
      </w:r>
    </w:p>
    <w:p>
      <w:pPr>
        <w:jc w:val="center"/>
        <w:spacing w:after="260" w:line="360" w:lineRule="auto"/>
      </w:pPr>
      <w:r>
        <w:rPr>
          <w:rFonts w:ascii="Microsoft YaHei" w:hAnsi="Microsoft YaHei" w:eastAsia="Microsoft YaHei"/>
          <w:sz w:val="22"/>
          <w:szCs w:val="22"/>
        </w:rPr>
        <w:t>目标：理解I²C通信以及tstFryer当前显示方案，在新项目中先独立驱动一块HT16K33显示器，再把MAX6675温度安全地传递给显示任务。本文提供原理、API说明和TODO框架，便于自主完成程序。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1. 先澄清：当前项目究竟是不是I²C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tstFryer主工程的数码管实现确实使用I²C，但组件目录和初始化函数仍保留TM1638、tm1638_init等旧名称，容易造成误解。真正的TM1638是CLK、DIO、STB三线串行接口，并不是标准I²C；当前有效实现已经迁移成AlphaNum4类驱动HT16K33十四段显示器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当前有效数据链路：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ESP32-S3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 I²C（SDA/SCL）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HT16K33显示驱动芯片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 段线/位线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四位十四段数码管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组件仍编译tm1638.cpp和AlphaNum4.cpp；旧的TM1618_FillDisplayBuffer系列兼容函数多数已经被注释，不适合作为新项目的学习入口。新项目应直接围绕HT16K33和AlphaNum4接口设计。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2. 当前项目的I²C硬件配置</w:t>
      </w:r>
    </w:p>
    <w:tbl>
      <w:tblPr>
        <w:tblStyle w:val="TableGrid"/>
        <w:tblW w:w="0" w:type="auto"/>
      </w:tblPr>
      <w:tr>
        <w:tc>
          <w:tcPr>
            <w:tcW w:w="2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项目</w:t>
            </w:r>
          </w:p>
        </w:tc>
        <w:tc>
          <w:tcPr>
            <w:tcW w:w="2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当前配置</w:t>
            </w:r>
          </w:p>
        </w:tc>
        <w:tc>
          <w:tcPr>
            <w:tcW w:w="47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说明</w:t>
            </w:r>
          </w:p>
        </w:tc>
      </w:tr>
      <w:tr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SDA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GPIO4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双向数据线</w:t>
            </w:r>
          </w:p>
        </w:tc>
      </w:tr>
      <w:tr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SCL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GPIO5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主机产生时钟</w:t>
            </w:r>
          </w:p>
        </w:tc>
      </w:tr>
      <w:tr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I²C端口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I2C_NUM_0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ESP32-S3的I²C控制器0</w:t>
            </w:r>
          </w:p>
        </w:tc>
      </w:tr>
      <w:tr>
        <w:tc>
          <w:tcPr>
            <w:tcW w:w="2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总线频率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100 kHz</w:t>
            </w:r>
          </w:p>
        </w:tc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I²C标准模式，适合入门调试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项目定义了四块显示器：</w:t>
      </w:r>
    </w:p>
    <w:tbl>
      <w:tblPr>
        <w:tblStyle w:val="TableGrid"/>
        <w:tblW w:w="0" w:type="auto"/>
      </w:tblPr>
      <w:tr>
        <w:tc>
          <w:tcPr>
            <w:tcW w:w="47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显示对象</w:t>
            </w:r>
          </w:p>
        </w:tc>
        <w:tc>
          <w:tcPr>
            <w:tcW w:w="4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7位地址</w:t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left_first_display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0x70</w:t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left_second_display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0x71</w:t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right_first_display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0x73</w:t>
            </w:r>
          </w:p>
        </w:tc>
      </w:tr>
      <w:tr>
        <w:tc>
          <w:tcPr>
            <w:tcW w:w="4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right_second_display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0x74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新项目建议先连接一块屏并使用0x70。GPIO4、GPIO5只能在接线和开发板资源允许时沿用，不应因为原项目如此定义就盲目复制。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3. I²C与SPI对比</w:t>
      </w:r>
    </w:p>
    <w:tbl>
      <w:tblPr>
        <w:tblStyle w:val="TableGrid"/>
        <w:tblW w:w="0" w:type="auto"/>
      </w:tblPr>
      <w:tr>
        <w:tc>
          <w:tcPr>
            <w:tcW w:w="22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特性</w:t>
            </w:r>
          </w:p>
        </w:tc>
        <w:tc>
          <w:tcPr>
            <w:tcW w:w="3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SPI / MAX6675</w:t>
            </w:r>
          </w:p>
        </w:tc>
        <w:tc>
          <w:tcPr>
            <w:tcW w:w="3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I²C / HT16K33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时钟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SCK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SCL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数据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MISO；MAX6675无MOSI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一根双向SDA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设备选择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每个设备独立CS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7位设备地址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应答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通常没有字节ACK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每个字节有ACK/NACK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当前频率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1 MHz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100 kHz</w:t>
            </w:r>
          </w:p>
        </w:tc>
      </w:tr>
      <w:tr>
        <w:tc>
          <w:tcPr>
            <w:tcW w:w="2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总线扩展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增加设备通常增加CS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共用SDA/SCL，地址必须不同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4. SDA、SCL和上拉电阻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SCL：时钟线，主机决定通信节奏。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SDA：双向数据线，主机发送地址和数据，从机也通过它回应ACK。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I²C通常采用开漏输出：设备可以拉低总线，但不主动推高总线。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SDA和SCL释放后由上拉电阻恢复高电平，因此两根线都需要上拉。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3.3V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上拉电阻 ── SDA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上拉电阻 ── SCL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ESP32代码可以启用内部上拉，但内部上拉较弱。实际硬件通常使用外部上拉，4.7 kΩ是常见起点，最终取值需结合电压、模块自带电阻、线长和总线电容。如果显示模块已经带上拉，不要机械地重复增加过多并联上拉。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5. START、地址、ACK和STOP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START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→ 发送7位地址 + Write位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→ 从机ACK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→ 发送命令或数据字节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→ 每个字节后从机ACK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→ STOP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START：主机宣布一次事务开始。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地址：决定总线上哪颗设备参与通信。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ACK：从机确认已经接收到前一个字节。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NACK：没有设备应答，或设备不接受当前传输。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STOP：主机结束事务并释放总线。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如果地址0x70收到NACK，应优先检查供电、共地、SDA/SCL、上拉、地址、GPIO冲突和电平兼容，而不是立刻怀疑字符段码。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6. 7位地址为什么写0x70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ESP-IDF接口接收7位设备地址，因此应直接写：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#define DISPLAY_ADDR 0x70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不要自行左移成0xE0。底层驱动会根据读写方向自动组合地址和R/W位。0x70、0x71等是不同设备地址；同一总线上的设备地址不能冲突。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7. ESP-IDF v5.2.1初始化I²C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#include "driver/i2c.h"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i2c_config_t conf = {};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conf.mode = I2C_MODE_MASTER;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conf.sda_io_num = I2C_MASTER_SDA;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conf.sda_pullup_en = GPIO_PULLUP_ENABLE;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conf.scl_io_num = I2C_MASTER_SCL;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conf.scl_pullup_en = GPIO_PULLUP_ENABLE;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conf.master.clk_speed = 100000;</w:t>
      </w:r>
    </w:p>
    <w:tbl>
      <w:tblPr>
        <w:tblStyle w:val="TableGrid"/>
        <w:tblW w:w="0" w:type="auto"/>
      </w:tblPr>
      <w:tr>
        <w:tc>
          <w:tcPr>
            <w:tcW w:w="28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字段</w:t>
            </w:r>
          </w:p>
        </w:tc>
        <w:tc>
          <w:tcPr>
            <w:tcW w:w="6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原因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mode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ESP32-S3作为主机，产生时钟并发起事务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sda_io_num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指定双向数据线GPIO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scl_io_num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指定时钟线GPIO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pullup_en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启用内部弱上拉，不能替代对硬件上拉的确认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clk_speed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100000 Hz，即标准模式100 kHz</w:t>
            </w:r>
          </w:p>
        </w:tc>
      </w:tr>
    </w:tbl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7.1 i2c_param_config()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err = i2c_param_config(I2C_NUM_0, &amp;conf);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把端口、引脚、主机模式、上拉和频率参数配置到指定I²C控制器。&amp;conf表示传入配置结构体的地址。失败时不应继续安装驱动。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7.2 i2c_driver_install()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err = i2c_driver_install(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I2C_NUM_0,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I2C_MODE_MASTER,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0,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0,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tbl>
      <w:tblPr>
        <w:tblStyle w:val="TableGrid"/>
        <w:tblW w:w="0" w:type="auto"/>
      </w:tblPr>
      <w:tr>
        <w:tc>
          <w:tcPr>
            <w:tcW w:w="30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参数</w:t>
            </w:r>
          </w:p>
        </w:tc>
        <w:tc>
          <w:tcPr>
            <w:tcW w:w="6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作用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I2C_NUM_0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安装到控制器0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I2C_MODE_MASTER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安装主机驱动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两个0长度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主机模式不使用从机收发缓冲区</w:t>
            </w:r>
          </w:p>
        </w:tc>
      </w:tr>
      <w:tr>
        <w:tc>
          <w:tcPr>
            <w:tcW w:w="30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最后一个0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使用默认中断分配标志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调用顺序必须是先i2c_param_config()，再i2c_driver_install()。初始化通常只执行一次，不要放进周期任务循环。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8. 先完成I²C地址扫描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在写显示驱动前，先扫描0x08～0x77并打印收到ACK的地址。单块显示器应发现0x70；原项目完整硬件可能发现0x70、0x71、0x73、0x74。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for address = 0x08 到 0x77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尝试向address发起一次I²C访问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如果收到ACK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打印 address</w:t>
      </w:r>
    </w:p>
    <w:tbl>
      <w:tblPr>
        <w:tblStyle w:val="TableGrid"/>
        <w:tblW w:w="0" w:type="auto"/>
      </w:tblPr>
      <w:tr>
        <w:tc>
          <w:tcPr>
            <w:tcW w:w="3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扫描结果</w:t>
            </w:r>
          </w:p>
        </w:tc>
        <w:tc>
          <w:tcPr>
            <w:tcW w:w="58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下一步判断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扫描不到0x70</w:t>
            </w:r>
          </w:p>
        </w:tc>
        <w:tc>
          <w:tcPr>
            <w:tcW w:w="5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优先排查供电、接线、地址、上拉和GPIO配置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能扫描到0x70但不显示</w:t>
            </w:r>
          </w:p>
        </w:tc>
        <w:tc>
          <w:tcPr>
            <w:tcW w:w="5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排查HT16K33初始化命令、显示缓冲区和段码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9. 向HT16K33写入数据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err = i2c_master_write_to_device(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I2C_NUM_0,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0x70,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data,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length,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pdMS_TO_TICKS(100)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tbl>
      <w:tblPr>
        <w:tblStyle w:val="TableGrid"/>
        <w:tblW w:w="0" w:type="auto"/>
      </w:tblPr>
      <w:tr>
        <w:tc>
          <w:tcPr>
            <w:tcW w:w="28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参数</w:t>
            </w:r>
          </w:p>
        </w:tc>
        <w:tc>
          <w:tcPr>
            <w:tcW w:w="6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意义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I2C_NUM_0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使用哪一个I²C控制器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0x70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目标设备的7位地址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data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要发送的数据缓冲区地址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length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发送的字节数量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100 ms</w:t>
            </w:r>
          </w:p>
        </w:tc>
        <w:tc>
          <w:tcPr>
            <w:tcW w:w="6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等待事务完成的最大时间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该函数内部完成START、地址、ACK检查、数据发送和STOP。发送一个命令的例子：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uint8_t command = 0x21;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err = i2c_master_write_to_device(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I2C_NUM_0, 0x70, &amp;command, 1,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pdMS_TO_TICKS(100)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10. HT16K33初始化命令</w:t>
      </w:r>
    </w:p>
    <w:tbl>
      <w:tblPr>
        <w:tblStyle w:val="TableGrid"/>
        <w:tblW w:w="0" w:type="auto"/>
      </w:tblPr>
      <w:tr>
        <w:tc>
          <w:tcPr>
            <w:tcW w:w="2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步骤</w:t>
            </w:r>
          </w:p>
        </w:tc>
        <w:tc>
          <w:tcPr>
            <w:tcW w:w="2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典型命令</w:t>
            </w:r>
          </w:p>
        </w:tc>
        <w:tc>
          <w:tcPr>
            <w:tcW w:w="4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作用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开启振荡器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0x21</w:t>
            </w:r>
          </w:p>
        </w:tc>
        <w:tc>
          <w:tcPr>
            <w:tcW w:w="4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启动内部显示扫描时钟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显示开启、闪烁关闭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0x81</w:t>
            </w:r>
          </w:p>
        </w:tc>
        <w:tc>
          <w:tcPr>
            <w:tcW w:w="4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打开输出，不使用闪烁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最大亮度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0xEF</w:t>
            </w:r>
          </w:p>
        </w:tc>
        <w:tc>
          <w:tcPr>
            <w:tcW w:w="4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0xE0与亮度15组合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清空显示RAM</w:t>
            </w:r>
          </w:p>
        </w:tc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地址0x00 + 空数据</w:t>
            </w:r>
          </w:p>
        </w:tc>
        <w:tc>
          <w:tcPr>
            <w:tcW w:w="4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清除上电垃圾段码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推荐逐条发送并检查每一步返回值。只有上一条命令成功，才继续下一条；这样出现NACK时能准确知道失败阶段。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11. AlphaNum4驱动接口</w:t>
      </w:r>
    </w:p>
    <w:tbl>
      <w:tblPr>
        <w:tblStyle w:val="TableGrid"/>
        <w:tblW w:w="0" w:type="auto"/>
      </w:tblPr>
      <w:tr>
        <w:tc>
          <w:tcPr>
            <w:tcW w:w="28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接口</w:t>
            </w:r>
          </w:p>
        </w:tc>
        <w:tc>
          <w:tcPr>
            <w:tcW w:w="39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作用</w:t>
            </w:r>
          </w:p>
        </w:tc>
        <w:tc>
          <w:tcPr>
            <w:tcW w:w="2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是否立即产生I²C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begin()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保存端口地址并初始化HT16K33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是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setBrightness()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设置0～15亮度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是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setBlinkRate()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设置闪烁状态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是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clear()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清空ESP32本地显示缓冲区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否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writeDigitAscii()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在本地缓冲区设置一个ASCII字符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否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print()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把最多4个字符写入本地缓冲区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否</w:t>
            </w:r>
          </w:p>
        </w:tc>
      </w:tr>
      <w:tr>
        <w:tc>
          <w:tcPr>
            <w:tcW w:w="2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writeDisplay()</w:t>
            </w:r>
          </w:p>
        </w:tc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把完整缓冲区发送到显示RAM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是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最关键的认识是：修改本地缓冲区不等于屏幕已经刷新。clear()、print()、writeDigitAscii()之后仍需调用writeDisplay()。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12. 字符、段码和小数点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十四段显示器不理解字符本身。AlphaNum4内部字体表把ASCII字符转换为16位段码，再写入_displayBuffer。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ASCII字符 'A'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 alphafonttable['A']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十四段位图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 writeDisplay()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HT16K33显示RAM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写入单个字符：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display.writeDigitAscii(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0,      // 位置0，最左侧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'2',    // ASCII字符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false   // 不点亮小数点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位置范围是0～3，从左到右。第三个参数为true时，在该字符后点亮小数点；小数点不额外占用字符位置。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13. 正确刷新四位显示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display.clear();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display.writeDigitAscii(0, '2', false);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display.writeDigitAscii(1, '5', true);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display.writeDigitAscii(2, '0', false);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display.writeDigitAscii(3, 'C', false);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err = display.writeDisplay();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视觉效果约为25.0C。建议先清空缓冲区，完整设置四位，最后只调用一次writeDisplay()。如果每写一位就刷新一次，不仅I²C事务增多，还可能让显示短暂出现中间状态。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14. 把MAX6675温度格式化为四位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炸炉温度经常超过100°C，四位显示器最实用的第一版格式是整数温度加C：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25C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180C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250C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四舍五入并格式化：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int value = (int)(temperature_c + 0.5f);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char text[5];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snprintf(text, sizeof(text), "%3dC", value);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%3d：至少占3个字符，位数不足时左侧补空格。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C：固定放在第4位。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text[5]：4个显示字符，加字符串结束符\0。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然后：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display.print(text);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return display.writeDisplay();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若显示一位小数，25.0C可用四位表示，但180.0C需要五位。因此第一版建议优先显示完整整数范围。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15. 温度显示函数练习框架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display_temperature_c(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AlphaNum4 &amp;display,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float temperature_c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TODO 1：检查温度范围，例如0～999°C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TODO 2：将float四舍五入成int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TODO 3：定义char text[5]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TODO 4：使用snprintf生成"%3dC"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TODO 5：display.print(text)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TODO 6：return display.writeDisplay()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热电偶断开时可显示OPEN，其他错误可显示ERR。每条显示路径最后都要检查writeDisplay()的I²C返回值。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16. 第一阶段：在温度任务中直接显示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void temperature_task(void *pvParameters)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AlphaNum4 *display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static_cast&lt;AlphaNum4 *&gt;(pvParameters);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TickType_t last_wake_time = xTaskGetTickCount();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while (1)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float temperature_c = 0.0f;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esp_err_t err = max6675_read(&amp;temperature_c);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if (err == ESP_OK)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// TODO：显示有效温度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 else if (err == ESP_ERR_INVALID_STATE)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// TODO：显示OPEN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 else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// TODO：显示ERR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xTaskDelayUntil(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&amp;last_wake_time,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pdMS_TO_TICKS(500)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任务参数必须指向长期存在的显示对象。适合使用静态或全局对象；不要把即将结束生命周期的局部对象地址传给长期任务。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17. 推荐结构：温度任务和显示任务分离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MAX6675温度任务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 temperature_sample_t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长度为1的最新值队列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HT16K33显示任务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采样消息建议同时携带温度、状态和时间：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typedef struct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float temperature_c;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esp_err_t status;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TickType_t timestamp;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 temperature_sample_t;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创建队列：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QueueHandle_t temperature_queue = xQueueCreate(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1,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sizeof(temperature_sample_t)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温度任务覆盖最新值：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xQueueOverwrite(temperature_queue, &amp;sample);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显示任务阻塞等待：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temperature_sample_t sample;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(xQueueReceive(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temperature_queue,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&amp;sample,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portMAX_DELAY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 == pdTRUE)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// 根据status显示温度、OPEN或ERR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显示任务不必额外轮询延时：队列没有数据时它处于阻塞状态，新样本写入后自动唤醒。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18. 为什么只让一个任务操作显示器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I²C底层可能具备一定的总线互斥，但AlphaNum4对象还有本地_displayBuffer。如果多个任务交叉执行clear、writeDigitAscii和writeDisplay，可能把不同界面的字符组合到一起。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温度任务：clear()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 被调度器切换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状态任务：print("WIFI")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 再切换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温度任务：writeDigitAscii() + writeDisplay()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屏幕内容混合或覆盖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最简单可靠的所有权规则是：只有显示任务能直接操作AlphaNum4对象；其他模块通过队列发送温度或显示消息。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19. 常见问题排查</w:t>
      </w:r>
    </w:p>
    <w:tbl>
      <w:tblPr>
        <w:tblStyle w:val="TableGrid"/>
        <w:tblW w:w="0" w:type="auto"/>
      </w:tblPr>
      <w:tr>
        <w:tc>
          <w:tcPr>
            <w:tcW w:w="2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现象</w:t>
            </w:r>
          </w:p>
        </w:tc>
        <w:tc>
          <w:tcPr>
            <w:tcW w:w="3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常见原因</w:t>
            </w:r>
          </w:p>
        </w:tc>
        <w:tc>
          <w:tcPr>
            <w:tcW w:w="32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检查方法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扫描不到0x70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接线、供电、上拉、地址或GPIO错误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万用表、原理图、I²C扫描器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ESP_ERR_TIMEOUT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SCL/SDA被拉低或总线异常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检查短路、电平和上拉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收到NACK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地址错误或设备未工作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确认7位地址及0x21初始化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字符缓冲区改变但屏幕不变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忘记writeDisplay()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检查最终I²C刷新调用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旧百位残留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更新前没有clear或补空格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每次完整重建4位缓冲区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字符乱码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段码映射或显示硬件型号不一致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先显示8888和固定ASCII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偶发混合内容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多个任务操作同一对象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统一由显示任务管理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20. 分阶段练习路线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阶段一：验证I²C硬件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配置SDA、SCL、100 kHz和主机模式。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安装I²C驱动并检查返回值。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扫描地址，确认发现0x70。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阶段二：直接发送HT16K33命令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发送0x21打开振荡器。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发送0x81打开显示并关闭闪烁。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发送0xEF设置亮度。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逐步检查ACK和esp_err_t。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阶段三：显示固定内容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依次显示8888、TEST、25C和OPEN。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理解clear、writeDigitAscii、print和writeDisplay的区别。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阶段四：显示固定温度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测试25°C、180°C和250°C。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确认两位数不会残留旧百位。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确认超范围值有明确处理。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阶段五：接入MAX6675任务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ESP_OK显示温度，断线显示OPEN，其他错误显示ERR。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先在同一任务打通，再拆成温度任务和显示任务。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阶段六：使用队列解耦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创建长度为1的采样队列。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温度任务写入temperature_sample_t。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显示任务独占AlphaNum4并阻塞等待消息。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21. 学习完成后的自检问题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为什么I²C不需要为每颗设备单独设置CS？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为什么地址使用0x70而不是0xE0？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为什么SDA和SCL都需要上拉？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ACK和NACK分别说明什么？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clear()和writeDisplay()为什么不是同一件事？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为什么writeDigitAscii()之后屏幕可能没有变化？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为什么四位显示器优先显示180C而不是180.0C？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为什么建议只有显示任务操作AlphaNum4对象？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为什么队列消息最好包含状态和时间戳，而不只是float温度？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能够独立回答这些问题，并完成扫描器、固定字符、固定温度和任务队列四个实验，就说明已经掌握了从I²C电气层到应用层显示的数据链路。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附录A：I²C扫描器完整实现与函数说明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ESP-IDF v5.2.1传统I²C API没有一个直接叫“扫描总线”的单独函数。扫描器需要为0x08～0x77的每个7位地址构造一个仅包含地址阶段的事务，并根据该地址是否返回ACK判断设备是否存在。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A.1 扫描器使用的函数</w:t>
      </w:r>
    </w:p>
    <w:tbl>
      <w:tblPr>
        <w:tblStyle w:val="TableGrid"/>
        <w:tblW w:w="0" w:type="auto"/>
      </w:tblPr>
      <w:tr>
        <w:tc>
          <w:tcPr>
            <w:tcW w:w="36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函数</w:t>
            </w:r>
          </w:p>
        </w:tc>
        <w:tc>
          <w:tcPr>
            <w:tcW w:w="5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作用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i2c_cmd_link_create()</w:t>
            </w:r>
          </w:p>
        </w:tc>
        <w:tc>
          <w:tcPr>
            <w:tcW w:w="5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创建一条临时I²C命令链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i2c_master_start()</w:t>
            </w:r>
          </w:p>
        </w:tc>
        <w:tc>
          <w:tcPr>
            <w:tcW w:w="5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向命令链加入START条件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i2c_master_write_byte()</w:t>
            </w:r>
          </w:p>
        </w:tc>
        <w:tc>
          <w:tcPr>
            <w:tcW w:w="5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发送地址字节，并要求检查ACK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i2c_master_stop()</w:t>
            </w:r>
          </w:p>
        </w:tc>
        <w:tc>
          <w:tcPr>
            <w:tcW w:w="5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向命令链加入STOP条件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i2c_master_cmd_begin()</w:t>
            </w:r>
          </w:p>
        </w:tc>
        <w:tc>
          <w:tcPr>
            <w:tcW w:w="5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真正执行事务；ESP_OK代表收到ACK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i2c_cmd_link_delete()</w:t>
            </w:r>
          </w:p>
        </w:tc>
        <w:tc>
          <w:tcPr>
            <w:tcW w:w="5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释放命令链内存，无论成功失败都必须调用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其中真正启动硬件通信并返回结果的是i2c_master_cmd_begin()。前面几个函数只是在内存中描述即将执行的START、地址和STOP。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A.2 完整扫描函数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#include "driver/i2c.h"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#include "esp_log.h"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static const char *TAG = "I2C_SCAN";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void i2c_scan(i2c_port_t i2c_port)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int device_count = 0;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ESP_LOGI(TAG, "开始扫描I2C总线...");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for (uint8_t address = 0x08;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address &lt;= 0x77;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address++)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i2c_cmd_handle_t cmd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i2c_cmd_link_create();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if (cmd == NULL)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ESP_LOGE(TAG, "创建I2C命令失败");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return;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i2c_master_start(cmd);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i2c_master_write_byte(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cmd,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(address &lt;&lt; 1) | I2C_MASTER_WRITE,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true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i2c_master_stop(cmd);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esp_err_t err = i2c_master_cmd_begin(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i2c_port,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cmd,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pdMS_TO_TICKS(20)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i2c_cmd_link_delete(cmd);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if (err == ESP_OK)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ESP_LOGI(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TAG,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"发现I2C设备：0x%02X",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(unsigned int)address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device_count++;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if (device_count == 0)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ESP_LOGW(TAG, "没有发现任何I2C设备");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 else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ESP_LOGI(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TAG,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"扫描完成，共发现%d个设备",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device_count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A.3 正确调用顺序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扫描器依赖已经安装的I²C驱动，因此必须放在i2c_param_config()和i2c_driver_install()都成功之后：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ESP_ERROR_CHECK(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i2c_param_config(I2C_MASTER_PORT, &amp;conf)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ESP_ERROR_CHECK(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i2c_driver_install(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I2C_MASTER_PORT,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I2C_MODE_MASTER,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0, 0, 0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i2c_scan(I2C_MASTER_PORT);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配置I²C参数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安装I²C驱动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扫描地址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↓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初始化HT16K33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不能在安装驱动之前调用扫描器，也不要在每500 ms的温度任务循环中反复扫描。扫描主要用于启动调试或故障诊断。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A.4 为什么扫描0x08～0x77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I²C使用7位地址，但最低的一部分和最高的一部分地址被协议保留。常规设备扫描通常使用0x08～0x77，避免对保留地址发送普通设备访问。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A.5 地址为什么在这里左移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(address &lt;&lt; 1) | I2C_MASTER_WRITE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i2c_master_write_byte()发送的是完整地址字节，其格式是“7位设备地址 + 1位读写方向”。因此扫描器在手动构造地址字节时需要把0x70左移一位，再合入写方向位。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但调用i2c_master_write_to_device()时，驱动参数要求直接传7位地址，所以使用0x70，不能再次左移。</w:t>
      </w:r>
    </w:p>
    <w:tbl>
      <w:tblPr>
        <w:tblStyle w:val="TableGrid"/>
        <w:tblW w:w="0" w:type="auto"/>
      </w:tblPr>
      <w:tr>
        <w:tc>
          <w:tcPr>
            <w:tcW w:w="39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调用位置</w:t>
            </w:r>
          </w:p>
        </w:tc>
        <w:tc>
          <w:tcPr>
            <w:tcW w:w="3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应该传入</w:t>
            </w:r>
          </w:p>
        </w:tc>
        <w:tc>
          <w:tcPr>
            <w:tcW w:w="17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是否手动左移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i2c_master_write_byte()手动地址阶段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(address &lt;&lt; 1) | Write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是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i2c_master_write_to_device()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0x70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否</w:t>
            </w:r>
          </w:p>
        </w:tc>
      </w:tr>
    </w:tbl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A.6 true参数为什么重要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i2c_master_write_byte(cmd, address_byte, true);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最后的true表示启用ACK检查。只有检查ACK，i2c_master_cmd_begin()的结果才能用于判断该地址是否存在设备。如果设备没有拉低SDA回应ACK，事务会返回失败。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A.7 每轮为什么必须delete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i2c_cmd_link_create()会分配命令链资源。扫描器要尝试上百个地址，所以无论地址是否应答，都必须在本轮调用i2c_cmd_link_delete(cmd)。否则扫描过程中会持续泄漏内存。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A.8 返回值如何理解</w:t>
      </w:r>
    </w:p>
    <w:tbl>
      <w:tblPr>
        <w:tblStyle w:val="TableGrid"/>
        <w:tblW w:w="0" w:type="auto"/>
      </w:tblPr>
      <w:tr>
        <w:tc>
          <w:tcPr>
            <w:tcW w:w="26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返回值</w:t>
            </w:r>
          </w:p>
        </w:tc>
        <w:tc>
          <w:tcPr>
            <w:tcW w:w="36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扫描时的含义</w:t>
            </w:r>
          </w:p>
        </w:tc>
        <w:tc>
          <w:tcPr>
            <w:tcW w:w="3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建议处理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ESP_OK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目标地址收到ACK，设备存在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打印地址并增加计数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ESP_FAIL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通常没有收到ACK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扫描时跳过该地址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ESP_ERR_TIMEOUT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总线超时，SDA或SCL可能被拉住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检查短路、上拉、电平和接线</w:t>
            </w:r>
          </w:p>
        </w:tc>
      </w:tr>
    </w:tbl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A.9 预期日志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连接一块默认地址HT16K33时：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 (...) I2C_SCAN: 开始扫描I2C总线...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 (...) I2C_SCAN: 发现I2C设备：0x70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 (...) I2C_SCAN: 扫描完成，共发现1个设备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使用tstFryer完整四屏硬件时，可能发现：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0x70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0x71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0x73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0x74</w:t>
      </w:r>
    </w:p>
    <w:p>
      <w:pPr>
        <w:pStyle w:val="Heading2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A.10 扫描后的判断</w:t>
      </w:r>
    </w:p>
    <w:tbl>
      <w:tblPr>
        <w:tblStyle w:val="TableGrid"/>
        <w:tblW w:w="0" w:type="auto"/>
      </w:tblPr>
      <w:tr>
        <w:tc>
          <w:tcPr>
            <w:tcW w:w="2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结果</w:t>
            </w:r>
          </w:p>
        </w:tc>
        <w:tc>
          <w:tcPr>
            <w:tcW w:w="3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说明</w:t>
            </w:r>
          </w:p>
        </w:tc>
        <w:tc>
          <w:tcPr>
            <w:tcW w:w="38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下一步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发现0x70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I²C基本接线、地址和ACK正常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继续发送0x21、0x81、0xEF初始化HT16K33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没有设备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总线或硬件尚未连通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检查供电、共地、SDA/SCL、上拉、GPIO和地址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发现意外地址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地址跳线或总线上其他设备存在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核对模块地址配置和原理图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大量地址都应答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SDA可能被异常拉低</w:t>
            </w:r>
          </w:p>
        </w:tc>
        <w:tc>
          <w:tcPr>
            <w:tcW w:w="3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检查短路、焊接和电平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把“扫描到0x70”作为I²C硬件层的第一项验收条件。扫描不到设备时，不应继续排查字体表和温度格式化，因为通信链路尚未建立。</w:t>
      </w:r>
    </w:p>
    <w:sectPr>
      <w:pgSz w:w="11906" w:h="16838"/>
      <w:pgMar w:top="1134" w:right="1134" w:bottom="1134" w:left="1134"/>
      <w:cols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60"/>
      <w:jc w:val="center"/>
    </w:pPr>
    <w:rPr>
      <w:b/>
      <w:color w:val="17365D"/>
      <w:sz w:val="38"/>
      <w:szCs w:val="38"/>
    </w:rPr>
  </w:style>
  <w:style w:type="paragraph" w:styleId="Subtitle">
    <w:name w:val="Subtitle"/>
    <w:basedOn w:val="Normal"/>
    <w:rPr>
      <w:color w:val="5B6573"/>
      <w:sz w:val="22"/>
    </w:rPr>
  </w:style>
  <w:style w:type="paragraph" w:styleId="Heading1">
    <w:name w:val="heading 1"/>
    <w:basedOn w:val="Normal"/>
    <w:next w:val="Normal"/>
    <w:pPr>
      <w:keepNext/>
      <w:spacing w:before="320" w:after="140"/>
      <w:outlineLvl w:val="0"/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4527A"/>
      <w:sz w:val="25"/>
      <w:szCs w:val="25"/>
    </w:rPr>
  </w:style>
  <w:style w:type="paragraph" w:styleId="Code">
    <w:name w:val="Code"/>
    <w:basedOn w:val="Normal"/>
    <w:pPr>
      <w:ind w:left="300" w:right="200"/>
      <w:spacing w:before="20" w:after="20"/>
      <w:shd w:fill="F3F5F7"/>
    </w:pPr>
    <w:rPr>
      <w:rFonts w:ascii="Consolas" w:hAnsi="Consolas" w:eastAsia="Microsoft YaHei"/>
      <w:sz w:val="19"/>
    </w:rPr>
  </w:style>
  <w:style w:type="table" w:styleId="TableGrid">
    <w:name w:val="Table Grid"/>
    <w:tblPr>
      <w:tblBorders>
        <w:top w:val="single" w:sz="4" w:color="AAB4BE"/>
        <w:left w:val="single" w:sz="4" w:color="AAB4BE"/>
        <w:bottom w:val="single" w:sz="4" w:color="AAB4BE"/>
        <w:right w:val="single" w:sz="4" w:color="AAB4BE"/>
        <w:insideH w:val="single" w:sz="4" w:color="C5CDD5"/>
        <w:insideV w:val="single" w:sz="4" w:color="C5CDD5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MAX6675温度通过I2C数码管显示开发指南</dc:title>
  <dc:subject>ESP32-S3 I2C与HT16K33温度显示学习文档</dc:subject>
  <dc:creator>Codex</dc:creator>
  <cp:keywords>ESP32-S3; ESP-IDF; SPI; MAX6675</cp:keywords>
  <dcterms:created xsi:type="dcterms:W3CDTF">2026-08-04T09:44:10Z</dcterms:created>
  <dcterms:modified xsi:type="dcterms:W3CDTF">2026-08-04T09:44:10Z</dcterms:modified>
</cp:coreProperties>
</file>