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Title"/>
      </w:pPr>
      <w:r>
        <w:t xml:space="preserve">ZT-703S示波器查看SPI时钟使用指南</w:t>
      </w:r>
    </w:p>
    <w:p>
      <w:pPr>
        <w:pStyle w:val="Subtitle"/>
        <w:jc w:val="center"/>
      </w:pPr>
      <w:r>
        <w:t xml:space="preserve">从探头接线到单次触发、双通道观察和故障排查</w:t>
      </w:r>
    </w:p>
    <w:p>
      <w:pPr>
        <w:jc w:val="center"/>
      </w:pPr>
      <w:r>
        <w:t xml:space="preserve">适用项目：ESP32-S3 Drink Dispenser / MAX6675温度采集</w:t>
      </w:r>
    </w:p>
    <w:p>
      <w:pPr>
        <w:jc w:val="center"/>
      </w:pPr>
      <w:r>
        <w:t xml:space="preserve">适用平台：ESP-IDF 5.2及以上</w:t>
      </w:r>
    </w:p>
    <w:p>
      <w:pPr>
        <w:jc w:val="center"/>
      </w:pPr>
      <w:r>
        <w:t xml:space="preserve">文档日期：2026年8月</w:t>
      </w:r>
    </w:p>
    <w:p>
      <w:pPr>
        <w:jc w:val="center"/>
      </w:pPr>
      <w:r>
        <w:t xml:space="preserve">说明：本文档依据当前项目源码编写，不要求修改程序。</w:t>
      </w:r>
    </w:p>
    <w:p>
      <w:pPr>
        <w:pStyle w:val="Heading1"/>
        <w:pageBreakBefore/>
      </w:pPr>
      <w:r>
        <w:t xml:space="preserve">1. 测量目标与项目参数</w:t>
      </w:r>
    </w:p>
    <w:p>
      <w:r>
        <w:t xml:space="preserve">本项目使用ESP32-S3通过SPI3读取MAX6675热电偶转换器。示波器的首要目标是确认SCK频率、脉冲数量、逻辑电平和CS包络是否正确。</w:t>
      </w:r>
    </w:p>
    <w:tbl>
      <w:tblPr>
        <w:tblStyle w:val="TableGrid"/>
        <w:tblW w:w="0" w:type="auto"/>
        <w:tblLayout w:type="fixed"/>
      </w:tblPr>
      <w:tblGrid>
        <w:gridCol w:w="1500"/>
        <w:gridCol w:w="1500"/>
        <w:gridCol w:w="2400"/>
        <w:gridCol w:w="3600"/>
      </w:tblGrid>
      <w:tr>
        <w:tc>
          <w:tcPr>
            <w:tcW w:w="1500" w:type="dxa"/>
            <w:shd w:fill="D9EAF7"/>
          </w:tcPr>
          <w:p>
            <w:r>
              <w:rPr>
                <w:b/>
              </w:rPr>
              <w:t xml:space="preserve">信号</w:t>
            </w:r>
          </w:p>
        </w:tc>
        <w:tc>
          <w:tcPr>
            <w:tcW w:w="1500" w:type="dxa"/>
            <w:shd w:fill="D9EAF7"/>
          </w:tcPr>
          <w:p>
            <w:r>
              <w:rPr>
                <w:b/>
              </w:rPr>
              <w:t xml:space="preserve">当前GPIO</w:t>
            </w:r>
          </w:p>
        </w:tc>
        <w:tc>
          <w:tcPr>
            <w:tcW w:w="2400" w:type="dxa"/>
            <w:shd w:fill="D9EAF7"/>
          </w:tcPr>
          <w:p>
            <w:r>
              <w:rPr>
                <w:b/>
              </w:rPr>
              <w:t xml:space="preserve">方向</w:t>
            </w:r>
          </w:p>
        </w:tc>
        <w:tc>
          <w:tcPr>
            <w:tcW w:w="3600" w:type="dxa"/>
            <w:shd w:fill="D9EAF7"/>
          </w:tcPr>
          <w:p>
            <w:r>
              <w:rPr>
                <w:b/>
              </w:rPr>
              <w:t xml:space="preserve">作用</w:t>
            </w:r>
          </w:p>
        </w:tc>
      </w:tr>
      <w:tr>
        <w:tc>
          <w:tcPr>
            <w:tcW w:w="1500" w:type="dxa"/>
          </w:tcPr>
          <w:p>
            <w:r>
              <w:t xml:space="preserve">SCK</w:t>
            </w:r>
          </w:p>
        </w:tc>
        <w:tc>
          <w:tcPr>
            <w:tcW w:w="1500" w:type="dxa"/>
          </w:tcPr>
          <w:p>
            <w:r>
              <w:t xml:space="preserve">GPIO36</w:t>
            </w:r>
          </w:p>
        </w:tc>
        <w:tc>
          <w:tcPr>
            <w:tcW w:w="2400" w:type="dxa"/>
          </w:tcPr>
          <w:p>
            <w:r>
              <w:t xml:space="preserve">ESP32 → MAX6675</w:t>
            </w:r>
          </w:p>
        </w:tc>
        <w:tc>
          <w:tcPr>
            <w:tcW w:w="3600" w:type="dxa"/>
          </w:tcPr>
          <w:p>
            <w:r>
              <w:t xml:space="preserve">1 MHz串行时钟</w:t>
            </w:r>
          </w:p>
        </w:tc>
      </w:tr>
      <w:tr>
        <w:tc>
          <w:tcPr>
            <w:tcW w:w="1500" w:type="dxa"/>
          </w:tcPr>
          <w:p>
            <w:r>
              <w:t xml:space="preserve">CS</w:t>
            </w:r>
          </w:p>
        </w:tc>
        <w:tc>
          <w:tcPr>
            <w:tcW w:w="1500" w:type="dxa"/>
          </w:tcPr>
          <w:p>
            <w:r>
              <w:t xml:space="preserve">GPIO35</w:t>
            </w:r>
          </w:p>
        </w:tc>
        <w:tc>
          <w:tcPr>
            <w:tcW w:w="2400" w:type="dxa"/>
          </w:tcPr>
          <w:p>
            <w:r>
              <w:t xml:space="preserve">ESP32 → MAX6675</w:t>
            </w:r>
          </w:p>
        </w:tc>
        <w:tc>
          <w:tcPr>
            <w:tcW w:w="3600" w:type="dxa"/>
          </w:tcPr>
          <w:p>
            <w:r>
              <w:t xml:space="preserve">低电平有效，界定一次读取</w:t>
            </w:r>
          </w:p>
        </w:tc>
      </w:tr>
      <w:tr>
        <w:tc>
          <w:tcPr>
            <w:tcW w:w="1500" w:type="dxa"/>
          </w:tcPr>
          <w:p>
            <w:r>
              <w:t xml:space="preserve">MISO/SO</w:t>
            </w:r>
          </w:p>
        </w:tc>
        <w:tc>
          <w:tcPr>
            <w:tcW w:w="1500" w:type="dxa"/>
          </w:tcPr>
          <w:p>
            <w:r>
              <w:t xml:space="preserve">GPIO38</w:t>
            </w:r>
          </w:p>
        </w:tc>
        <w:tc>
          <w:tcPr>
            <w:tcW w:w="2400" w:type="dxa"/>
          </w:tcPr>
          <w:p>
            <w:r>
              <w:t xml:space="preserve">MAX6675 → ESP32</w:t>
            </w:r>
          </w:p>
        </w:tc>
        <w:tc>
          <w:tcPr>
            <w:tcW w:w="3600" w:type="dxa"/>
          </w:tcPr>
          <w:p>
            <w:r>
              <w:t xml:space="preserve">输出16位温度数据</w:t>
            </w:r>
          </w:p>
        </w:tc>
      </w:tr>
      <w:tr>
        <w:tc>
          <w:tcPr>
            <w:tcW w:w="1500" w:type="dxa"/>
          </w:tcPr>
          <w:p>
            <w:r>
              <w:t xml:space="preserve">MOSI</w:t>
            </w:r>
          </w:p>
        </w:tc>
        <w:tc>
          <w:tcPr>
            <w:tcW w:w="1500" w:type="dxa"/>
          </w:tcPr>
          <w:p>
            <w:r>
              <w:t xml:space="preserve">未使用</w:t>
            </w:r>
          </w:p>
        </w:tc>
        <w:tc>
          <w:tcPr>
            <w:tcW w:w="2400" w:type="dxa"/>
          </w:tcPr>
          <w:p>
            <w:r>
              <w:t xml:space="preserve">—</w:t>
            </w:r>
          </w:p>
        </w:tc>
        <w:tc>
          <w:tcPr>
            <w:tcW w:w="3600" w:type="dxa"/>
          </w:tcPr>
          <w:p>
            <w:r>
              <w:t xml:space="preserve">MAX6675为只读器件</w:t>
            </w:r>
          </w:p>
        </w:tc>
      </w:tr>
    </w:tbl>
    <w:tbl>
      <w:tblPr>
        <w:tblStyle w:val="TableGrid"/>
        <w:tblW w:w="0" w:type="auto"/>
        <w:tblLayout w:type="fixed"/>
      </w:tblPr>
      <w:tblGrid>
        <w:gridCol w:w="1900"/>
        <w:gridCol w:w="3000"/>
        <w:gridCol w:w="4100"/>
      </w:tblGrid>
      <w:tr>
        <w:tc>
          <w:tcPr>
            <w:tcW w:w="1900" w:type="dxa"/>
            <w:shd w:fill="D9EAF7"/>
          </w:tcPr>
          <w:p>
            <w:r>
              <w:rPr>
                <w:b/>
              </w:rPr>
              <w:t xml:space="preserve">参数</w:t>
            </w:r>
          </w:p>
        </w:tc>
        <w:tc>
          <w:tcPr>
            <w:tcW w:w="3000" w:type="dxa"/>
            <w:shd w:fill="D9EAF7"/>
          </w:tcPr>
          <w:p>
            <w:r>
              <w:rPr>
                <w:b/>
              </w:rPr>
              <w:t xml:space="preserve">当前值</w:t>
            </w:r>
          </w:p>
        </w:tc>
        <w:tc>
          <w:tcPr>
            <w:tcW w:w="4100" w:type="dxa"/>
            <w:shd w:fill="D9EAF7"/>
          </w:tcPr>
          <w:p>
            <w:r>
              <w:rPr>
                <w:b/>
              </w:rPr>
              <w:t xml:space="preserve">测量时的预期</w:t>
            </w:r>
          </w:p>
        </w:tc>
      </w:tr>
      <w:tr>
        <w:tc>
          <w:tcPr>
            <w:tcW w:w="1900" w:type="dxa"/>
          </w:tcPr>
          <w:p>
            <w:r>
              <w:t xml:space="preserve">SPI模式</w:t>
            </w:r>
          </w:p>
        </w:tc>
        <w:tc>
          <w:tcPr>
            <w:tcW w:w="3000" w:type="dxa"/>
          </w:tcPr>
          <w:p>
            <w:r>
              <w:t xml:space="preserve">Mode 0（CPOL=0，CPHA=0）</w:t>
            </w:r>
          </w:p>
        </w:tc>
        <w:tc>
          <w:tcPr>
            <w:tcW w:w="4100" w:type="dxa"/>
          </w:tcPr>
          <w:p>
            <w:r>
              <w:t xml:space="preserve">SCK空闲为低，在上升沿采样</w:t>
            </w:r>
          </w:p>
        </w:tc>
      </w:tr>
      <w:tr>
        <w:tc>
          <w:tcPr>
            <w:tcW w:w="1900" w:type="dxa"/>
          </w:tcPr>
          <w:p>
            <w:r>
              <w:t xml:space="preserve">时钟频率</w:t>
            </w:r>
          </w:p>
        </w:tc>
        <w:tc>
          <w:tcPr>
            <w:tcW w:w="3000" w:type="dxa"/>
          </w:tcPr>
          <w:p>
            <w:r>
              <w:t xml:space="preserve">1 MHz</w:t>
            </w:r>
          </w:p>
        </w:tc>
        <w:tc>
          <w:tcPr>
            <w:tcW w:w="4100" w:type="dxa"/>
          </w:tcPr>
          <w:p>
            <w:r>
              <w:t xml:space="preserve">周期约1 μs，高、低各约0.5 μs</w:t>
            </w:r>
          </w:p>
        </w:tc>
      </w:tr>
      <w:tr>
        <w:tc>
          <w:tcPr>
            <w:tcW w:w="1900" w:type="dxa"/>
          </w:tcPr>
          <w:p>
            <w:r>
              <w:t xml:space="preserve">事务长度</w:t>
            </w:r>
          </w:p>
        </w:tc>
        <w:tc>
          <w:tcPr>
            <w:tcW w:w="3000" w:type="dxa"/>
          </w:tcPr>
          <w:p>
            <w:r>
              <w:t xml:space="preserve">16 bit</w:t>
            </w:r>
          </w:p>
        </w:tc>
        <w:tc>
          <w:tcPr>
            <w:tcW w:w="4100" w:type="dxa"/>
          </w:tcPr>
          <w:p>
            <w:r>
              <w:t xml:space="preserve">CS低电平期间出现16个SCK脉冲</w:t>
            </w:r>
          </w:p>
        </w:tc>
      </w:tr>
      <w:tr>
        <w:tc>
          <w:tcPr>
            <w:tcW w:w="1900" w:type="dxa"/>
          </w:tcPr>
          <w:p>
            <w:r>
              <w:t xml:space="preserve">读取周期</w:t>
            </w:r>
          </w:p>
        </w:tc>
        <w:tc>
          <w:tcPr>
            <w:tcW w:w="3000" w:type="dxa"/>
          </w:tcPr>
          <w:p>
            <w:r>
              <w:t xml:space="preserve">500 ms</w:t>
            </w:r>
          </w:p>
        </w:tc>
        <w:tc>
          <w:tcPr>
            <w:tcW w:w="4100" w:type="dxa"/>
          </w:tcPr>
          <w:p>
            <w:r>
              <w:t xml:space="preserve">每半秒出现一组约16 μs的短脉冲包</w:t>
            </w:r>
          </w:p>
        </w:tc>
      </w:tr>
      <w:tr>
        <w:tc>
          <w:tcPr>
            <w:tcW w:w="1900" w:type="dxa"/>
          </w:tcPr>
          <w:p>
            <w:r>
              <w:t xml:space="preserve">逻辑电平</w:t>
            </w:r>
          </w:p>
        </w:tc>
        <w:tc>
          <w:tcPr>
            <w:tcW w:w="3000" w:type="dxa"/>
          </w:tcPr>
          <w:p>
            <w:r>
              <w:t xml:space="preserve">ESP32为3.3 V</w:t>
            </w:r>
          </w:p>
        </w:tc>
        <w:tc>
          <w:tcPr>
            <w:tcW w:w="4100" w:type="dxa"/>
          </w:tcPr>
          <w:p>
            <w:r>
              <w:t xml:space="preserve">SCK与CS约为0～3.3 V</w:t>
            </w:r>
          </w:p>
        </w:tc>
      </w:tr>
    </w:tbl>
    <w:p>
      <w:pPr>
        <w:pStyle w:val="Heading2"/>
      </w:pPr>
      <w:r>
        <w:t xml:space="preserve">关键认识</w:t>
      </w:r>
    </w:p>
    <w:p>
      <w:r>
        <w:t xml:space="preserve">• SCK不是连续输出。每次读取只持续约16 μs，而相邻读取相隔约500 ms。</w:t>
      </w:r>
    </w:p>
    <w:p>
      <w:r>
        <w:t xml:space="preserve">• 在毫秒级时基下，时钟包可能只是一条很窄的竖线；在微秒级时基下，如果没有正确触发，又很容易错过。</w:t>
      </w:r>
    </w:p>
    <w:p>
      <w:r>
        <w:t xml:space="preserve">• 因此本项目最适合使用Normal或Single边沿触发，而不是只依赖Auto。</w:t>
      </w:r>
    </w:p>
    <w:p>
      <w:pPr>
        <w:pStyle w:val="Heading1"/>
      </w:pPr>
      <w:r>
        <w:t xml:space="preserve">2. 安全事项与准备</w:t>
      </w:r>
    </w:p>
    <w:p>
      <w:r>
        <w:t xml:space="preserve">• 断电完成探头接线；先接地夹，再接探头尖端。</w:t>
      </w:r>
    </w:p>
    <w:p>
      <w:r>
        <w:t xml:space="preserve">• 地夹只能接ESP32开发板GND，不得接SCK、CS、3.3V或其他信号。</w:t>
      </w:r>
    </w:p>
    <w:p>
      <w:r>
        <w:t xml:space="preserve">• 建议ZT-703S使用内置电池测量，测量期间不连接充电USB，避免额外的USB地路径。</w:t>
      </w:r>
    </w:p>
    <w:p>
      <w:r>
        <w:t xml:space="preserve">• 若同时使用CH1和CH2，两通道地夹内部共地，必须接到同一个ESP32 GND。</w:t>
      </w:r>
    </w:p>
    <w:p>
      <w:r>
        <w:t xml:space="preserve">• 探头机械开关设为X10，示波器通道菜单也必须设为X10。</w:t>
      </w:r>
    </w:p>
    <w:p>
      <w:r>
        <w:t xml:space="preserve">• 本文仅针对3.3V低压数字电路，不适用于市电或非隔离高压电路。</w:t>
      </w:r>
    </w:p>
    <w:p>
      <w:r>
        <w:t xml:space="preserve">首次使用探头时，可用已知方波源检查补偿。若方波顶部明显上翘或圆钝，应使用绝缘调节棒调整探头补偿电容。</w:t>
      </w:r>
    </w:p>
    <w:p>
      <w:pPr>
        <w:pStyle w:val="Heading1"/>
      </w:pPr>
      <w:r>
        <w:t xml:space="preserve">3. 单通道查看SCK</w:t>
      </w:r>
    </w:p>
    <w:p>
      <w:pPr>
        <w:pStyle w:val="Heading2"/>
      </w:pPr>
      <w:r>
        <w:t xml:space="preserve">3.1 接线</w:t>
      </w:r>
    </w:p>
    <w:tbl>
      <w:tblPr>
        <w:tblStyle w:val="TableGrid"/>
        <w:tblW w:w="0" w:type="auto"/>
        <w:tblLayout w:type="fixed"/>
      </w:tblPr>
      <w:tblGrid>
        <w:gridCol w:w="3000"/>
        <w:gridCol w:w="6000"/>
      </w:tblGrid>
      <w:tr>
        <w:tc>
          <w:tcPr>
            <w:tcW w:w="3000" w:type="dxa"/>
            <w:shd w:fill="D9EAF7"/>
          </w:tcPr>
          <w:p>
            <w:r>
              <w:rPr>
                <w:b/>
              </w:rPr>
              <w:t xml:space="preserve">ZT-703S</w:t>
            </w:r>
          </w:p>
        </w:tc>
        <w:tc>
          <w:tcPr>
            <w:tcW w:w="6000" w:type="dxa"/>
            <w:shd w:fill="D9EAF7"/>
          </w:tcPr>
          <w:p>
            <w:r>
              <w:rPr>
                <w:b/>
              </w:rPr>
              <w:t xml:space="preserve">连接位置</w:t>
            </w:r>
          </w:p>
        </w:tc>
      </w:tr>
      <w:tr>
        <w:tc>
          <w:tcPr>
            <w:tcW w:w="3000" w:type="dxa"/>
          </w:tcPr>
          <w:p>
            <w:r>
              <w:t xml:space="preserve">CH1探头尖端</w:t>
            </w:r>
          </w:p>
        </w:tc>
        <w:tc>
          <w:tcPr>
            <w:tcW w:w="6000" w:type="dxa"/>
          </w:tcPr>
          <w:p>
            <w:r>
              <w:t xml:space="preserve">GPIO36或MAX6675模块SCK端</w:t>
            </w:r>
          </w:p>
        </w:tc>
      </w:tr>
      <w:tr>
        <w:tc>
          <w:tcPr>
            <w:tcW w:w="3000" w:type="dxa"/>
          </w:tcPr>
          <w:p>
            <w:r>
              <w:t xml:space="preserve">CH1地夹</w:t>
            </w:r>
          </w:p>
        </w:tc>
        <w:tc>
          <w:tcPr>
            <w:tcW w:w="6000" w:type="dxa"/>
          </w:tcPr>
          <w:p>
            <w:r>
              <w:t xml:space="preserve">ESP32 GND</w:t>
            </w:r>
          </w:p>
        </w:tc>
      </w:tr>
    </w:tbl>
    <w:p>
      <w:r>
        <w:t xml:space="preserve">优先在MAX6675模块一端测量SCK，这样不仅能确认ESP32产生了时钟，也能确认信号确实经过连线到达模块。</w:t>
      </w:r>
    </w:p>
    <w:p>
      <w:pPr>
        <w:pStyle w:val="Heading2"/>
      </w:pPr>
      <w:r>
        <w:t xml:space="preserve">3.2 通道设置</w:t>
      </w:r>
    </w:p>
    <w:p>
      <w:r>
        <w:t xml:space="preserve">1. 长按电源键约2秒开机，按MODE切换到示波器界面。</w:t>
      </w:r>
    </w:p>
    <w:p>
      <w:r>
        <w:t xml:space="preserve">2. 按MENU进入第一页通道设置。</w:t>
      </w:r>
    </w:p>
    <w:p>
      <w:r>
        <w:t xml:space="preserve">3. F1选择CH1；F2将CH1设为ON；F3选择DC耦合；F4选择X10。</w:t>
      </w:r>
    </w:p>
    <w:p>
      <w:r>
        <w:t xml:space="preserve">4. 返回主界面，按F1进入VOL/TIME。用上下方向键把CH1调到1 V/div。</w:t>
      </w:r>
    </w:p>
    <w:p>
      <w:r>
        <w:t xml:space="preserve">5. 用左右方向键把水平时基调到2 μs/div。不同固件方向可能相反，以屏幕显示值为准。</w:t>
      </w:r>
    </w:p>
    <w:p>
      <w:pPr>
        <w:pStyle w:val="Heading2"/>
      </w:pPr>
      <w:r>
        <w:t xml:space="preserve">建议初始参数</w:t>
      </w:r>
    </w:p>
    <w:tbl>
      <w:tblPr>
        <w:tblStyle w:val="TableGrid"/>
        <w:tblW w:w="0" w:type="auto"/>
        <w:tblLayout w:type="fixed"/>
      </w:tblPr>
      <w:tblGrid>
        <w:gridCol w:w="3500"/>
        <w:gridCol w:w="5500"/>
      </w:tblGrid>
      <w:tr>
        <w:tc>
          <w:tcPr>
            <w:tcW w:w="3500" w:type="dxa"/>
            <w:shd w:fill="D9EAF7"/>
          </w:tcPr>
          <w:p>
            <w:r>
              <w:rPr>
                <w:b/>
              </w:rPr>
              <w:t xml:space="preserve">设置项</w:t>
            </w:r>
          </w:p>
        </w:tc>
        <w:tc>
          <w:tcPr>
            <w:tcW w:w="5500" w:type="dxa"/>
            <w:shd w:fill="D9EAF7"/>
          </w:tcPr>
          <w:p>
            <w:r>
              <w:rPr>
                <w:b/>
              </w:rPr>
              <w:t xml:space="preserve">推荐值</w:t>
            </w:r>
          </w:p>
        </w:tc>
      </w:tr>
      <w:tr>
        <w:tc>
          <w:tcPr>
            <w:tcW w:w="3500" w:type="dxa"/>
          </w:tcPr>
          <w:p>
            <w:r>
              <w:t xml:space="preserve">通道</w:t>
            </w:r>
          </w:p>
        </w:tc>
        <w:tc>
          <w:tcPr>
            <w:tcW w:w="5500" w:type="dxa"/>
          </w:tcPr>
          <w:p>
            <w:r>
              <w:t xml:space="preserve">CH1</w:t>
            </w:r>
          </w:p>
        </w:tc>
      </w:tr>
      <w:tr>
        <w:tc>
          <w:tcPr>
            <w:tcW w:w="3500" w:type="dxa"/>
          </w:tcPr>
          <w:p>
            <w:r>
              <w:t xml:space="preserve">耦合</w:t>
            </w:r>
          </w:p>
        </w:tc>
        <w:tc>
          <w:tcPr>
            <w:tcW w:w="5500" w:type="dxa"/>
          </w:tcPr>
          <w:p>
            <w:r>
              <w:t xml:space="preserve">DC</w:t>
            </w:r>
          </w:p>
        </w:tc>
      </w:tr>
      <w:tr>
        <w:tc>
          <w:tcPr>
            <w:tcW w:w="3500" w:type="dxa"/>
          </w:tcPr>
          <w:p>
            <w:r>
              <w:t xml:space="preserve">探头倍率</w:t>
            </w:r>
          </w:p>
        </w:tc>
        <w:tc>
          <w:tcPr>
            <w:tcW w:w="5500" w:type="dxa"/>
          </w:tcPr>
          <w:p>
            <w:r>
              <w:t xml:space="preserve">X10</w:t>
            </w:r>
          </w:p>
        </w:tc>
      </w:tr>
      <w:tr>
        <w:tc>
          <w:tcPr>
            <w:tcW w:w="3500" w:type="dxa"/>
          </w:tcPr>
          <w:p>
            <w:r>
              <w:t xml:space="preserve">垂直档位</w:t>
            </w:r>
          </w:p>
        </w:tc>
        <w:tc>
          <w:tcPr>
            <w:tcW w:w="5500" w:type="dxa"/>
          </w:tcPr>
          <w:p>
            <w:r>
              <w:t xml:space="preserve">1 V/div</w:t>
            </w:r>
          </w:p>
        </w:tc>
      </w:tr>
      <w:tr>
        <w:tc>
          <w:tcPr>
            <w:tcW w:w="3500" w:type="dxa"/>
          </w:tcPr>
          <w:p>
            <w:r>
              <w:t xml:space="preserve">水平时基</w:t>
            </w:r>
          </w:p>
        </w:tc>
        <w:tc>
          <w:tcPr>
            <w:tcW w:w="5500" w:type="dxa"/>
          </w:tcPr>
          <w:p>
            <w:r>
              <w:t xml:space="preserve">2 μs/div</w:t>
            </w:r>
          </w:p>
        </w:tc>
      </w:tr>
      <w:tr>
        <w:tc>
          <w:tcPr>
            <w:tcW w:w="3500" w:type="dxa"/>
          </w:tcPr>
          <w:p>
            <w:r>
              <w:t xml:space="preserve">触发源</w:t>
            </w:r>
          </w:p>
        </w:tc>
        <w:tc>
          <w:tcPr>
            <w:tcW w:w="5500" w:type="dxa"/>
          </w:tcPr>
          <w:p>
            <w:r>
              <w:t xml:space="preserve">CH1</w:t>
            </w:r>
          </w:p>
        </w:tc>
      </w:tr>
      <w:tr>
        <w:tc>
          <w:tcPr>
            <w:tcW w:w="3500" w:type="dxa"/>
          </w:tcPr>
          <w:p>
            <w:r>
              <w:t xml:space="preserve">触发边沿</w:t>
            </w:r>
          </w:p>
        </w:tc>
        <w:tc>
          <w:tcPr>
            <w:tcW w:w="5500" w:type="dxa"/>
          </w:tcPr>
          <w:p>
            <w:r>
              <w:t xml:space="preserve">上升沿</w:t>
            </w:r>
          </w:p>
        </w:tc>
      </w:tr>
      <w:tr>
        <w:tc>
          <w:tcPr>
            <w:tcW w:w="3500" w:type="dxa"/>
          </w:tcPr>
          <w:p>
            <w:r>
              <w:t xml:space="preserve">触发电平</w:t>
            </w:r>
          </w:p>
        </w:tc>
        <w:tc>
          <w:tcPr>
            <w:tcW w:w="5500" w:type="dxa"/>
          </w:tcPr>
          <w:p>
            <w:r>
              <w:t xml:space="preserve">约1.5 V</w:t>
            </w:r>
          </w:p>
        </w:tc>
      </w:tr>
      <w:tr>
        <w:tc>
          <w:tcPr>
            <w:tcW w:w="3500" w:type="dxa"/>
          </w:tcPr>
          <w:p>
            <w:r>
              <w:t xml:space="preserve">触发模式</w:t>
            </w:r>
          </w:p>
        </w:tc>
        <w:tc>
          <w:tcPr>
            <w:tcW w:w="5500" w:type="dxa"/>
          </w:tcPr>
          <w:p>
            <w:r>
              <w:t xml:space="preserve">Single</w:t>
            </w:r>
          </w:p>
        </w:tc>
      </w:tr>
    </w:tbl>
    <w:p>
      <w:pPr>
        <w:pStyle w:val="Heading2"/>
      </w:pPr>
      <w:r>
        <w:t xml:space="preserve">3.3 单次触发</w:t>
      </w:r>
    </w:p>
    <w:p>
      <w:r>
        <w:t xml:space="preserve">1. 按MENU，再按右方向键进入第二页触发设置。</w:t>
      </w:r>
    </w:p>
    <w:p>
      <w:r>
        <w:t xml:space="preserve">2. F1选择Single；F2选择上升沿；F3选择CH1；F4把触发位置设为50%。</w:t>
      </w:r>
    </w:p>
    <w:p>
      <w:r>
        <w:t xml:space="preserve">3. 返回主界面，选择TRIGGER，用上下方向键把触发电平调至约1.5 V。</w:t>
      </w:r>
    </w:p>
    <w:p>
      <w:r>
        <w:t xml:space="preserve">4. 如果屏幕为STOP，短按HOLD/SAVE重新布防；屏幕出现WAIT表示正在等待。</w:t>
      </w:r>
    </w:p>
    <w:p>
      <w:r>
        <w:t xml:space="preserve">5. 程序在下一次读取时触发，最多等待约500 ms。捕获完成后状态变为STOP。</w:t>
      </w:r>
    </w:p>
    <w:p>
      <w:r>
        <w:t xml:space="preserve">如果上升沿触发能够捕获但整组脉冲的开头位置不固定，这是正常现象：16个上升沿都满足触发条件。需要稳定显示事务起点时，应使用双通道并用CS下降沿触发。</w:t>
      </w:r>
    </w:p>
    <w:p>
      <w:pPr>
        <w:pStyle w:val="Heading1"/>
      </w:pPr>
      <w:r>
        <w:t xml:space="preserve">4. 双通道同时查看CS与SCK</w:t>
      </w:r>
    </w:p>
    <w:tbl>
      <w:tblPr>
        <w:tblStyle w:val="TableGrid"/>
        <w:tblW w:w="0" w:type="auto"/>
        <w:tblLayout w:type="fixed"/>
      </w:tblPr>
      <w:tblGrid>
        <w:gridCol w:w="1800"/>
        <w:gridCol w:w="3600"/>
        <w:gridCol w:w="3600"/>
      </w:tblGrid>
      <w:tr>
        <w:tc>
          <w:tcPr>
            <w:tcW w:w="1800" w:type="dxa"/>
            <w:shd w:fill="D9EAF7"/>
          </w:tcPr>
          <w:p>
            <w:r>
              <w:rPr>
                <w:b/>
              </w:rPr>
              <w:t xml:space="preserve">通道</w:t>
            </w:r>
          </w:p>
        </w:tc>
        <w:tc>
          <w:tcPr>
            <w:tcW w:w="3600" w:type="dxa"/>
            <w:shd w:fill="D9EAF7"/>
          </w:tcPr>
          <w:p>
            <w:r>
              <w:rPr>
                <w:b/>
              </w:rPr>
              <w:t xml:space="preserve">探头尖端</w:t>
            </w:r>
          </w:p>
        </w:tc>
        <w:tc>
          <w:tcPr>
            <w:tcW w:w="3600" w:type="dxa"/>
            <w:shd w:fill="D9EAF7"/>
          </w:tcPr>
          <w:p>
            <w:r>
              <w:rPr>
                <w:b/>
              </w:rPr>
              <w:t xml:space="preserve">地夹</w:t>
            </w:r>
          </w:p>
        </w:tc>
      </w:tr>
      <w:tr>
        <w:tc>
          <w:tcPr>
            <w:tcW w:w="1800" w:type="dxa"/>
          </w:tcPr>
          <w:p>
            <w:r>
              <w:t xml:space="preserve">CH1</w:t>
            </w:r>
          </w:p>
        </w:tc>
        <w:tc>
          <w:tcPr>
            <w:tcW w:w="3600" w:type="dxa"/>
          </w:tcPr>
          <w:p>
            <w:r>
              <w:t xml:space="preserve">GPIO36 / SCK</w:t>
            </w:r>
          </w:p>
        </w:tc>
        <w:tc>
          <w:tcPr>
            <w:tcW w:w="3600" w:type="dxa"/>
          </w:tcPr>
          <w:p>
            <w:r>
              <w:t xml:space="preserve">ESP32 GND</w:t>
            </w:r>
          </w:p>
        </w:tc>
      </w:tr>
      <w:tr>
        <w:tc>
          <w:tcPr>
            <w:tcW w:w="1800" w:type="dxa"/>
          </w:tcPr>
          <w:p>
            <w:r>
              <w:t xml:space="preserve">CH2</w:t>
            </w:r>
          </w:p>
        </w:tc>
        <w:tc>
          <w:tcPr>
            <w:tcW w:w="3600" w:type="dxa"/>
          </w:tcPr>
          <w:p>
            <w:r>
              <w:t xml:space="preserve">GPIO35 / CS</w:t>
            </w:r>
          </w:p>
        </w:tc>
        <w:tc>
          <w:tcPr>
            <w:tcW w:w="3600" w:type="dxa"/>
          </w:tcPr>
          <w:p>
            <w:r>
              <w:t xml:space="preserve">同一个ESP32 GND</w:t>
            </w:r>
          </w:p>
        </w:tc>
      </w:tr>
    </w:tbl>
    <w:p>
      <w:r>
        <w:t xml:space="preserve">两个通道均设置为DC、X10、1 V/div。时基仍设为2 μs/div。触发设置改为：</w:t>
      </w:r>
    </w:p>
    <w:p>
      <w:pPr>
        <w:pStyle w:val="Code"/>
      </w:pPr>
      <w:r>
        <w:t xml:space="preserve">Trigger mode : Single</w:t>
      </w:r>
    </w:p>
    <w:p>
      <w:pPr>
        <w:pStyle w:val="Code"/>
      </w:pPr>
      <w:r>
        <w:t xml:space="preserve">Trigger source: CH2</w:t>
      </w:r>
    </w:p>
    <w:p>
      <w:pPr>
        <w:pStyle w:val="Code"/>
      </w:pPr>
      <w:r>
        <w:t xml:space="preserve">Trigger edge  : Falling</w:t>
      </w:r>
    </w:p>
    <w:p>
      <w:pPr>
        <w:pStyle w:val="Code"/>
      </w:pPr>
      <w:r>
        <w:t xml:space="preserve">Trigger level : 1.5 V</w:t>
      </w:r>
    </w:p>
    <w:p>
      <w:pPr>
        <w:pStyle w:val="Code"/>
      </w:pPr>
      <w:r>
        <w:t xml:space="preserve">Position      : 50%</w:t>
      </w:r>
    </w:p>
    <w:p>
      <w:r>
        <w:t xml:space="preserve">CS下降沿只在事务开始时出现一次，因此可以稳定捕获从第1个到第16个时钟。正常关系如下：</w:t>
      </w:r>
    </w:p>
    <w:p>
      <w:pPr>
        <w:pStyle w:val="Code"/>
      </w:pPr>
      <w:r>
        <w:t xml:space="preserve">CS   ‾‾‾‾‾\____________________________/‾‾‾‾‾</w:t>
      </w:r>
    </w:p>
    <w:p>
      <w:pPr>
        <w:pStyle w:val="Code"/>
      </w:pPr>
      <w:r>
        <w:t xml:space="preserve">SCK  ________|‾|_|‾|_ ... 共16个脉冲 ... |_______</w:t>
      </w:r>
    </w:p>
    <w:p>
      <w:pPr>
        <w:pStyle w:val="Code"/>
      </w:pPr>
      <w:r>
        <w:t xml:space="preserve">             &lt;--------- 约16 μs ---------&gt;</w:t>
      </w:r>
    </w:p>
    <w:p>
      <w:pPr>
        <w:pStyle w:val="Heading1"/>
      </w:pPr>
      <w:r>
        <w:t xml:space="preserve">5. 测量频率、周期和脉宽</w:t>
      </w:r>
    </w:p>
    <w:p>
      <w:r>
        <w:t xml:space="preserve">1. 捕获完成并处于STOP后，把时基调到500 ns/div或200 ns/div。</w:t>
      </w:r>
    </w:p>
    <w:p>
      <w:r>
        <w:t xml:space="preserve">2. 移动波形，使相邻两个SCK上升沿位于屏幕中央。</w:t>
      </w:r>
    </w:p>
    <w:p>
      <w:r>
        <w:t xml:space="preserve">3. 使用时间游标测量两个相邻上升沿，预期Δt约为1 μs。</w:t>
      </w:r>
    </w:p>
    <w:p>
      <w:r>
        <w:t xml:space="preserve">4. 频率计算：f=1/Δt，因此Δt=1 μs时，f约为1 MHz。</w:t>
      </w:r>
    </w:p>
    <w:p>
      <w:r>
        <w:t xml:space="preserve">5. 分别测量高电平和低电平宽度，理想值均约0.5 μs，占空比约50%。</w:t>
      </w:r>
    </w:p>
    <w:p>
      <w:r>
        <w:t xml:space="preserve">ZT-703S的自动测量可以显示Frequency、Period、Duty和Vpp，但短脉冲包不是连续方波，自动频率读数偶尔为空或不稳定。此时以游标测量相邻边沿为准。</w:t>
      </w:r>
    </w:p>
    <w:p>
      <w:pPr>
        <w:pStyle w:val="Heading1"/>
      </w:pPr>
      <w:r>
        <w:t xml:space="preserve">6. 预期波形判读</w:t>
      </w:r>
    </w:p>
    <w:tbl>
      <w:tblPr>
        <w:tblStyle w:val="TableGrid"/>
        <w:tblW w:w="0" w:type="auto"/>
        <w:tblLayout w:type="fixed"/>
      </w:tblPr>
      <w:tblGrid>
        <w:gridCol w:w="3400"/>
        <w:gridCol w:w="5600"/>
      </w:tblGrid>
      <w:tr>
        <w:tc>
          <w:tcPr>
            <w:tcW w:w="3400" w:type="dxa"/>
            <w:shd w:fill="D9EAF7"/>
          </w:tcPr>
          <w:p>
            <w:r>
              <w:rPr>
                <w:b/>
              </w:rPr>
              <w:t xml:space="preserve">观察结果</w:t>
            </w:r>
          </w:p>
        </w:tc>
        <w:tc>
          <w:tcPr>
            <w:tcW w:w="5600" w:type="dxa"/>
            <w:shd w:fill="D9EAF7"/>
          </w:tcPr>
          <w:p>
            <w:r>
              <w:rPr>
                <w:b/>
              </w:rPr>
              <w:t xml:space="preserve">结论</w:t>
            </w:r>
          </w:p>
        </w:tc>
      </w:tr>
      <w:tr>
        <w:tc>
          <w:tcPr>
            <w:tcW w:w="3400" w:type="dxa"/>
          </w:tcPr>
          <w:p>
            <w:r>
              <w:t xml:space="preserve">SCK空闲为低</w:t>
            </w:r>
          </w:p>
        </w:tc>
        <w:tc>
          <w:tcPr>
            <w:tcW w:w="5600" w:type="dxa"/>
          </w:tcPr>
          <w:p>
            <w:r>
              <w:t xml:space="preserve">符合SPI Mode 0</w:t>
            </w:r>
          </w:p>
        </w:tc>
      </w:tr>
      <w:tr>
        <w:tc>
          <w:tcPr>
            <w:tcW w:w="3400" w:type="dxa"/>
          </w:tcPr>
          <w:p>
            <w:r>
              <w:t xml:space="preserve">单周期约1 μs</w:t>
            </w:r>
          </w:p>
        </w:tc>
        <w:tc>
          <w:tcPr>
            <w:tcW w:w="5600" w:type="dxa"/>
          </w:tcPr>
          <w:p>
            <w:r>
              <w:t xml:space="preserve">时钟约1 MHz</w:t>
            </w:r>
          </w:p>
        </w:tc>
      </w:tr>
      <w:tr>
        <w:tc>
          <w:tcPr>
            <w:tcW w:w="3400" w:type="dxa"/>
          </w:tcPr>
          <w:p>
            <w:r>
              <w:t xml:space="preserve">CS低期间正好16个SCK</w:t>
            </w:r>
          </w:p>
        </w:tc>
        <w:tc>
          <w:tcPr>
            <w:tcW w:w="5600" w:type="dxa"/>
          </w:tcPr>
          <w:p>
            <w:r>
              <w:t xml:space="preserve">事务长度正确</w:t>
            </w:r>
          </w:p>
        </w:tc>
      </w:tr>
      <w:tr>
        <w:tc>
          <w:tcPr>
            <w:tcW w:w="3400" w:type="dxa"/>
          </w:tcPr>
          <w:p>
            <w:r>
              <w:t xml:space="preserve">CS低电平约16 μs</w:t>
            </w:r>
          </w:p>
        </w:tc>
        <w:tc>
          <w:tcPr>
            <w:tcW w:w="5600" w:type="dxa"/>
          </w:tcPr>
          <w:p>
            <w:r>
              <w:t xml:space="preserve">与16 bit、1 MHz相符</w:t>
            </w:r>
          </w:p>
        </w:tc>
      </w:tr>
      <w:tr>
        <w:tc>
          <w:tcPr>
            <w:tcW w:w="3400" w:type="dxa"/>
          </w:tcPr>
          <w:p>
            <w:r>
              <w:t xml:space="preserve">高电平约3.3 V</w:t>
            </w:r>
          </w:p>
        </w:tc>
        <w:tc>
          <w:tcPr>
            <w:tcW w:w="5600" w:type="dxa"/>
          </w:tcPr>
          <w:p>
            <w:r>
              <w:t xml:space="preserve">ESP32逻辑电平正常</w:t>
            </w:r>
          </w:p>
        </w:tc>
      </w:tr>
      <w:tr>
        <w:tc>
          <w:tcPr>
            <w:tcW w:w="3400" w:type="dxa"/>
          </w:tcPr>
          <w:p>
            <w:r>
              <w:t xml:space="preserve">每约500 ms出现一包</w:t>
            </w:r>
          </w:p>
        </w:tc>
        <w:tc>
          <w:tcPr>
            <w:tcW w:w="5600" w:type="dxa"/>
          </w:tcPr>
          <w:p>
            <w:r>
              <w:t xml:space="preserve">与主循环读取周期一致</w:t>
            </w:r>
          </w:p>
        </w:tc>
      </w:tr>
    </w:tbl>
    <w:p>
      <w:pPr>
        <w:pStyle w:val="Heading1"/>
      </w:pPr>
      <w:r>
        <w:t xml:space="preserve">7. 常见问题排查</w:t>
      </w:r>
    </w:p>
    <w:tbl>
      <w:tblPr>
        <w:tblStyle w:val="TableGrid"/>
        <w:tblW w:w="0" w:type="auto"/>
        <w:tblLayout w:type="fixed"/>
      </w:tblPr>
      <w:tblGrid>
        <w:gridCol w:w="3000"/>
        <w:gridCol w:w="6000"/>
      </w:tblGrid>
      <w:tr>
        <w:tc>
          <w:tcPr>
            <w:tcW w:w="3000" w:type="dxa"/>
            <w:shd w:fill="D9EAF7"/>
          </w:tcPr>
          <w:p>
            <w:r>
              <w:rPr>
                <w:b/>
              </w:rPr>
              <w:t xml:space="preserve">现象</w:t>
            </w:r>
          </w:p>
        </w:tc>
        <w:tc>
          <w:tcPr>
            <w:tcW w:w="6000" w:type="dxa"/>
            <w:shd w:fill="D9EAF7"/>
          </w:tcPr>
          <w:p>
            <w:r>
              <w:rPr>
                <w:b/>
              </w:rPr>
              <w:t xml:space="preserve">优先检查</w:t>
            </w:r>
          </w:p>
        </w:tc>
      </w:tr>
      <w:tr>
        <w:tc>
          <w:tcPr>
            <w:tcW w:w="3000" w:type="dxa"/>
          </w:tcPr>
          <w:p>
            <w:r>
              <w:t xml:space="preserve">屏幕没有波形</w:t>
            </w:r>
          </w:p>
        </w:tc>
        <w:tc>
          <w:tcPr>
            <w:tcW w:w="6000" w:type="dxa"/>
          </w:tcPr>
          <w:p>
            <w:r>
              <w:t xml:space="preserve">串口是否持续打印温度；探头是否接GPIO36；地夹是否接GND；是否处于WAIT</w:t>
            </w:r>
          </w:p>
        </w:tc>
      </w:tr>
      <w:tr>
        <w:tc>
          <w:tcPr>
            <w:tcW w:w="3000" w:type="dxa"/>
          </w:tcPr>
          <w:p>
            <w:r>
              <w:t xml:space="preserve">只有一条很窄的竖线</w:t>
            </w:r>
          </w:p>
        </w:tc>
        <w:tc>
          <w:tcPr>
            <w:tcW w:w="6000" w:type="dxa"/>
          </w:tcPr>
          <w:p>
            <w:r>
              <w:t xml:space="preserve">时基仍在毫秒档，改为2 μs/div并使用触发</w:t>
            </w:r>
          </w:p>
        </w:tc>
      </w:tr>
      <w:tr>
        <w:tc>
          <w:tcPr>
            <w:tcW w:w="3000" w:type="dxa"/>
          </w:tcPr>
          <w:p>
            <w:r>
              <w:t xml:space="preserve">波形不停跳动</w:t>
            </w:r>
          </w:p>
        </w:tc>
        <w:tc>
          <w:tcPr>
            <w:tcW w:w="6000" w:type="dxa"/>
          </w:tcPr>
          <w:p>
            <w:r>
              <w:t xml:space="preserve">使用Normal/Single；双通道时用CS下降沿触发</w:t>
            </w:r>
          </w:p>
        </w:tc>
      </w:tr>
      <w:tr>
        <w:tc>
          <w:tcPr>
            <w:tcW w:w="3000" w:type="dxa"/>
          </w:tcPr>
          <w:p>
            <w:r>
              <w:t xml:space="preserve">显示0.33 V而非3.3 V</w:t>
            </w:r>
          </w:p>
        </w:tc>
        <w:tc>
          <w:tcPr>
            <w:tcW w:w="6000" w:type="dxa"/>
          </w:tcPr>
          <w:p>
            <w:r>
              <w:t xml:space="preserve">探头开关与通道倍率是否一个X10、一个X1</w:t>
            </w:r>
          </w:p>
        </w:tc>
      </w:tr>
      <w:tr>
        <w:tc>
          <w:tcPr>
            <w:tcW w:w="3000" w:type="dxa"/>
          </w:tcPr>
          <w:p>
            <w:r>
              <w:t xml:space="preserve">波形顶部明显圆钝</w:t>
            </w:r>
          </w:p>
        </w:tc>
        <w:tc>
          <w:tcPr>
            <w:tcW w:w="6000" w:type="dxa"/>
          </w:tcPr>
          <w:p>
            <w:r>
              <w:t xml:space="preserve">检查探头补偿，缩短地线，使用X10</w:t>
            </w:r>
          </w:p>
        </w:tc>
      </w:tr>
      <w:tr>
        <w:tc>
          <w:tcPr>
            <w:tcW w:w="3000" w:type="dxa"/>
          </w:tcPr>
          <w:p>
            <w:r>
              <w:t xml:space="preserve">脉冲数量不是16</w:t>
            </w:r>
          </w:p>
        </w:tc>
        <w:tc>
          <w:tcPr>
            <w:tcW w:w="6000" w:type="dxa"/>
          </w:tcPr>
          <w:p>
            <w:r>
              <w:t xml:space="preserve">确认观察的是完整事务；用CS下降沿触发并调整水平位置</w:t>
            </w:r>
          </w:p>
        </w:tc>
      </w:tr>
      <w:tr>
        <w:tc>
          <w:tcPr>
            <w:tcW w:w="3000" w:type="dxa"/>
          </w:tcPr>
          <w:p>
            <w:r>
              <w:t xml:space="preserve">频率自动测量为空</w:t>
            </w:r>
          </w:p>
        </w:tc>
        <w:tc>
          <w:tcPr>
            <w:tcW w:w="6000" w:type="dxa"/>
          </w:tcPr>
          <w:p>
            <w:r>
              <w:t xml:space="preserve">短突发信号导致；使用时间游标测相邻上升沿</w:t>
            </w:r>
          </w:p>
        </w:tc>
      </w:tr>
    </w:tbl>
    <w:p>
      <w:pPr>
        <w:pStyle w:val="Heading1"/>
      </w:pPr>
      <w:r>
        <w:t xml:space="preserve">8. 实验记录建议</w:t>
      </w:r>
    </w:p>
    <w:p>
      <w:r>
        <w:t xml:space="preserve">• 记录测量点、探头倍率、垂直档位、时基与触发方式。</w:t>
      </w:r>
    </w:p>
    <w:p>
      <w:r>
        <w:t xml:space="preserve">• 保存完整CS+SCK波形，以及放大后的单周期波形。</w:t>
      </w:r>
    </w:p>
    <w:p>
      <w:r>
        <w:t xml:space="preserve">• 记录SCK频率、周期、高低电平、CS低电平宽度和脉冲数量。</w:t>
      </w:r>
    </w:p>
    <w:p>
      <w:r>
        <w:t xml:space="preserve">• 将示波器结果与PulseView的16位解码结果和串口日志互相验证。</w:t>
      </w:r>
    </w:p>
    <w:p>
      <w:pPr>
        <w:pStyle w:val="Heading1"/>
      </w:pPr>
      <w:r>
        <w:t xml:space="preserve">9. 相关源码与资料</w:t>
      </w:r>
    </w:p>
    <w:p>
      <w:r>
        <w:t xml:space="preserve">• 引脚定义：components/MAX6675/MAX6675.h</w:t>
      </w:r>
    </w:p>
    <w:p>
      <w:r>
        <w:t xml:space="preserve">• SPI配置与读取：components/MAX6675/MAX6675.c</w:t>
      </w:r>
    </w:p>
    <w:p>
      <w:r>
        <w:t xml:space="preserve">• 500 ms读取循环：main/main.cpp</w:t>
      </w:r>
    </w:p>
    <w:p>
      <w:r>
        <w:t xml:space="preserve">• ZT-703S用户手册：https://manuals.plus/m/6479ea287c0b57aa3c0bc622a064a4d5d24e6818e24de637935056b5bd9d4f51_optim.pdf</w:t>
      </w:r>
    </w:p>
    <w:p>
      <w:r>
        <w:t xml:space="preserve">• MAX6675官方数据手册：https://www.analog.com/media/en/technical-documentation/data-sheets/max6675.pdf</w:t>
      </w:r>
    </w:p>
    <w:sectPr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Microsoft YaHei" w:hAnsi="Microsoft YaHei" w:eastAsia="Microsoft YaHei"/>
      </w:rPr>
    </w:lvl>
  </w:abstractNum>
  <w:num w:numId="1">
    <w:abstractNumId w:val="0"/>
  </w:num>
</w:numbering>
</file>

<file path=word/settings.xml><?xml version="1.0" encoding="utf-8"?>
<w:settings xmlns:w="http://schemas.openxmlformats.org/wordprocessingml/2006/main">
  <w:zoom w:percent="100"/>
  <w:defaultTabStop w:val="720"/>
  <w:characterSpacingControl w:val="doNotCompress"/>
</w:settings>
</file>

<file path=word/styles.xml><?xml version="1.0" encoding="utf-8"?>
<w:styles xmlns:w="http://schemas.openxmlformats.org/wordprocessingml/2006/main">
  <w:docDefaults>
    <w:rPrDefault>
      <w:rPr>
        <w:rFonts w:ascii="Microsoft YaHei" w:hAnsi="Microsoft YaHei" w:eastAsia="Microsoft YaHei"/>
        <w:sz w:val="22"/>
        <w:szCs w:val="22"/>
      </w:rPr>
    </w:rPrDefault>
    <w:pPrDefault>
      <w:pPr>
        <w:spacing w:after="100" w:line="360" w:lineRule="auto"/>
      </w:pPr>
    </w:pPrDefault>
  </w:docDefaults>
  <w:style w:type="paragraph" w:default="1" w:styleId="Normal">
    <w:name w:val="Normal"/>
  </w:style>
  <w:style w:type="paragraph" w:styleId="Title">
    <w:name w:val="Title"/>
    <w:basedOn w:val="Normal"/>
    <w:pPr>
      <w:spacing w:before="240" w:after="160"/>
      <w:jc w:val="center"/>
    </w:pPr>
    <w:rPr>
      <w:b/>
      <w:color w:val="17365D"/>
      <w:sz w:val="38"/>
      <w:szCs w:val="38"/>
    </w:rPr>
  </w:style>
  <w:style w:type="paragraph" w:styleId="Subtitle">
    <w:name w:val="Subtitle"/>
    <w:basedOn w:val="Normal"/>
    <w:rPr>
      <w:color w:val="5B6573"/>
      <w:sz w:val="22"/>
    </w:rPr>
  </w:style>
  <w:style w:type="paragraph" w:styleId="Heading1">
    <w:name w:val="heading 1"/>
    <w:basedOn w:val="Normal"/>
    <w:next w:val="Normal"/>
    <w:pPr>
      <w:keepNext/>
      <w:spacing w:before="320" w:after="140"/>
      <w:outlineLvl w:val="0"/>
    </w:pPr>
    <w:rPr>
      <w:b/>
      <w:color w:val="17365D"/>
      <w:sz w:val="30"/>
      <w:szCs w:val="30"/>
    </w:rPr>
  </w:style>
  <w:style w:type="paragraph" w:styleId="Heading2">
    <w:name w:val="heading 2"/>
    <w:basedOn w:val="Normal"/>
    <w:next w:val="Normal"/>
    <w:pPr>
      <w:keepNext/>
      <w:spacing w:before="220" w:after="100"/>
      <w:outlineLvl w:val="1"/>
    </w:pPr>
    <w:rPr>
      <w:b/>
      <w:color w:val="24527A"/>
      <w:sz w:val="25"/>
      <w:szCs w:val="25"/>
    </w:rPr>
  </w:style>
  <w:style w:type="paragraph" w:styleId="Code">
    <w:name w:val="Code"/>
    <w:basedOn w:val="Normal"/>
    <w:pPr>
      <w:ind w:left="300" w:right="200"/>
      <w:spacing w:before="20" w:after="20"/>
      <w:shd w:fill="F3F5F7"/>
    </w:pPr>
    <w:rPr>
      <w:rFonts w:ascii="Consolas" w:hAnsi="Consolas" w:eastAsia="Microsoft YaHei"/>
      <w:sz w:val="19"/>
    </w:rPr>
  </w:style>
  <w:style w:type="table" w:styleId="TableGrid">
    <w:name w:val="Table Grid"/>
    <w:tblPr>
      <w:tblBorders>
        <w:top w:val="single" w:sz="4" w:color="AAB4BE"/>
        <w:left w:val="single" w:sz="4" w:color="AAB4BE"/>
        <w:bottom w:val="single" w:sz="4" w:color="AAB4BE"/>
        <w:right w:val="single" w:sz="4" w:color="AAB4BE"/>
        <w:insideH w:val="single" w:sz="4" w:color="C5CDD5"/>
        <w:insideV w:val="single" w:sz="4" w:color="C5CDD5"/>
      </w:tblBorders>
      <w:tblCellMar>
        <w:top w:w="80" w:type="dxa"/>
        <w:left w:w="100" w:type="dxa"/>
        <w:bottom w:w="80" w:type="dxa"/>
        <w:right w:w="100" w:type="dxa"/>
      </w:tblCellMar>
    </w:tbl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  <Relationship Id="rId3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  <DocSecurity>0</DocSecurity>
  <ScaleCrop>false</ScaleCrop>
  <Company/>
  <LinksUpToDate>false</LinksUpToDate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ZT-703S示波器查看SPI时钟使用指南</dc:title>
  <dc:subject>ESP32-S3与MAX6675 SPI通信学习文档</dc:subject>
  <dc:creator>Codex</dc:creator>
  <cp:keywords>ESP32-S3; ESP-IDF; SPI; MAX6675</cp:keywords>
  <dcterms:created xsi:type="dcterms:W3CDTF">2026-08-04T09:44:10Z</dcterms:created>
  <dcterms:modified xsi:type="dcterms:W3CDTF">2026-08-04T09:44:10Z</dcterms:modified>
</cp:coreProperties>
</file>