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08784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bookmarkStart w:id="0" w:name="_Hlk75485739"/>
      <w:bookmarkEnd w:id="0"/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C9B9650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14:paraId="07E26038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ЭКОНОМИКИ, МАТЕМАТИКИ И ИНФОРМАЦИОННЫХ ТЕХНОЛОГИЙ</w:t>
      </w:r>
    </w:p>
    <w:p w14:paraId="12920011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ЭКОНОМИЧЕСКИЙ ФАКУЛЬТЕТ</w:t>
      </w:r>
    </w:p>
    <w:p w14:paraId="061936BD" w14:textId="77777777" w:rsidR="004D6D22" w:rsidRDefault="00000000">
      <w:pPr>
        <w:pStyle w:val="a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38.03.01 ЭКОНОМИКА</w:t>
      </w:r>
    </w:p>
    <w:p w14:paraId="1055AABC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Группа ОБ-7281-20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Кафедра микроэкономики</w:t>
      </w:r>
    </w:p>
    <w:p w14:paraId="41839902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Допустить к защите</w:t>
      </w:r>
    </w:p>
    <w:p w14:paraId="7091A9BB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заведующий кафедрой микроэкономики</w:t>
      </w:r>
    </w:p>
    <w:p w14:paraId="1F295A21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__________________________ Левин М.И.</w:t>
      </w:r>
    </w:p>
    <w:p w14:paraId="10736CBF" w14:textId="77777777" w:rsidR="004D6D22" w:rsidRDefault="00000000">
      <w:pPr>
        <w:pStyle w:val="af0"/>
        <w:jc w:val="right"/>
        <w:rPr>
          <w:color w:val="000000"/>
        </w:rPr>
      </w:pPr>
      <w:r>
        <w:rPr>
          <w:color w:val="000000"/>
        </w:rPr>
        <w:t>«____» _______________20_ г.</w:t>
      </w:r>
    </w:p>
    <w:p w14:paraId="371F9D2D" w14:textId="77777777" w:rsidR="004D6D22" w:rsidRDefault="004D6D22">
      <w:pPr>
        <w:pStyle w:val="af0"/>
        <w:jc w:val="right"/>
        <w:rPr>
          <w:color w:val="000000"/>
        </w:rPr>
      </w:pPr>
    </w:p>
    <w:p w14:paraId="52DD8D41" w14:textId="77777777" w:rsidR="004D6D22" w:rsidRDefault="00000000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ВЫПУСКНАЯ КВАЛИФИКАЦИОННАЯ РАБОТА</w:t>
      </w:r>
    </w:p>
    <w:p w14:paraId="1880E283" w14:textId="77777777" w:rsidR="004D6D22" w:rsidRDefault="00000000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КРИВОЙ ФИЛЛИПСА ДЛЯ РОССИЙСКОЙ ЭКОНОМИКИ</w:t>
      </w:r>
    </w:p>
    <w:p w14:paraId="237E84A6" w14:textId="77777777" w:rsidR="004D6D22" w:rsidRDefault="004D6D22">
      <w:pPr>
        <w:pStyle w:val="af0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7B38B9A" w14:textId="77777777" w:rsidR="004D6D22" w:rsidRDefault="00000000">
      <w:pPr>
        <w:pStyle w:val="af0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студент-бакалавр</w:t>
      </w:r>
    </w:p>
    <w:p w14:paraId="4DFF6EBB" w14:textId="77777777" w:rsidR="004D6D22" w:rsidRDefault="00000000">
      <w:pPr>
        <w:pStyle w:val="af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Анфимов Александр Дмитриевич                                    /____________/___________/</w:t>
      </w:r>
    </w:p>
    <w:p w14:paraId="5B47E954" w14:textId="77777777" w:rsidR="004D6D22" w:rsidRDefault="00000000">
      <w:pPr>
        <w:pStyle w:val="af0"/>
        <w:spacing w:before="0" w:beforeAutospacing="0" w:after="0" w:afterAutospacing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  <w:sz w:val="28"/>
          <w:szCs w:val="28"/>
        </w:rPr>
        <w:t xml:space="preserve">                                                                                       </w:t>
      </w:r>
      <w:r>
        <w:rPr>
          <w:i/>
          <w:iCs/>
          <w:color w:val="000000"/>
        </w:rPr>
        <w:t>(подпись)               (дата)</w:t>
      </w:r>
    </w:p>
    <w:p w14:paraId="70CF1CD8" w14:textId="77777777" w:rsidR="004D6D22" w:rsidRDefault="00000000">
      <w:pPr>
        <w:pStyle w:val="af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научный руководитель выпускной</w:t>
      </w:r>
    </w:p>
    <w:p w14:paraId="549288CC" w14:textId="77777777" w:rsidR="004D6D22" w:rsidRDefault="00000000">
      <w:pPr>
        <w:pStyle w:val="af0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квалификационной работы</w:t>
      </w:r>
    </w:p>
    <w:p w14:paraId="1496DD8B" w14:textId="77777777" w:rsidR="004D6D22" w:rsidRDefault="00000000">
      <w:pPr>
        <w:pStyle w:val="af0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к.э.н., Девятов Алексей Евгеньевич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/____________/___________/</w:t>
      </w:r>
    </w:p>
    <w:p w14:paraId="7ABDD264" w14:textId="77777777" w:rsidR="004D6D22" w:rsidRDefault="00000000">
      <w:pPr>
        <w:pStyle w:val="af0"/>
        <w:spacing w:before="0" w:beforeAutospacing="0" w:after="0" w:afterAutospacing="0" w:line="360" w:lineRule="auto"/>
        <w:jc w:val="right"/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                                                                    (подпись)               (дата)</w:t>
      </w:r>
      <w:r>
        <w:rPr>
          <w:i/>
          <w:iCs/>
          <w:color w:val="000000"/>
        </w:rPr>
        <w:tab/>
      </w:r>
    </w:p>
    <w:p w14:paraId="5F3D4FAC" w14:textId="77777777" w:rsidR="004D6D22" w:rsidRDefault="00000000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</w:t>
      </w:r>
    </w:p>
    <w:p w14:paraId="4E265160" w14:textId="77777777" w:rsidR="004D6D22" w:rsidRDefault="00000000">
      <w:pPr>
        <w:pStyle w:val="af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 г.</w:t>
      </w:r>
    </w:p>
    <w:p w14:paraId="2F0CAC30" w14:textId="77777777" w:rsidR="004D6D22" w:rsidRDefault="00000000">
      <w:pPr>
        <w:pStyle w:val="1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Оглавление</w:t>
      </w:r>
    </w:p>
    <w:p w14:paraId="14367EE3" w14:textId="77777777" w:rsidR="004D6D22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/>
          <w:kern w:val="2"/>
          <w:szCs w:val="24"/>
          <w:lang w:eastAsia="ru-RU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201412940" w:history="1">
        <w:r>
          <w:rPr>
            <w:rStyle w:val="a7"/>
          </w:rPr>
          <w:t>Введение</w:t>
        </w:r>
        <w:r>
          <w:tab/>
        </w:r>
        <w:r>
          <w:fldChar w:fldCharType="begin"/>
        </w:r>
        <w:r>
          <w:instrText xml:space="preserve"> PAGEREF _Toc201412940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9AE8EF4" w14:textId="77777777" w:rsidR="004D6D22" w:rsidRDefault="00000000">
      <w:pPr>
        <w:spacing w:line="360" w:lineRule="auto"/>
        <w:jc w:val="both"/>
      </w:pPr>
      <w:r>
        <w:rPr>
          <w:rFonts w:cs="Times New Roman"/>
          <w:szCs w:val="24"/>
        </w:rPr>
        <w:fldChar w:fldCharType="end"/>
      </w:r>
    </w:p>
    <w:p w14:paraId="08AEDADF" w14:textId="77777777" w:rsidR="004D6D22" w:rsidRDefault="00000000">
      <w:pPr>
        <w:pStyle w:val="af0"/>
        <w:tabs>
          <w:tab w:val="left" w:pos="3236"/>
          <w:tab w:val="right" w:pos="9355"/>
        </w:tabs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370F4147" w14:textId="77777777" w:rsidR="004D6D22" w:rsidRDefault="004D6D22">
      <w:pPr>
        <w:rPr>
          <w:color w:val="000000"/>
          <w:sz w:val="27"/>
          <w:szCs w:val="27"/>
        </w:rPr>
      </w:pPr>
    </w:p>
    <w:p w14:paraId="5F481755" w14:textId="77777777" w:rsidR="004D6D22" w:rsidRDefault="00000000">
      <w:pPr>
        <w:pStyle w:val="1"/>
        <w:jc w:val="center"/>
        <w:rPr>
          <w:szCs w:val="28"/>
        </w:rPr>
      </w:pPr>
      <w:r>
        <w:br w:type="page"/>
      </w:r>
      <w:bookmarkStart w:id="1" w:name="_Toc201412940"/>
      <w:r>
        <w:lastRenderedPageBreak/>
        <w:t>Введение</w:t>
      </w:r>
      <w:bookmarkEnd w:id="1"/>
    </w:p>
    <w:p w14:paraId="6BB41036" w14:textId="77777777" w:rsidR="004D6D22" w:rsidRDefault="00000000">
      <w:pPr>
        <w:spacing w:line="360" w:lineRule="auto"/>
        <w:ind w:firstLine="708"/>
        <w:jc w:val="both"/>
      </w:pPr>
      <w:r>
        <w:t>Непараметрическая регрессия – это метод моделирования зависимости между переменными, который не предполагает явно заданной формы функции (линейной, полиномиальной и т.д.). Основное преимущество такого подхода заключается в гибкости, то есть адаптации к структуре без жёстких допущений. Именно поэтому данный метод является важным и актуальным в современных реалиях. В эпоху больших данных, когда наблюдается рост сложности данных (нелинейность, выбросы и мультимодальность) он позволяет анализировать сложные и неизвестные зависимости, которые практически невозможно оценить с помощью стандартных параметрических методов. Особенно широкое применение данный метод находит в машинном обучении и таких прикладных областях как экономика и медицина. Более подробно актуальные направления рассмотрены в соответствующей главе исследования.</w:t>
      </w:r>
    </w:p>
    <w:p w14:paraId="75DEDCE1" w14:textId="77777777" w:rsidR="004D6D22" w:rsidRDefault="00000000">
      <w:pPr>
        <w:spacing w:line="360" w:lineRule="auto"/>
        <w:ind w:firstLine="708"/>
        <w:jc w:val="both"/>
      </w:pPr>
      <w:r>
        <w:t>В качестве основных подходов к реализации данного метода можно выделить как классические непараметрические методы (ядерные регрессии, локально полиномиальные оценки и др.) так и байесовские (регрессия гауссовских процессов, байесовские аддитивные регрессионные деревья). Более подробно существующие методы, а также их преимущества и недостатки, разбираются в обзорной главе данной работы.</w:t>
      </w:r>
    </w:p>
    <w:p w14:paraId="01CC87EC" w14:textId="77777777" w:rsidR="004D6D22" w:rsidRDefault="00000000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Стоит отметить пробел в исследованиях, на котором фокусируется данная работа, а именно отсутствие работ, которые прямо анализируют информационную эффективность существующих подходов к оцениванию непараметрической регрессии. В большинстве исследований акцент идёт на предсказательной способности или уровня подгонки модели, а также качестве извлекаемых знаний из выборки. Однако стандартные используемые метрики, такие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SE</m:t>
        </m:r>
      </m:oMath>
      <w:r>
        <w:rPr>
          <w:rFonts w:eastAsiaTheme="minorEastAsia"/>
        </w:rPr>
        <w:t>, не отражают полноту извлекаемых данных.</w:t>
      </w:r>
    </w:p>
    <w:p w14:paraId="1E8716AB" w14:textId="77777777" w:rsidR="004D6D22" w:rsidRDefault="00000000">
      <w:pPr>
        <w:spacing w:line="360" w:lineRule="auto"/>
        <w:ind w:firstLine="708"/>
        <w:jc w:val="both"/>
      </w:pPr>
      <w:r>
        <w:rPr>
          <w:rFonts w:eastAsiaTheme="minorEastAsia"/>
        </w:rPr>
        <w:t xml:space="preserve">Таким образом, данное исследование направлено на то, чтобы заполнить этот пробел, предлагая другой, теоретико-информационный подход, к оценке эффективности построения непараметрической регрессии. Цель данной работы заключается в сравнении существующих классических непараметрических и байесовских методов с точки зрения </w:t>
      </w:r>
      <w:r>
        <w:t>количества извлекаемой информации из данных и построении сравнительной шкалы на основе нескольких метрик. Практическая значимость заключается в том, что в работе также описаны рекомендации и особенности выбора методов в зависимости от типа задач и данных.</w:t>
      </w:r>
    </w:p>
    <w:p w14:paraId="3F7D5EDD" w14:textId="77777777" w:rsidR="004D6D22" w:rsidRDefault="00000000">
      <w:pPr>
        <w:spacing w:line="360" w:lineRule="auto"/>
        <w:ind w:firstLine="708"/>
        <w:jc w:val="both"/>
        <w:rPr>
          <w:rStyle w:val="a7"/>
          <w:rFonts w:eastAsia="Times New Roman" w:cs="Times New Roman"/>
          <w:color w:val="auto"/>
          <w:szCs w:val="24"/>
          <w:u w:val="none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Структура работы представлена следующим образом. Первая часть работы посвящена обзору актуальных направлений применения и исследования </w:t>
      </w:r>
      <w:r>
        <w:rPr>
          <w:rFonts w:eastAsia="Times New Roman" w:cs="Times New Roman"/>
          <w:szCs w:val="24"/>
          <w:lang w:eastAsia="ru-RU"/>
        </w:rPr>
        <w:lastRenderedPageBreak/>
        <w:t>непараметрической регрессии. Во второй части работы приводится обзор и описание существующих подходов к оценке непараметрической регрессии. В третьей части описываются модификации выбранных для сравнения моделей, а также информационные критерии. В четвёртой части описаны данные. В пятой представлены результаты оценки и сравнения. В шестой части приводится заключение исследования.</w:t>
      </w:r>
    </w:p>
    <w:p w14:paraId="47AD0C5E" w14:textId="77777777" w:rsidR="004D6D22" w:rsidRDefault="004D6D22">
      <w:pPr>
        <w:spacing w:line="360" w:lineRule="auto"/>
        <w:ind w:firstLine="708"/>
        <w:jc w:val="both"/>
      </w:pPr>
    </w:p>
    <w:p w14:paraId="54C041F2" w14:textId="77777777" w:rsidR="004D6D22" w:rsidRDefault="004D6D22">
      <w:pPr>
        <w:spacing w:line="360" w:lineRule="auto"/>
      </w:pPr>
    </w:p>
    <w:p w14:paraId="6EAECBE9" w14:textId="77777777" w:rsidR="004D6D22" w:rsidRDefault="004D6D22">
      <w:pPr>
        <w:spacing w:line="360" w:lineRule="auto"/>
        <w:ind w:firstLine="708"/>
        <w:sectPr w:rsidR="004D6D22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2D1922B" w14:textId="77777777" w:rsidR="004D6D22" w:rsidRDefault="00000000">
      <w:pPr>
        <w:pStyle w:val="1"/>
        <w:jc w:val="center"/>
        <w:rPr>
          <w:rStyle w:val="a7"/>
          <w:color w:val="auto"/>
          <w:u w:val="none"/>
        </w:rPr>
      </w:pPr>
      <w:bookmarkStart w:id="2" w:name="_Toc167011032"/>
      <w:r>
        <w:rPr>
          <w:rStyle w:val="a7"/>
          <w:color w:val="auto"/>
          <w:szCs w:val="44"/>
          <w:u w:val="none"/>
        </w:rPr>
        <w:lastRenderedPageBreak/>
        <w:t>Основная часть</w:t>
      </w:r>
      <w:bookmarkEnd w:id="2"/>
    </w:p>
    <w:p w14:paraId="7CE16471" w14:textId="77777777" w:rsidR="004D6D22" w:rsidRDefault="00000000">
      <w:pPr>
        <w:pStyle w:val="2"/>
        <w:spacing w:line="360" w:lineRule="auto"/>
        <w:rPr>
          <w:rStyle w:val="a7"/>
          <w:rFonts w:cs="Times New Roman"/>
          <w:color w:val="auto"/>
          <w:szCs w:val="24"/>
          <w:u w:val="none"/>
        </w:rPr>
      </w:pPr>
      <w:bookmarkStart w:id="3" w:name="_Toc167011033"/>
      <w:r>
        <w:rPr>
          <w:rStyle w:val="a7"/>
          <w:rFonts w:cs="Times New Roman"/>
          <w:color w:val="auto"/>
          <w:szCs w:val="24"/>
          <w:u w:val="none"/>
        </w:rPr>
        <w:t>1. Обзор литературы</w:t>
      </w:r>
    </w:p>
    <w:p w14:paraId="6DD747AC" w14:textId="77777777" w:rsidR="004D6D22" w:rsidRDefault="00000000">
      <w:pPr>
        <w:pStyle w:val="3"/>
        <w:spacing w:line="360" w:lineRule="auto"/>
        <w:rPr>
          <w:rStyle w:val="a7"/>
          <w:rFonts w:cs="Times New Roman"/>
          <w:color w:val="auto"/>
          <w:u w:val="none"/>
        </w:rPr>
      </w:pPr>
      <w:bookmarkStart w:id="4" w:name="_Toc167011034"/>
      <w:r>
        <w:rPr>
          <w:rStyle w:val="a7"/>
          <w:rFonts w:cs="Times New Roman"/>
          <w:color w:val="auto"/>
          <w:u w:val="none"/>
        </w:rPr>
        <w:t xml:space="preserve">1.1. </w:t>
      </w:r>
      <w:bookmarkEnd w:id="4"/>
      <w:r>
        <w:rPr>
          <w:rStyle w:val="a7"/>
          <w:rFonts w:cs="Times New Roman"/>
          <w:color w:val="auto"/>
          <w:u w:val="none"/>
        </w:rPr>
        <w:t>Актуальные работы по практическому применению непараметрической регрессии</w:t>
      </w:r>
    </w:p>
    <w:bookmarkEnd w:id="3"/>
    <w:p w14:paraId="76E57ECD" w14:textId="77777777" w:rsidR="004D6D22" w:rsidRDefault="00000000">
      <w:pPr>
        <w:spacing w:line="360" w:lineRule="auto"/>
        <w:ind w:firstLine="708"/>
        <w:jc w:val="both"/>
      </w:pPr>
      <w:r>
        <w:t xml:space="preserve">Непараметрическая регрессия играет важную роль в современной статистике и машинном обучении. Она часто применяется в задачах, где требуется анализировать сложные, малоизученные и нелинейные данные, так как не предполагает явно заданной функциональной формы зависимости. </w:t>
      </w:r>
    </w:p>
    <w:p w14:paraId="5D3E7F46" w14:textId="77777777" w:rsidR="004D6D22" w:rsidRDefault="00000000">
      <w:pPr>
        <w:spacing w:line="360" w:lineRule="auto"/>
        <w:ind w:firstLine="708"/>
        <w:jc w:val="both"/>
      </w:pPr>
      <w:r>
        <w:t>В последние годы наблюдается рост вычислительных мощностей и развитие больших данных. Особенно сильно это заметно в таких областях, как машинное обучение, искусственный интеллект, медицина, экономика и финансы, поэтому непараметрическая регрессия часто применяется для решения задач из этих областей, о чём и пойдёт речь в этой главе.</w:t>
      </w:r>
    </w:p>
    <w:p w14:paraId="41A5838F" w14:textId="18587EF1" w:rsidR="004D6D22" w:rsidRDefault="00000000">
      <w:pPr>
        <w:spacing w:line="360" w:lineRule="auto"/>
        <w:jc w:val="both"/>
      </w:pPr>
      <w:r>
        <w:tab/>
        <w:t xml:space="preserve">В качестве примера работы в области медицины можно выделить статью Альберта Канона, </w:t>
      </w:r>
      <w:proofErr w:type="spellStart"/>
      <w:r>
        <w:t>Гианлуки</w:t>
      </w:r>
      <w:proofErr w:type="spellEnd"/>
      <w:r>
        <w:t xml:space="preserve"> </w:t>
      </w:r>
      <w:proofErr w:type="spellStart"/>
      <w:r>
        <w:t>Байо</w:t>
      </w:r>
      <w:proofErr w:type="spellEnd"/>
      <w:r>
        <w:t xml:space="preserve"> и Иоанна </w:t>
      </w:r>
      <w:proofErr w:type="spellStart"/>
      <w:r>
        <w:t>Манолопполоу</w:t>
      </w:r>
      <w:proofErr w:type="spellEnd"/>
      <w:r>
        <w:rPr>
          <w:rStyle w:val="a5"/>
        </w:rPr>
        <w:footnoteReference w:id="1"/>
      </w:r>
      <w:r>
        <w:t xml:space="preserve">. В ней авторы рассматривают современные подходы к оценке гетерогенных и индивидуальных эффектов лечения (CATE/ITE) с </w:t>
      </w:r>
      <w:r w:rsidR="00D45940">
        <w:t>использованием методов</w:t>
      </w:r>
      <w:r>
        <w:t xml:space="preserve"> непараметрической регрессии. Такой подход позволяет убрать или уменьшить необходимость в традиционных рандомизированных экспериментах, что особенно актуально в </w:t>
      </w:r>
      <w:r w:rsidR="00D45940">
        <w:t>сферах,</w:t>
      </w:r>
      <w:r>
        <w:t xml:space="preserve"> где они невозможны. В статье используется два основных непараметрических подхода: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(</w:t>
      </w:r>
      <w:r>
        <w:rPr>
          <w:lang w:val="en-US"/>
        </w:rPr>
        <w:t>BART</w:t>
      </w:r>
      <w:r w:rsidRPr="00D45940">
        <w:t xml:space="preserve">) </w:t>
      </w:r>
      <w:r>
        <w:t xml:space="preserve">, а именно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Causal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(BCF) и мета-алгоритмы (S-, T-, X-, R-</w:t>
      </w:r>
      <w:proofErr w:type="spellStart"/>
      <w:r>
        <w:t>Learners</w:t>
      </w:r>
      <w:proofErr w:type="spellEnd"/>
      <w:r>
        <w:t xml:space="preserve">). Эти методы позволили исследователям без жёстких предположений о функциональной зависимости оценить сложную связь между лечением и </w:t>
      </w:r>
      <w:proofErr w:type="spellStart"/>
      <w:r>
        <w:t>ковариатами</w:t>
      </w:r>
      <w:proofErr w:type="spellEnd"/>
      <w:r>
        <w:t xml:space="preserve">. Авторы отмечают, что гибкий подход был критичным для минимизации систематических ошибок в оценках причинных эффектов и подчерчивают преимущество такого подхода перед параметрическими методами в контексте высокой размерности данных, несбалансированных </w:t>
      </w:r>
      <w:r w:rsidR="00D45940">
        <w:t>групп и</w:t>
      </w:r>
      <w:r>
        <w:t xml:space="preserve"> смешивающих факторов. Результативность методов демонстрировалась на двух датасете. Сначала исследователи провели анализ влияния школьных обеденных программ на здоровье детей, а потом показали высокую эффективность методов на синтетических данных. Однако авторы указывают на ряд важных ключевых допущений, соблюдение которых необходимо для эффективного </w:t>
      </w:r>
      <w:r>
        <w:lastRenderedPageBreak/>
        <w:t xml:space="preserve">применения предложенных методов, а именно отсутствие скрытых </w:t>
      </w:r>
      <w:proofErr w:type="spellStart"/>
      <w:r>
        <w:t>смешивателей</w:t>
      </w:r>
      <w:proofErr w:type="spellEnd"/>
      <w:r>
        <w:t xml:space="preserve"> </w:t>
      </w:r>
      <w:r w:rsidR="00D45940">
        <w:t>и перекрытие</w:t>
      </w:r>
      <w:r>
        <w:t xml:space="preserve"> групп.</w:t>
      </w:r>
    </w:p>
    <w:p w14:paraId="05B4EAB5" w14:textId="333B7614" w:rsidR="004D6D22" w:rsidRDefault="00000000">
      <w:pPr>
        <w:spacing w:line="360" w:lineRule="auto"/>
        <w:jc w:val="both"/>
      </w:pPr>
      <w:r>
        <w:tab/>
        <w:t xml:space="preserve">В области экономики непараметрическая регрессия также является относительно популярным методов, в </w:t>
      </w:r>
      <w:r w:rsidR="00D45940">
        <w:t>основном, потому что</w:t>
      </w:r>
      <w:r>
        <w:t xml:space="preserve"> изучаемые зависимости неизвестны и довольно сложны. Хорошим примером этому может послужить работа </w:t>
      </w:r>
      <w:proofErr w:type="spellStart"/>
      <w:r>
        <w:t>Мингминг</w:t>
      </w:r>
      <w:proofErr w:type="spellEnd"/>
      <w:r>
        <w:t xml:space="preserve"> Джанга и др.</w:t>
      </w:r>
      <w:r>
        <w:rPr>
          <w:rStyle w:val="a5"/>
        </w:rPr>
        <w:footnoteReference w:id="2"/>
      </w:r>
      <w:r>
        <w:t xml:space="preserve">. В статье исследуется влияние инвестиций в возобновляемую энергетику на выбросы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D45940"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Китае</w:t>
      </w:r>
      <w:r>
        <w:rPr>
          <w:rFonts w:hAnsi="Cambria Math"/>
        </w:rPr>
        <w:t xml:space="preserve">. </w:t>
      </w:r>
      <w:r>
        <w:rPr>
          <w:rFonts w:hAnsi="Cambria Math"/>
        </w:rPr>
        <w:t>Зависимость</w:t>
      </w:r>
      <w:r>
        <w:rPr>
          <w:rFonts w:hAnsi="Cambria Math"/>
        </w:rPr>
        <w:t xml:space="preserve"> </w:t>
      </w:r>
      <w:r>
        <w:rPr>
          <w:rFonts w:hAnsi="Cambria Math"/>
        </w:rPr>
        <w:t>исследуется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аддитивной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регрессионной</w:t>
      </w:r>
      <w:r>
        <w:rPr>
          <w:rFonts w:hAnsi="Cambria Math"/>
        </w:rPr>
        <w:t xml:space="preserve"> </w:t>
      </w:r>
      <w:r>
        <w:rPr>
          <w:rFonts w:hAnsi="Cambria Math"/>
        </w:rPr>
        <w:t>модели</w:t>
      </w:r>
      <w:r>
        <w:rPr>
          <w:rFonts w:hAnsi="Cambria Math"/>
        </w:rPr>
        <w:t xml:space="preserve"> STIRPAT, </w:t>
      </w:r>
      <w:r>
        <w:rPr>
          <w:rFonts w:hAnsi="Cambria Math"/>
        </w:rPr>
        <w:t>позволяющей</w:t>
      </w:r>
      <w:r>
        <w:rPr>
          <w:rFonts w:hAnsi="Cambria Math"/>
        </w:rPr>
        <w:t xml:space="preserve"> </w:t>
      </w:r>
      <w:r>
        <w:rPr>
          <w:rFonts w:hAnsi="Cambria Math"/>
        </w:rPr>
        <w:t>учитывать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линейные</w:t>
      </w:r>
      <w:r>
        <w:rPr>
          <w:rFonts w:hAnsi="Cambria Math"/>
        </w:rPr>
        <w:t xml:space="preserve">, </w:t>
      </w:r>
      <w:r>
        <w:rPr>
          <w:rFonts w:hAnsi="Cambria Math"/>
        </w:rPr>
        <w:t>так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нелинейные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взаимосвязи</w:t>
      </w:r>
      <w:r>
        <w:rPr>
          <w:rFonts w:hAnsi="Cambria Math"/>
        </w:rPr>
        <w:t xml:space="preserve">. </w:t>
      </w:r>
      <w:r>
        <w:rPr>
          <w:rFonts w:hAnsi="Cambria Math"/>
        </w:rPr>
        <w:t>Таким</w:t>
      </w:r>
      <w:r>
        <w:rPr>
          <w:rFonts w:hAnsi="Cambria Math"/>
        </w:rPr>
        <w:t xml:space="preserve"> </w:t>
      </w:r>
      <w:r>
        <w:rPr>
          <w:rFonts w:hAnsi="Cambria Math"/>
        </w:rPr>
        <w:t>образом</w:t>
      </w:r>
      <w:r>
        <w:rPr>
          <w:rFonts w:hAnsi="Cambria Math"/>
        </w:rPr>
        <w:t xml:space="preserve">, </w:t>
      </w:r>
      <w:r>
        <w:rPr>
          <w:rFonts w:hAnsi="Cambria Math"/>
        </w:rPr>
        <w:t>исследователи</w:t>
      </w:r>
      <w:r>
        <w:rPr>
          <w:rFonts w:hAnsi="Cambria Math"/>
        </w:rPr>
        <w:t xml:space="preserve"> </w:t>
      </w:r>
      <w:r>
        <w:rPr>
          <w:rFonts w:hAnsi="Cambria Math"/>
        </w:rPr>
        <w:t>могут</w:t>
      </w:r>
      <w:r>
        <w:rPr>
          <w:rFonts w:hAnsi="Cambria Math"/>
        </w:rPr>
        <w:t xml:space="preserve"> </w:t>
      </w:r>
      <w:r>
        <w:rPr>
          <w:rFonts w:hAnsi="Cambria Math"/>
        </w:rPr>
        <w:t>учесть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известную</w:t>
      </w:r>
      <w:r>
        <w:rPr>
          <w:rFonts w:hAnsi="Cambria Math"/>
        </w:rPr>
        <w:t xml:space="preserve"> </w:t>
      </w:r>
      <w:r>
        <w:rPr>
          <w:rFonts w:hAnsi="Cambria Math"/>
        </w:rPr>
        <w:t>информацию</w:t>
      </w:r>
      <w:r>
        <w:rPr>
          <w:rFonts w:hAnsi="Cambria Math"/>
        </w:rPr>
        <w:t xml:space="preserve"> </w:t>
      </w:r>
      <w:r>
        <w:rPr>
          <w:rFonts w:hAnsi="Cambria Math"/>
        </w:rPr>
        <w:t>о</w:t>
      </w:r>
      <w:r>
        <w:rPr>
          <w:rFonts w:hAnsi="Cambria Math"/>
        </w:rPr>
        <w:t xml:space="preserve"> </w:t>
      </w:r>
      <w:r>
        <w:rPr>
          <w:rFonts w:hAnsi="Cambria Math"/>
        </w:rPr>
        <w:t>функциональной</w:t>
      </w:r>
      <w:r>
        <w:rPr>
          <w:rFonts w:hAnsi="Cambria Math"/>
        </w:rPr>
        <w:t xml:space="preserve"> </w:t>
      </w:r>
      <w:r>
        <w:rPr>
          <w:rFonts w:hAnsi="Cambria Math"/>
        </w:rPr>
        <w:t>зависимости</w:t>
      </w:r>
      <w:r>
        <w:rPr>
          <w:rFonts w:hAnsi="Cambria Math"/>
        </w:rPr>
        <w:t xml:space="preserve"> </w:t>
      </w:r>
      <w:r>
        <w:rPr>
          <w:rFonts w:hAnsi="Cambria Math"/>
        </w:rPr>
        <w:t>через</w:t>
      </w:r>
      <w:r>
        <w:rPr>
          <w:rFonts w:hAnsi="Cambria Math"/>
        </w:rPr>
        <w:t xml:space="preserve"> </w:t>
      </w:r>
      <w:r>
        <w:rPr>
          <w:rFonts w:hAnsi="Cambria Math"/>
        </w:rPr>
        <w:t>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коэффициенты</w:t>
      </w:r>
      <w:r>
        <w:rPr>
          <w:rFonts w:hAnsi="Cambria Math"/>
        </w:rPr>
        <w:t xml:space="preserve"> (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таких</w:t>
      </w:r>
      <w:r>
        <w:rPr>
          <w:rFonts w:hAnsi="Cambria Math"/>
        </w:rPr>
        <w:t xml:space="preserve"> </w:t>
      </w:r>
      <w:r>
        <w:rPr>
          <w:rFonts w:hAnsi="Cambria Math"/>
        </w:rPr>
        <w:t>стандартных</w:t>
      </w:r>
      <w:r>
        <w:rPr>
          <w:rFonts w:hAnsi="Cambria Math"/>
        </w:rPr>
        <w:t xml:space="preserve"> </w:t>
      </w:r>
      <w:r>
        <w:rPr>
          <w:rFonts w:hAnsi="Cambria Math"/>
        </w:rPr>
        <w:t>факторов</w:t>
      </w:r>
      <w:r>
        <w:rPr>
          <w:rFonts w:hAnsi="Cambria Math"/>
        </w:rPr>
        <w:t xml:space="preserve">,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ВВП</w:t>
      </w:r>
      <w:r>
        <w:rPr>
          <w:rFonts w:hAnsi="Cambria Math"/>
        </w:rPr>
        <w:t xml:space="preserve">, </w:t>
      </w:r>
      <w:r>
        <w:rPr>
          <w:rFonts w:hAnsi="Cambria Math"/>
        </w:rPr>
        <w:t>уровень</w:t>
      </w:r>
      <w:r>
        <w:rPr>
          <w:rFonts w:hAnsi="Cambria Math"/>
        </w:rPr>
        <w:t xml:space="preserve"> </w:t>
      </w:r>
      <w:r>
        <w:rPr>
          <w:rFonts w:hAnsi="Cambria Math"/>
        </w:rPr>
        <w:t>индустриализации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тд</w:t>
      </w:r>
      <w:proofErr w:type="spellEnd"/>
      <w:r>
        <w:rPr>
          <w:rFonts w:hAnsi="Cambria Math"/>
        </w:rPr>
        <w:t xml:space="preserve">.), </w:t>
      </w:r>
      <w:r>
        <w:rPr>
          <w:rFonts w:hAnsi="Cambria Math"/>
        </w:rPr>
        <w:t>так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неизвестную</w:t>
      </w:r>
      <w:r>
        <w:rPr>
          <w:rFonts w:hAnsi="Cambria Math"/>
        </w:rPr>
        <w:t xml:space="preserve"> </w:t>
      </w:r>
      <w:r>
        <w:rPr>
          <w:rFonts w:hAnsi="Cambria Math"/>
        </w:rPr>
        <w:t>изучаемую</w:t>
      </w:r>
      <w:r>
        <w:rPr>
          <w:rFonts w:hAnsi="Cambria Math"/>
        </w:rPr>
        <w:t xml:space="preserve"> </w:t>
      </w:r>
      <w:r>
        <w:rPr>
          <w:rFonts w:hAnsi="Cambria Math"/>
        </w:rPr>
        <w:t>часть</w:t>
      </w:r>
      <w:r>
        <w:rPr>
          <w:rFonts w:hAnsi="Cambria Math"/>
        </w:rPr>
        <w:t xml:space="preserve"> (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частности</w:t>
      </w:r>
      <w:r>
        <w:rPr>
          <w:rFonts w:hAnsi="Cambria Math"/>
        </w:rPr>
        <w:t xml:space="preserve">, 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инвестиций</w:t>
      </w:r>
      <w:r>
        <w:rPr>
          <w:rFonts w:hAnsi="Cambria Math"/>
        </w:rPr>
        <w:t xml:space="preserve">)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. </w:t>
      </w:r>
      <w:r>
        <w:rPr>
          <w:rFonts w:hAnsi="Cambria Math"/>
        </w:rPr>
        <w:t>Проведённый</w:t>
      </w:r>
      <w:r>
        <w:rPr>
          <w:rFonts w:hAnsi="Cambria Math"/>
        </w:rPr>
        <w:t xml:space="preserve"> </w:t>
      </w:r>
      <w:r>
        <w:rPr>
          <w:rFonts w:hAnsi="Cambria Math"/>
        </w:rPr>
        <w:t>анализ</w:t>
      </w:r>
      <w:r>
        <w:rPr>
          <w:rFonts w:hAnsi="Cambria Math"/>
        </w:rPr>
        <w:t xml:space="preserve"> </w:t>
      </w:r>
      <w:r>
        <w:rPr>
          <w:rFonts w:hAnsi="Cambria Math"/>
        </w:rPr>
        <w:t>показал</w:t>
      </w:r>
      <w:r>
        <w:rPr>
          <w:rFonts w:hAnsi="Cambria Math"/>
        </w:rPr>
        <w:t xml:space="preserve">, </w:t>
      </w:r>
      <w:r>
        <w:rPr>
          <w:rFonts w:hAnsi="Cambria Math"/>
        </w:rPr>
        <w:t>что</w:t>
      </w:r>
      <w:r>
        <w:rPr>
          <w:rFonts w:hAnsi="Cambria Math"/>
        </w:rPr>
        <w:t xml:space="preserve"> </w:t>
      </w:r>
      <w:r>
        <w:rPr>
          <w:rFonts w:hAnsi="Cambria Math"/>
        </w:rPr>
        <w:t>инвестиции</w:t>
      </w:r>
      <w:r>
        <w:rPr>
          <w:rFonts w:hAnsi="Cambria Math"/>
        </w:rPr>
        <w:t xml:space="preserve"> </w:t>
      </w:r>
      <w:r>
        <w:rPr>
          <w:rFonts w:hAnsi="Cambria Math"/>
        </w:rPr>
        <w:t>оказываю</w:t>
      </w:r>
      <w:r>
        <w:rPr>
          <w:rFonts w:hAnsi="Cambria Math"/>
        </w:rPr>
        <w:t xml:space="preserve"> </w:t>
      </w:r>
      <w:r>
        <w:rPr>
          <w:rFonts w:hAnsi="Cambria Math"/>
        </w:rPr>
        <w:t>сложное</w:t>
      </w:r>
      <w:r>
        <w:rPr>
          <w:rFonts w:hAnsi="Cambria Math"/>
        </w:rPr>
        <w:t xml:space="preserve"> </w:t>
      </w:r>
      <w:r>
        <w:rPr>
          <w:rFonts w:hAnsi="Cambria Math"/>
        </w:rPr>
        <w:t>влияние</w:t>
      </w:r>
      <w:r>
        <w:rPr>
          <w:rFonts w:hAnsi="Cambria Math"/>
        </w:rPr>
        <w:t xml:space="preserve"> </w:t>
      </w:r>
      <w:r>
        <w:rPr>
          <w:rFonts w:hAnsi="Cambria Math"/>
        </w:rPr>
        <w:t>на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выбросы</w:t>
      </w:r>
      <w:r>
        <w:rPr>
          <w:rFonts w:hAnsi="Cambria Math"/>
        </w:rPr>
        <w:t xml:space="preserve">: </w:t>
      </w:r>
      <w:r>
        <w:rPr>
          <w:rFonts w:hAnsi="Cambria Math"/>
        </w:rPr>
        <w:t>сначала</w:t>
      </w:r>
      <w:r>
        <w:rPr>
          <w:rFonts w:hAnsi="Cambria Math"/>
        </w:rPr>
        <w:t xml:space="preserve"> </w:t>
      </w:r>
      <w:r>
        <w:rPr>
          <w:rFonts w:hAnsi="Cambria Math"/>
        </w:rPr>
        <w:t>увеличивают</w:t>
      </w:r>
      <w:r>
        <w:rPr>
          <w:rFonts w:hAnsi="Cambria Math"/>
        </w:rPr>
        <w:t xml:space="preserve"> </w:t>
      </w:r>
      <w:r>
        <w:rPr>
          <w:rFonts w:hAnsi="Cambria Math"/>
        </w:rPr>
        <w:t>их</w:t>
      </w:r>
      <w:r>
        <w:rPr>
          <w:rFonts w:hAnsi="Cambria Math"/>
        </w:rPr>
        <w:t xml:space="preserve"> </w:t>
      </w:r>
      <w:r>
        <w:rPr>
          <w:rFonts w:hAnsi="Cambria Math"/>
        </w:rPr>
        <w:t>из</w:t>
      </w:r>
      <w:r>
        <w:rPr>
          <w:rFonts w:hAnsi="Cambria Math"/>
        </w:rPr>
        <w:t>-</w:t>
      </w:r>
      <w:r>
        <w:rPr>
          <w:rFonts w:hAnsi="Cambria Math"/>
        </w:rPr>
        <w:t>за</w:t>
      </w:r>
      <w:r>
        <w:rPr>
          <w:rFonts w:hAnsi="Cambria Math"/>
        </w:rPr>
        <w:t xml:space="preserve"> </w:t>
      </w:r>
      <w:r>
        <w:rPr>
          <w:rFonts w:hAnsi="Cambria Math"/>
        </w:rPr>
        <w:t>инфраструктурных</w:t>
      </w:r>
      <w:r>
        <w:rPr>
          <w:rFonts w:hAnsi="Cambria Math"/>
        </w:rPr>
        <w:t xml:space="preserve"> </w:t>
      </w:r>
      <w:r>
        <w:rPr>
          <w:rFonts w:hAnsi="Cambria Math"/>
        </w:rPr>
        <w:t>затрат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низкой</w:t>
      </w:r>
      <w:r>
        <w:rPr>
          <w:rFonts w:hAnsi="Cambria Math"/>
        </w:rPr>
        <w:t xml:space="preserve"> </w:t>
      </w:r>
      <w:r>
        <w:rPr>
          <w:rFonts w:hAnsi="Cambria Math"/>
        </w:rPr>
        <w:t>эффективности</w:t>
      </w:r>
      <w:r>
        <w:rPr>
          <w:rFonts w:hAnsi="Cambria Math"/>
        </w:rPr>
        <w:t xml:space="preserve">, </w:t>
      </w:r>
      <w:r>
        <w:rPr>
          <w:rFonts w:hAnsi="Cambria Math"/>
        </w:rPr>
        <w:t>потом</w:t>
      </w:r>
      <w:r>
        <w:rPr>
          <w:rFonts w:hAnsi="Cambria Math"/>
        </w:rPr>
        <w:t xml:space="preserve"> </w:t>
      </w:r>
      <w:r>
        <w:rPr>
          <w:rFonts w:hAnsi="Cambria Math"/>
        </w:rPr>
        <w:t>уменьшают</w:t>
      </w:r>
      <w:r>
        <w:rPr>
          <w:rFonts w:hAnsi="Cambria Math"/>
        </w:rPr>
        <w:t xml:space="preserve"> </w:t>
      </w:r>
      <w:r>
        <w:rPr>
          <w:rFonts w:hAnsi="Cambria Math"/>
        </w:rPr>
        <w:t>благодаря</w:t>
      </w:r>
      <w:r>
        <w:rPr>
          <w:rFonts w:hAnsi="Cambria Math"/>
        </w:rPr>
        <w:t xml:space="preserve"> </w:t>
      </w:r>
      <w:r>
        <w:rPr>
          <w:rFonts w:hAnsi="Cambria Math"/>
        </w:rPr>
        <w:t>замещению</w:t>
      </w:r>
      <w:r>
        <w:rPr>
          <w:rFonts w:hAnsi="Cambria Math"/>
        </w:rPr>
        <w:t xml:space="preserve"> </w:t>
      </w:r>
      <w:r>
        <w:rPr>
          <w:rFonts w:hAnsi="Cambria Math"/>
        </w:rPr>
        <w:t>ископаемого</w:t>
      </w:r>
      <w:r>
        <w:rPr>
          <w:rFonts w:hAnsi="Cambria Math"/>
        </w:rPr>
        <w:t xml:space="preserve"> </w:t>
      </w:r>
      <w:r>
        <w:rPr>
          <w:rFonts w:hAnsi="Cambria Math"/>
        </w:rPr>
        <w:t>топлива</w:t>
      </w:r>
      <w:r>
        <w:rPr>
          <w:rFonts w:hAnsi="Cambria Math"/>
        </w:rPr>
        <w:t xml:space="preserve">, </w:t>
      </w:r>
      <w:r>
        <w:rPr>
          <w:rFonts w:hAnsi="Cambria Math"/>
        </w:rPr>
        <w:t>однако</w:t>
      </w:r>
      <w:r>
        <w:rPr>
          <w:rFonts w:hAnsi="Cambria Math"/>
        </w:rPr>
        <w:t xml:space="preserve"> </w:t>
      </w:r>
      <w:r>
        <w:rPr>
          <w:rFonts w:hAnsi="Cambria Math"/>
        </w:rPr>
        <w:t>снова</w:t>
      </w:r>
      <w:r>
        <w:rPr>
          <w:rFonts w:hAnsi="Cambria Math"/>
        </w:rPr>
        <w:t xml:space="preserve"> </w:t>
      </w:r>
      <w:r>
        <w:rPr>
          <w:rFonts w:hAnsi="Cambria Math"/>
        </w:rPr>
        <w:t>начинают</w:t>
      </w:r>
      <w:r>
        <w:rPr>
          <w:rFonts w:hAnsi="Cambria Math"/>
        </w:rPr>
        <w:t xml:space="preserve"> </w:t>
      </w:r>
      <w:r>
        <w:rPr>
          <w:rFonts w:hAnsi="Cambria Math"/>
        </w:rPr>
        <w:t>увеличивать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выбросы</w:t>
      </w:r>
      <w:r>
        <w:rPr>
          <w:rFonts w:hAnsi="Cambria Math"/>
        </w:rPr>
        <w:t xml:space="preserve"> </w:t>
      </w:r>
      <w:r>
        <w:rPr>
          <w:rFonts w:hAnsi="Cambria Math"/>
        </w:rPr>
        <w:t>при</w:t>
      </w:r>
      <w:r>
        <w:rPr>
          <w:rFonts w:hAnsi="Cambria Math"/>
        </w:rPr>
        <w:t xml:space="preserve"> </w:t>
      </w:r>
      <w:r>
        <w:rPr>
          <w:rFonts w:hAnsi="Cambria Math"/>
        </w:rPr>
        <w:t>дальнейшем</w:t>
      </w:r>
      <w:r>
        <w:rPr>
          <w:rFonts w:hAnsi="Cambria Math"/>
        </w:rPr>
        <w:t xml:space="preserve"> </w:t>
      </w:r>
      <w:r>
        <w:rPr>
          <w:rFonts w:hAnsi="Cambria Math"/>
        </w:rPr>
        <w:t>росте</w:t>
      </w:r>
      <w:r>
        <w:rPr>
          <w:rFonts w:hAnsi="Cambria Math"/>
        </w:rPr>
        <w:t xml:space="preserve"> </w:t>
      </w:r>
      <w:r>
        <w:rPr>
          <w:rFonts w:hAnsi="Cambria Math"/>
        </w:rPr>
        <w:t>из</w:t>
      </w:r>
      <w:r>
        <w:rPr>
          <w:rFonts w:hAnsi="Cambria Math"/>
        </w:rPr>
        <w:t>-</w:t>
      </w:r>
      <w:r>
        <w:rPr>
          <w:rFonts w:hAnsi="Cambria Math"/>
        </w:rPr>
        <w:t>за</w:t>
      </w:r>
      <w:r>
        <w:rPr>
          <w:rFonts w:hAnsi="Cambria Math"/>
        </w:rPr>
        <w:t xml:space="preserve"> </w:t>
      </w:r>
      <w:r>
        <w:rPr>
          <w:rFonts w:hAnsi="Cambria Math"/>
        </w:rPr>
        <w:t>экологических</w:t>
      </w:r>
      <w:r>
        <w:rPr>
          <w:rFonts w:hAnsi="Cambria Math"/>
        </w:rPr>
        <w:t xml:space="preserve"> </w:t>
      </w:r>
      <w:r>
        <w:rPr>
          <w:rFonts w:hAnsi="Cambria Math"/>
        </w:rPr>
        <w:t>проблем</w:t>
      </w:r>
      <w:r>
        <w:rPr>
          <w:rFonts w:hAnsi="Cambria Math"/>
        </w:rPr>
        <w:t xml:space="preserve"> </w:t>
      </w:r>
      <w:r>
        <w:rPr>
          <w:rFonts w:hAnsi="Cambria Math"/>
        </w:rPr>
        <w:t>инфраструктуры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компенсации</w:t>
      </w:r>
      <w:r>
        <w:rPr>
          <w:rFonts w:hAnsi="Cambria Math"/>
        </w:rPr>
        <w:t xml:space="preserve"> </w:t>
      </w:r>
      <w:r>
        <w:rPr>
          <w:rFonts w:hAnsi="Cambria Math"/>
        </w:rPr>
        <w:t>углём</w:t>
      </w:r>
      <w:r>
        <w:rPr>
          <w:rFonts w:hAnsi="Cambria Math"/>
        </w:rPr>
        <w:t xml:space="preserve">. </w:t>
      </w:r>
      <w:r>
        <w:rPr>
          <w:rFonts w:hAnsi="Cambria Math"/>
        </w:rPr>
        <w:t>Также</w:t>
      </w:r>
      <w:r>
        <w:rPr>
          <w:rFonts w:hAnsi="Cambria Math"/>
        </w:rPr>
        <w:t xml:space="preserve"> </w:t>
      </w:r>
      <w:r>
        <w:rPr>
          <w:rFonts w:hAnsi="Cambria Math"/>
        </w:rPr>
        <w:t>были</w:t>
      </w:r>
      <w:r>
        <w:rPr>
          <w:rFonts w:hAnsi="Cambria Math"/>
        </w:rPr>
        <w:t xml:space="preserve"> </w:t>
      </w:r>
      <w:r>
        <w:rPr>
          <w:rFonts w:hAnsi="Cambria Math"/>
        </w:rPr>
        <w:t>обнаружены</w:t>
      </w:r>
      <w:r>
        <w:rPr>
          <w:rFonts w:hAnsi="Cambria Math"/>
        </w:rPr>
        <w:t xml:space="preserve"> </w:t>
      </w:r>
      <w:r>
        <w:rPr>
          <w:rFonts w:hAnsi="Cambria Math"/>
        </w:rPr>
        <w:t>нелинейные</w:t>
      </w:r>
      <w:r>
        <w:rPr>
          <w:rFonts w:hAnsi="Cambria Math"/>
        </w:rPr>
        <w:t xml:space="preserve"> </w:t>
      </w:r>
      <w:r>
        <w:rPr>
          <w:rFonts w:hAnsi="Cambria Math"/>
        </w:rPr>
        <w:t>зависимости</w:t>
      </w:r>
      <w:r>
        <w:rPr>
          <w:rFonts w:hAnsi="Cambria Math"/>
        </w:rPr>
        <w:t xml:space="preserve"> </w:t>
      </w:r>
      <w:r>
        <w:rPr>
          <w:rFonts w:hAnsi="Cambria Math"/>
        </w:rPr>
        <w:t>для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экономического</w:t>
      </w:r>
      <w:r>
        <w:rPr>
          <w:rFonts w:hAnsi="Cambria Math"/>
        </w:rPr>
        <w:t xml:space="preserve"> </w:t>
      </w:r>
      <w:r>
        <w:rPr>
          <w:rFonts w:hAnsi="Cambria Math"/>
        </w:rPr>
        <w:t>роста</w:t>
      </w:r>
      <w:r>
        <w:rPr>
          <w:rFonts w:hAnsi="Cambria Math"/>
        </w:rPr>
        <w:t xml:space="preserve"> (</w:t>
      </w:r>
      <w:r>
        <w:rPr>
          <w:rFonts w:hAnsi="Cambria Math"/>
        </w:rPr>
        <w:t>монотонный</w:t>
      </w:r>
      <w:r>
        <w:rPr>
          <w:rFonts w:hAnsi="Cambria Math"/>
        </w:rPr>
        <w:t xml:space="preserve"> </w:t>
      </w:r>
      <w:r>
        <w:rPr>
          <w:rFonts w:hAnsi="Cambria Math"/>
        </w:rPr>
        <w:t>рост</w:t>
      </w:r>
      <w:r>
        <w:rPr>
          <w:rFonts w:hAnsi="Cambria Math"/>
        </w:rPr>
        <w:t xml:space="preserve"> </w:t>
      </w:r>
      <w:r>
        <w:rPr>
          <w:rFonts w:hAnsi="Cambria Math"/>
        </w:rPr>
        <w:t>выбросов</w:t>
      </w:r>
      <w:r>
        <w:rPr>
          <w:rFonts w:hAnsi="Cambria Math"/>
        </w:rPr>
        <w:t xml:space="preserve">)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урбанизации</w:t>
      </w:r>
      <w:r>
        <w:rPr>
          <w:rFonts w:hAnsi="Cambria Math"/>
        </w:rPr>
        <w:t xml:space="preserve"> (</w:t>
      </w:r>
      <w:r>
        <w:rPr>
          <w:rFonts w:hAnsi="Cambria Math"/>
        </w:rPr>
        <w:t>обратная</w:t>
      </w:r>
      <w:r>
        <w:rPr>
          <w:rFonts w:hAnsi="Cambria Math"/>
        </w:rPr>
        <w:t xml:space="preserve"> </w:t>
      </w:r>
      <w:r>
        <w:rPr>
          <w:rFonts w:hAnsi="Cambria Math"/>
          <w:lang w:val="en-US"/>
        </w:rPr>
        <w:t>U</w:t>
      </w:r>
      <w:r w:rsidRPr="00D45940">
        <w:rPr>
          <w:rFonts w:hAnsi="Cambria Math"/>
        </w:rPr>
        <w:t>-</w:t>
      </w:r>
      <w:r>
        <w:rPr>
          <w:rFonts w:hAnsi="Cambria Math"/>
        </w:rPr>
        <w:t>кривая</w:t>
      </w:r>
      <w:r>
        <w:rPr>
          <w:rFonts w:hAnsi="Cambria Math"/>
        </w:rPr>
        <w:t xml:space="preserve">). </w:t>
      </w:r>
      <w:r w:rsidR="00D45940">
        <w:rPr>
          <w:rFonts w:hAnsi="Cambria Math"/>
        </w:rPr>
        <w:t>В</w:t>
      </w:r>
      <w:r w:rsidR="00D45940">
        <w:rPr>
          <w:rFonts w:hAnsi="Cambria Math"/>
        </w:rPr>
        <w:t xml:space="preserve"> </w:t>
      </w:r>
      <w:r w:rsidR="00D45940">
        <w:rPr>
          <w:rFonts w:hAnsi="Cambria Math"/>
        </w:rPr>
        <w:t>заключение</w:t>
      </w:r>
      <w:r>
        <w:rPr>
          <w:rFonts w:hAnsi="Cambria Math"/>
        </w:rPr>
        <w:t xml:space="preserve"> </w:t>
      </w:r>
      <w:r>
        <w:rPr>
          <w:rFonts w:hAnsi="Cambria Math"/>
        </w:rPr>
        <w:t>авторы</w:t>
      </w:r>
      <w:r>
        <w:rPr>
          <w:rFonts w:hAnsi="Cambria Math"/>
        </w:rPr>
        <w:t xml:space="preserve"> </w:t>
      </w:r>
      <w:r>
        <w:rPr>
          <w:rFonts w:hAnsi="Cambria Math"/>
        </w:rPr>
        <w:t>работы</w:t>
      </w:r>
      <w:r>
        <w:rPr>
          <w:rFonts w:hAnsi="Cambria Math"/>
        </w:rPr>
        <w:t xml:space="preserve"> </w:t>
      </w:r>
      <w:r>
        <w:rPr>
          <w:rFonts w:hAnsi="Cambria Math"/>
        </w:rPr>
        <w:t>подчёркивают</w:t>
      </w:r>
      <w:r>
        <w:rPr>
          <w:rFonts w:hAnsi="Cambria Math"/>
        </w:rPr>
        <w:t xml:space="preserve"> </w:t>
      </w:r>
      <w:r>
        <w:rPr>
          <w:rFonts w:hAnsi="Cambria Math"/>
        </w:rPr>
        <w:t>важность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применения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контексте</w:t>
      </w:r>
      <w:r>
        <w:rPr>
          <w:rFonts w:hAnsi="Cambria Math"/>
        </w:rPr>
        <w:t xml:space="preserve"> </w:t>
      </w:r>
      <w:r>
        <w:rPr>
          <w:rFonts w:hAnsi="Cambria Math"/>
        </w:rPr>
        <w:t>исследования</w:t>
      </w:r>
      <w:r>
        <w:rPr>
          <w:rFonts w:hAnsi="Cambria Math"/>
        </w:rPr>
        <w:t xml:space="preserve"> </w:t>
      </w:r>
      <w:r>
        <w:rPr>
          <w:rFonts w:hAnsi="Cambria Math"/>
        </w:rPr>
        <w:t>скрытых</w:t>
      </w:r>
      <w:r>
        <w:rPr>
          <w:rFonts w:hAnsi="Cambria Math"/>
        </w:rPr>
        <w:t xml:space="preserve"> </w:t>
      </w:r>
      <w:r>
        <w:rPr>
          <w:rFonts w:hAnsi="Cambria Math"/>
        </w:rPr>
        <w:t>паттернов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экономике</w:t>
      </w:r>
      <w:r>
        <w:rPr>
          <w:rFonts w:hAnsi="Cambria Math"/>
        </w:rPr>
        <w:t xml:space="preserve">, </w:t>
      </w:r>
      <w:r>
        <w:rPr>
          <w:rFonts w:hAnsi="Cambria Math"/>
        </w:rPr>
        <w:t>которые</w:t>
      </w:r>
      <w:r>
        <w:rPr>
          <w:rFonts w:hAnsi="Cambria Math"/>
        </w:rPr>
        <w:t xml:space="preserve"> </w:t>
      </w:r>
      <w:r>
        <w:rPr>
          <w:rFonts w:hAnsi="Cambria Math"/>
        </w:rPr>
        <w:t>сложно</w:t>
      </w:r>
      <w:r>
        <w:rPr>
          <w:rFonts w:hAnsi="Cambria Math"/>
        </w:rPr>
        <w:t xml:space="preserve"> </w:t>
      </w:r>
      <w:r>
        <w:rPr>
          <w:rFonts w:hAnsi="Cambria Math"/>
        </w:rPr>
        <w:t>измерить</w:t>
      </w:r>
      <w:r>
        <w:rPr>
          <w:rFonts w:hAnsi="Cambria Math"/>
        </w:rPr>
        <w:t xml:space="preserve"> </w:t>
      </w:r>
      <w:r>
        <w:rPr>
          <w:rFonts w:hAnsi="Cambria Math"/>
        </w:rPr>
        <w:t>параметрическими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методами</w:t>
      </w:r>
      <w:r>
        <w:rPr>
          <w:rFonts w:hAnsi="Cambria Math"/>
        </w:rPr>
        <w:t xml:space="preserve">, </w:t>
      </w:r>
      <w:r>
        <w:rPr>
          <w:rFonts w:hAnsi="Cambria Math"/>
        </w:rPr>
        <w:t>а</w:t>
      </w:r>
      <w:r>
        <w:rPr>
          <w:rFonts w:hAnsi="Cambria Math"/>
        </w:rPr>
        <w:t xml:space="preserve"> </w:t>
      </w:r>
      <w:r>
        <w:rPr>
          <w:rFonts w:hAnsi="Cambria Math"/>
        </w:rPr>
        <w:t>также</w:t>
      </w:r>
      <w:r>
        <w:rPr>
          <w:rFonts w:hAnsi="Cambria Math"/>
        </w:rPr>
        <w:t xml:space="preserve"> </w:t>
      </w:r>
      <w:r>
        <w:rPr>
          <w:rFonts w:hAnsi="Cambria Math"/>
        </w:rPr>
        <w:t>предлагаю</w:t>
      </w:r>
      <w:r>
        <w:t xml:space="preserve">т практические рекомендации к повышению эффективности </w:t>
      </w:r>
      <w:r w:rsidRPr="00D45940">
        <w:t>“</w:t>
      </w:r>
      <w:r>
        <w:t>зелёных</w:t>
      </w:r>
      <w:r w:rsidRPr="00D45940">
        <w:t>”</w:t>
      </w:r>
      <w:r>
        <w:t xml:space="preserve"> инвестиций в Китае.</w:t>
      </w:r>
    </w:p>
    <w:p w14:paraId="089CC87F" w14:textId="192C0833" w:rsidR="004D6D22" w:rsidRDefault="00000000">
      <w:pPr>
        <w:spacing w:line="360" w:lineRule="auto"/>
        <w:jc w:val="both"/>
      </w:pPr>
      <w:r>
        <w:tab/>
        <w:t xml:space="preserve">Другим примером эффективного применения непараметрической регрессии в экономике может послужить работа </w:t>
      </w:r>
      <w:proofErr w:type="spellStart"/>
      <w:r>
        <w:t>Тингтинг</w:t>
      </w:r>
      <w:proofErr w:type="spellEnd"/>
      <w:r>
        <w:t xml:space="preserve"> Ченга и др.</w:t>
      </w:r>
      <w:r>
        <w:rPr>
          <w:rStyle w:val="a5"/>
        </w:rPr>
        <w:footnoteReference w:id="3"/>
      </w:r>
      <w:r>
        <w:t xml:space="preserve">. В ней авторы прогнозируют доходность акций с помощью непараметрической регрессии и других моделей. Для этого в исследовании была </w:t>
      </w:r>
      <w:r w:rsidR="00D45940">
        <w:t>разработана</w:t>
      </w:r>
      <w:r>
        <w:t xml:space="preserve"> многопериодная модель, которая учитывает локально стационарные предикторы (например, соотношении цены и доходности, дивидендную </w:t>
      </w:r>
      <w:r>
        <w:lastRenderedPageBreak/>
        <w:t>доходность) и оценивает регрессию с помощью ядерных методов сглаживания. По результатам исследования непараметрическая регрессия и её модификации (МА1 и МА2) показали качество лучшее по сравнению с линейными моделями, историческим средним уровнем и методами машинного обучения. Особенно сильно видно превосходство модели в долгосрочной перспективе (</w:t>
      </w:r>
      <w:r w:rsidR="00D45940">
        <w:t>3–12</w:t>
      </w:r>
      <w:r w:rsidR="00D45940" w:rsidRPr="00D45940">
        <w:t xml:space="preserve"> </w:t>
      </w:r>
      <w:r>
        <w:t>месяцев) и во времена кризисов и рыночной нестабильности (например, кризис 2009 года). Авторы указывают на то, что модель улавливает сложные паттерны, включая нелинейные связи между предикторами и доходностью, а также адаптируется к изменяющимся условиям через временную локализацию. Более того, инвестиционная стратегия построенная на модифицированной непараметрической регрессии МА2 показала высокую доходность (до 16% годовых) при низком риске. Таким образом, исследователи делают вывод, что непараметрическая регрессия является мощным и актуальным инструментом для инвестиционных стратегий и анализа рынка акций за счёт гибкости и устойчивости к структурным сдвигам в данных, так как финансовая область весьма волатильна.</w:t>
      </w:r>
    </w:p>
    <w:p w14:paraId="01C46018" w14:textId="77777777" w:rsidR="004D6D22" w:rsidRDefault="00000000" w:rsidP="00D45940">
      <w:pPr>
        <w:spacing w:line="360" w:lineRule="auto"/>
        <w:jc w:val="both"/>
      </w:pPr>
      <w:r>
        <w:tab/>
        <w:t>Основным выводом из данных работ является факт того, что непараметрическая регрессия на сегодняшний день является важным и мощным инструментом во многих прикладных задачах, требующих гибкости и адаптивности модели.</w:t>
      </w:r>
    </w:p>
    <w:p w14:paraId="65A735C9" w14:textId="77777777" w:rsidR="004D6D22" w:rsidRDefault="00000000" w:rsidP="00D45940">
      <w:pPr>
        <w:pStyle w:val="3"/>
        <w:spacing w:line="360" w:lineRule="auto"/>
      </w:pPr>
      <w:r>
        <w:t>1.2. Современные направления исследования непараметрической регрессии</w:t>
      </w:r>
    </w:p>
    <w:p w14:paraId="4677E258" w14:textId="5C11A0EF" w:rsidR="00424988" w:rsidRPr="00424988" w:rsidRDefault="00000000" w:rsidP="00424988">
      <w:pPr>
        <w:spacing w:line="360" w:lineRule="auto"/>
        <w:ind w:firstLine="708"/>
        <w:jc w:val="both"/>
        <w:rPr>
          <w:lang w:val="en-US"/>
        </w:rPr>
      </w:pPr>
      <w:r>
        <w:tab/>
      </w:r>
      <w:r w:rsidR="00424988">
        <w:t>Большинство современных методов построения непараметрической регрессии связаны с машинным обучением, поэтому множество исследований прямо или косвенно посвящены именно этой теме. Однако машинное обучение и нейросети применяются в работах по-разному.</w:t>
      </w:r>
    </w:p>
    <w:p w14:paraId="5AC73B49" w14:textId="7B45F93F" w:rsidR="004D6D22" w:rsidRDefault="00000000" w:rsidP="00424988">
      <w:pPr>
        <w:spacing w:line="360" w:lineRule="auto"/>
        <w:ind w:firstLine="708"/>
        <w:jc w:val="both"/>
        <w:rPr>
          <w:rFonts w:hAnsi="Cambria Math"/>
          <w:lang w:val="en-US"/>
        </w:rPr>
      </w:pPr>
      <w:r>
        <w:t xml:space="preserve">Одним из ключевых направлений исследования являются проблемы построения непараметрической регрессии в </w:t>
      </w:r>
      <w:proofErr w:type="spellStart"/>
      <w:r w:rsidR="00D45940">
        <w:t>высокоразмерных</w:t>
      </w:r>
      <w:proofErr w:type="spellEnd"/>
      <w:r>
        <w:t xml:space="preserve"> пространствах. Здесь можно выделить работу Елены </w:t>
      </w:r>
      <w:proofErr w:type="spellStart"/>
      <w:r>
        <w:t>Брадик</w:t>
      </w:r>
      <w:proofErr w:type="spellEnd"/>
      <w:r>
        <w:t xml:space="preserve"> и др.</w:t>
      </w:r>
      <w:r>
        <w:rPr>
          <w:rStyle w:val="a5"/>
        </w:rPr>
        <w:footnoteReference w:id="4"/>
      </w:r>
      <w:r>
        <w:t xml:space="preserve">, в которой авторы изучают современные методы в описанных выше условиях, фокусируясь на корневой </w:t>
      </w:r>
      <w:r>
        <w:rPr>
          <w:lang w:val="en-US"/>
        </w:rPr>
        <w:t>n</w:t>
      </w:r>
      <w:r w:rsidRPr="00D45940">
        <w:t>-</w:t>
      </w:r>
      <w:r w:rsidR="00D45940">
        <w:t>согласованности</w:t>
      </w:r>
      <w:r>
        <w:t xml:space="preserve"> оценок линейных функционалов (например, регрессионного наклона или среднего эффекта). В статье авторы модифицируют подходы, использующие двойное </w:t>
      </w:r>
      <w:r w:rsidRPr="00D45940">
        <w:t>(</w:t>
      </w:r>
      <w:r>
        <w:rPr>
          <w:lang w:val="en-US"/>
        </w:rPr>
        <w:t>debiased</w:t>
      </w:r>
      <w:r w:rsidRPr="00D45940">
        <w:t xml:space="preserve">) </w:t>
      </w:r>
      <w:r>
        <w:t xml:space="preserve">машинное обучение и разреженные аппроксимации. Таким образом, предложенный подход позволил им оценить параметры при отсутствии знаний о структуре данных. В качестве результатов исследования авторы выделяют установление условий разреженности и гладкости </w:t>
      </w:r>
      <m:oMath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, </w:t>
      </w:r>
      <w:r>
        <w:rPr>
          <w:rFonts w:hAnsi="Cambria Math"/>
        </w:rPr>
        <w:lastRenderedPageBreak/>
        <w:t>при</w:t>
      </w:r>
      <w:r>
        <w:rPr>
          <w:rFonts w:hAnsi="Cambria Math"/>
        </w:rPr>
        <w:t xml:space="preserve"> </w:t>
      </w:r>
      <w:r>
        <w:rPr>
          <w:rFonts w:hAnsi="Cambria Math"/>
        </w:rPr>
        <w:t>которых</w:t>
      </w:r>
      <w:r>
        <w:rPr>
          <w:rFonts w:hAnsi="Cambria Math"/>
        </w:rPr>
        <w:t xml:space="preserve"> </w:t>
      </w:r>
      <w:r>
        <w:rPr>
          <w:rFonts w:hAnsi="Cambria Math"/>
        </w:rPr>
        <w:t>достижима</w:t>
      </w:r>
      <w:r>
        <w:rPr>
          <w:rFonts w:hAnsi="Cambria Math"/>
        </w:rPr>
        <w:t xml:space="preserve"> </w:t>
      </w:r>
      <w:r>
        <w:rPr>
          <w:rFonts w:hAnsi="Cambria Math"/>
        </w:rPr>
        <w:t>скорость</w:t>
      </w:r>
      <w:r>
        <w:rPr>
          <w:rFonts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Ansi="Cambria Math"/>
        </w:rPr>
        <w:t xml:space="preserve">,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построение</w:t>
      </w:r>
      <w:r>
        <w:rPr>
          <w:rFonts w:hAnsi="Cambria Math"/>
        </w:rPr>
        <w:t xml:space="preserve"> </w:t>
      </w:r>
      <w:r>
        <w:rPr>
          <w:rFonts w:hAnsi="Cambria Math"/>
        </w:rPr>
        <w:t>устойчивых</w:t>
      </w:r>
      <w:r>
        <w:rPr>
          <w:rFonts w:hAnsi="Cambria Math"/>
        </w:rPr>
        <w:t xml:space="preserve"> </w:t>
      </w:r>
      <w:r>
        <w:rPr>
          <w:rFonts w:hAnsi="Cambria Math"/>
        </w:rPr>
        <w:t>к</w:t>
      </w:r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гетероскедастичности</w:t>
      </w:r>
      <w:proofErr w:type="spellEnd"/>
      <w:r>
        <w:rPr>
          <w:rFonts w:hAnsi="Cambria Math"/>
        </w:rPr>
        <w:t xml:space="preserve"> </w:t>
      </w:r>
      <w:r>
        <w:rPr>
          <w:rFonts w:hAnsi="Cambria Math"/>
        </w:rPr>
        <w:t>оценок</w:t>
      </w:r>
      <w:r>
        <w:rPr>
          <w:rFonts w:hAnsi="Cambria Math"/>
        </w:rPr>
        <w:t xml:space="preserve"> </w:t>
      </w:r>
      <w:r>
        <w:rPr>
          <w:rFonts w:hAnsi="Cambria Math"/>
        </w:rPr>
        <w:t>через</w:t>
      </w:r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регуляризованные</w:t>
      </w:r>
      <w:proofErr w:type="spellEnd"/>
      <w:r>
        <w:rPr>
          <w:rFonts w:hAnsi="Cambria Math"/>
        </w:rPr>
        <w:t xml:space="preserve"> </w:t>
      </w:r>
      <w:r>
        <w:rPr>
          <w:rFonts w:hAnsi="Cambria Math"/>
        </w:rPr>
        <w:t>представители</w:t>
      </w:r>
      <w:r>
        <w:rPr>
          <w:rFonts w:hAnsi="Cambria Math"/>
        </w:rPr>
        <w:t xml:space="preserve"> </w:t>
      </w:r>
      <w:r>
        <w:rPr>
          <w:rFonts w:hAnsi="Cambria Math"/>
        </w:rPr>
        <w:t>Рисса</w:t>
      </w:r>
      <w:r>
        <w:rPr>
          <w:rFonts w:hAnsi="Cambria Math"/>
        </w:rPr>
        <w:t>.</w:t>
      </w:r>
      <w:r w:rsidRPr="00D45940">
        <w:rPr>
          <w:rFonts w:hAnsi="Cambria Math"/>
        </w:rPr>
        <w:t xml:space="preserve"> </w:t>
      </w:r>
      <w:r w:rsidR="00D45940">
        <w:rPr>
          <w:rFonts w:hAnsi="Cambria Math"/>
        </w:rPr>
        <w:t>В</w:t>
      </w:r>
      <w:r w:rsidR="00D45940">
        <w:rPr>
          <w:rFonts w:hAnsi="Cambria Math"/>
        </w:rPr>
        <w:t xml:space="preserve"> </w:t>
      </w:r>
      <w:r w:rsidR="00D45940">
        <w:rPr>
          <w:rFonts w:hAnsi="Cambria Math"/>
        </w:rPr>
        <w:t>завершение</w:t>
      </w:r>
      <w:r>
        <w:rPr>
          <w:rFonts w:hAnsi="Cambria Math"/>
        </w:rPr>
        <w:t xml:space="preserve"> </w:t>
      </w:r>
      <w:r>
        <w:rPr>
          <w:rFonts w:hAnsi="Cambria Math"/>
        </w:rPr>
        <w:t>авторы</w:t>
      </w:r>
      <w:r>
        <w:rPr>
          <w:rFonts w:hAnsi="Cambria Math"/>
        </w:rPr>
        <w:t xml:space="preserve"> </w:t>
      </w:r>
      <w:r>
        <w:rPr>
          <w:rFonts w:hAnsi="Cambria Math"/>
        </w:rPr>
        <w:t>подчёркивают</w:t>
      </w:r>
      <w:r>
        <w:rPr>
          <w:rFonts w:hAnsi="Cambria Math"/>
        </w:rPr>
        <w:t xml:space="preserve"> </w:t>
      </w:r>
      <w:r>
        <w:rPr>
          <w:rFonts w:hAnsi="Cambria Math"/>
        </w:rPr>
        <w:t>преимущество</w:t>
      </w:r>
      <w:r>
        <w:rPr>
          <w:rFonts w:hAnsi="Cambria Math"/>
        </w:rPr>
        <w:t xml:space="preserve"> </w:t>
      </w:r>
      <w:r>
        <w:rPr>
          <w:rFonts w:hAnsi="Cambria Math"/>
        </w:rPr>
        <w:t>подобного</w:t>
      </w:r>
      <w:r>
        <w:rPr>
          <w:rFonts w:hAnsi="Cambria Math"/>
        </w:rPr>
        <w:t xml:space="preserve"> </w:t>
      </w:r>
      <w:r>
        <w:rPr>
          <w:rFonts w:hAnsi="Cambria Math"/>
        </w:rPr>
        <w:t>подхода</w:t>
      </w:r>
      <w:r>
        <w:rPr>
          <w:rFonts w:hAnsi="Cambria Math"/>
        </w:rPr>
        <w:t xml:space="preserve"> </w:t>
      </w:r>
      <w:r>
        <w:rPr>
          <w:rFonts w:hAnsi="Cambria Math"/>
        </w:rPr>
        <w:t>по</w:t>
      </w:r>
      <w:r>
        <w:rPr>
          <w:rFonts w:hAnsi="Cambria Math"/>
        </w:rPr>
        <w:t xml:space="preserve"> </w:t>
      </w:r>
      <w:r>
        <w:rPr>
          <w:rFonts w:hAnsi="Cambria Math"/>
        </w:rPr>
        <w:t>сравнению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 w:rsidR="00D45940">
        <w:rPr>
          <w:rFonts w:hAnsi="Cambria Math"/>
        </w:rPr>
        <w:t>такими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методами</w:t>
      </w:r>
      <w:r>
        <w:rPr>
          <w:rFonts w:hAnsi="Cambria Math"/>
        </w:rPr>
        <w:t xml:space="preserve">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debiased</w:t>
      </w:r>
      <w:proofErr w:type="spellEnd"/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Lasso</w:t>
      </w:r>
      <w:proofErr w:type="spellEnd"/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series</w:t>
      </w:r>
      <w:proofErr w:type="spellEnd"/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estimation</w:t>
      </w:r>
      <w:proofErr w:type="spellEnd"/>
      <w:r>
        <w:rPr>
          <w:rFonts w:hAnsi="Cambria Math"/>
        </w:rPr>
        <w:t xml:space="preserve">, </w:t>
      </w:r>
      <w:r>
        <w:rPr>
          <w:rFonts w:hAnsi="Cambria Math"/>
        </w:rPr>
        <w:t>а</w:t>
      </w:r>
      <w:r>
        <w:rPr>
          <w:rFonts w:hAnsi="Cambria Math"/>
        </w:rPr>
        <w:t xml:space="preserve"> </w:t>
      </w:r>
      <w:r>
        <w:rPr>
          <w:rFonts w:hAnsi="Cambria Math"/>
        </w:rPr>
        <w:t>именно</w:t>
      </w:r>
      <w:r>
        <w:rPr>
          <w:rFonts w:hAnsi="Cambria Math"/>
        </w:rPr>
        <w:t xml:space="preserve"> </w:t>
      </w:r>
      <w:r>
        <w:rPr>
          <w:rFonts w:hAnsi="Cambria Math"/>
        </w:rPr>
        <w:t>высокая</w:t>
      </w:r>
      <w:r>
        <w:rPr>
          <w:rFonts w:hAnsi="Cambria Math"/>
        </w:rPr>
        <w:t xml:space="preserve"> </w:t>
      </w:r>
      <w:r>
        <w:rPr>
          <w:rFonts w:hAnsi="Cambria Math"/>
        </w:rPr>
        <w:t>эффективность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условиях</w:t>
      </w:r>
      <w:r>
        <w:rPr>
          <w:rFonts w:hAnsi="Cambria Math"/>
        </w:rPr>
        <w:t xml:space="preserve"> </w:t>
      </w:r>
      <w:r>
        <w:rPr>
          <w:rFonts w:hAnsi="Cambria Math"/>
        </w:rPr>
        <w:t>слабых</w:t>
      </w:r>
      <w:r>
        <w:rPr>
          <w:rFonts w:hAnsi="Cambria Math"/>
        </w:rPr>
        <w:t xml:space="preserve"> </w:t>
      </w:r>
      <w:r>
        <w:rPr>
          <w:rFonts w:hAnsi="Cambria Math"/>
        </w:rPr>
        <w:t>предположениях</w:t>
      </w:r>
      <w:r>
        <w:rPr>
          <w:rFonts w:hAnsi="Cambria Math"/>
        </w:rPr>
        <w:t xml:space="preserve"> </w:t>
      </w:r>
      <w:r>
        <w:rPr>
          <w:rFonts w:hAnsi="Cambria Math"/>
        </w:rPr>
        <w:t>о</w:t>
      </w:r>
      <w:r>
        <w:rPr>
          <w:rFonts w:hAnsi="Cambria Math"/>
        </w:rPr>
        <w:t xml:space="preserve"> </w:t>
      </w:r>
      <w:r>
        <w:rPr>
          <w:rFonts w:hAnsi="Cambria Math"/>
        </w:rPr>
        <w:t>данных</w:t>
      </w:r>
      <w:r>
        <w:rPr>
          <w:rFonts w:hAnsi="Cambria Math"/>
        </w:rPr>
        <w:t xml:space="preserve">. </w:t>
      </w:r>
      <w:r>
        <w:rPr>
          <w:rFonts w:hAnsi="Cambria Math"/>
        </w:rPr>
        <w:t>Таким</w:t>
      </w:r>
      <w:r>
        <w:rPr>
          <w:rFonts w:hAnsi="Cambria Math"/>
        </w:rPr>
        <w:t xml:space="preserve"> </w:t>
      </w:r>
      <w:r>
        <w:rPr>
          <w:rFonts w:hAnsi="Cambria Math"/>
        </w:rPr>
        <w:t>образом</w:t>
      </w:r>
      <w:r>
        <w:rPr>
          <w:rFonts w:hAnsi="Cambria Math"/>
        </w:rPr>
        <w:t xml:space="preserve">, </w:t>
      </w:r>
      <w:r>
        <w:rPr>
          <w:rFonts w:hAnsi="Cambria Math"/>
        </w:rPr>
        <w:t>данная</w:t>
      </w:r>
      <w:r>
        <w:rPr>
          <w:rFonts w:hAnsi="Cambria Math"/>
        </w:rPr>
        <w:t xml:space="preserve"> </w:t>
      </w:r>
      <w:r>
        <w:rPr>
          <w:rFonts w:hAnsi="Cambria Math"/>
        </w:rPr>
        <w:t>работа</w:t>
      </w:r>
      <w:r>
        <w:rPr>
          <w:rFonts w:hAnsi="Cambria Math"/>
        </w:rPr>
        <w:t xml:space="preserve"> </w:t>
      </w:r>
      <w:r>
        <w:rPr>
          <w:rFonts w:hAnsi="Cambria Math"/>
        </w:rPr>
        <w:t>обобщает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непараметрические</w:t>
      </w:r>
      <w:r>
        <w:rPr>
          <w:rFonts w:hAnsi="Cambria Math"/>
        </w:rPr>
        <w:t xml:space="preserve"> </w:t>
      </w:r>
      <w:r>
        <w:rPr>
          <w:rFonts w:hAnsi="Cambria Math"/>
        </w:rPr>
        <w:t>идеи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показывает</w:t>
      </w:r>
      <w:r>
        <w:rPr>
          <w:rFonts w:hAnsi="Cambria Math"/>
        </w:rPr>
        <w:t xml:space="preserve">, </w:t>
      </w:r>
      <w:r>
        <w:rPr>
          <w:rFonts w:hAnsi="Cambria Math"/>
        </w:rPr>
        <w:t>как</w:t>
      </w:r>
      <w:r>
        <w:rPr>
          <w:rFonts w:hAnsi="Cambria Math"/>
        </w:rPr>
        <w:t xml:space="preserve"> </w:t>
      </w:r>
      <w:r>
        <w:rPr>
          <w:rFonts w:hAnsi="Cambria Math"/>
        </w:rPr>
        <w:t>с</w:t>
      </w:r>
      <w:r>
        <w:rPr>
          <w:rFonts w:hAnsi="Cambria Math"/>
        </w:rPr>
        <w:t xml:space="preserve"> </w:t>
      </w:r>
      <w:r>
        <w:rPr>
          <w:rFonts w:hAnsi="Cambria Math"/>
        </w:rPr>
        <w:t>помощью</w:t>
      </w:r>
      <w:r>
        <w:rPr>
          <w:rFonts w:hAnsi="Cambria Math"/>
        </w:rPr>
        <w:t xml:space="preserve"> </w:t>
      </w:r>
      <w:r>
        <w:rPr>
          <w:rFonts w:hAnsi="Cambria Math"/>
        </w:rPr>
        <w:t>машинного</w:t>
      </w:r>
      <w:r>
        <w:rPr>
          <w:rFonts w:hAnsi="Cambria Math"/>
        </w:rPr>
        <w:t xml:space="preserve"> </w:t>
      </w:r>
      <w:r>
        <w:rPr>
          <w:rFonts w:hAnsi="Cambria Math"/>
        </w:rPr>
        <w:t>обучения</w:t>
      </w:r>
      <w:r>
        <w:rPr>
          <w:rFonts w:hAnsi="Cambria Math"/>
        </w:rPr>
        <w:t xml:space="preserve"> </w:t>
      </w:r>
      <w:r>
        <w:rPr>
          <w:rFonts w:hAnsi="Cambria Math"/>
        </w:rPr>
        <w:t>можно</w:t>
      </w:r>
      <w:r>
        <w:rPr>
          <w:rFonts w:hAnsi="Cambria Math"/>
        </w:rPr>
        <w:t xml:space="preserve"> </w:t>
      </w:r>
      <w:r>
        <w:rPr>
          <w:rFonts w:hAnsi="Cambria Math"/>
        </w:rPr>
        <w:t>улучшить</w:t>
      </w:r>
      <w:r>
        <w:rPr>
          <w:rFonts w:hAnsi="Cambria Math"/>
        </w:rPr>
        <w:t xml:space="preserve"> </w:t>
      </w:r>
      <w:r>
        <w:rPr>
          <w:rFonts w:hAnsi="Cambria Math"/>
        </w:rPr>
        <w:t>качество</w:t>
      </w:r>
      <w:r>
        <w:rPr>
          <w:rFonts w:hAnsi="Cambria Math"/>
        </w:rPr>
        <w:t xml:space="preserve"> </w:t>
      </w:r>
      <w:r>
        <w:rPr>
          <w:rFonts w:hAnsi="Cambria Math"/>
        </w:rPr>
        <w:t>непараметрической</w:t>
      </w:r>
      <w:r>
        <w:rPr>
          <w:rFonts w:hAnsi="Cambria Math"/>
        </w:rPr>
        <w:t xml:space="preserve"> </w:t>
      </w:r>
      <w:r>
        <w:rPr>
          <w:rFonts w:hAnsi="Cambria Math"/>
        </w:rPr>
        <w:t>регрессии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высокоразмерных</w:t>
      </w:r>
      <w:proofErr w:type="spellEnd"/>
      <w:r>
        <w:rPr>
          <w:rFonts w:hAnsi="Cambria Math"/>
        </w:rPr>
        <w:t xml:space="preserve"> </w:t>
      </w:r>
      <w:r>
        <w:rPr>
          <w:rFonts w:hAnsi="Cambria Math"/>
        </w:rPr>
        <w:t>пространствах</w:t>
      </w:r>
      <w:r>
        <w:rPr>
          <w:rFonts w:hAnsi="Cambria Math"/>
        </w:rPr>
        <w:t xml:space="preserve">, </w:t>
      </w:r>
      <w:r>
        <w:rPr>
          <w:rFonts w:hAnsi="Cambria Math"/>
        </w:rPr>
        <w:t>расширяя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применимость</w:t>
      </w:r>
      <w:r>
        <w:rPr>
          <w:rFonts w:hAnsi="Cambria Math"/>
        </w:rPr>
        <w:t xml:space="preserve"> </w:t>
      </w:r>
      <w:r>
        <w:rPr>
          <w:rFonts w:hAnsi="Cambria Math"/>
        </w:rPr>
        <w:t>метода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экономике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других</w:t>
      </w:r>
      <w:r>
        <w:rPr>
          <w:rFonts w:hAnsi="Cambria Math"/>
        </w:rPr>
        <w:t xml:space="preserve"> </w:t>
      </w:r>
      <w:r>
        <w:rPr>
          <w:rFonts w:hAnsi="Cambria Math"/>
        </w:rPr>
        <w:t>сферах</w:t>
      </w:r>
      <w:r>
        <w:rPr>
          <w:rFonts w:hAnsi="Cambria Math"/>
        </w:rPr>
        <w:t>.</w:t>
      </w:r>
    </w:p>
    <w:p w14:paraId="66311D73" w14:textId="360B2411" w:rsidR="00424988" w:rsidRPr="00FD1296" w:rsidRDefault="00424988" w:rsidP="00424988">
      <w:pPr>
        <w:spacing w:line="360" w:lineRule="auto"/>
        <w:ind w:firstLine="708"/>
        <w:jc w:val="both"/>
      </w:pPr>
      <w:r>
        <w:rPr>
          <w:rFonts w:hAnsi="Cambria Math"/>
        </w:rPr>
        <w:t>Другой</w:t>
      </w:r>
      <w:r>
        <w:rPr>
          <w:rFonts w:hAnsi="Cambria Math"/>
        </w:rPr>
        <w:t xml:space="preserve"> </w:t>
      </w:r>
      <w:r>
        <w:rPr>
          <w:rFonts w:hAnsi="Cambria Math"/>
        </w:rPr>
        <w:t>подход</w:t>
      </w:r>
      <w:r>
        <w:rPr>
          <w:rFonts w:hAnsi="Cambria Math"/>
        </w:rPr>
        <w:t xml:space="preserve"> </w:t>
      </w:r>
      <w:r>
        <w:rPr>
          <w:rFonts w:hAnsi="Cambria Math"/>
        </w:rPr>
        <w:t>применяется</w:t>
      </w:r>
      <w:r>
        <w:rPr>
          <w:rFonts w:hAnsi="Cambria Math"/>
        </w:rPr>
        <w:t xml:space="preserve"> </w:t>
      </w:r>
      <w:r>
        <w:rPr>
          <w:rFonts w:hAnsi="Cambria Math"/>
        </w:rPr>
        <w:t>в</w:t>
      </w:r>
      <w:r>
        <w:rPr>
          <w:rFonts w:hAnsi="Cambria Math"/>
        </w:rPr>
        <w:t xml:space="preserve"> </w:t>
      </w:r>
      <w:r>
        <w:rPr>
          <w:rFonts w:hAnsi="Cambria Math"/>
        </w:rPr>
        <w:t>работе</w:t>
      </w:r>
      <w:r>
        <w:rPr>
          <w:rFonts w:hAnsi="Cambria Math"/>
        </w:rPr>
        <w:t xml:space="preserve"> </w:t>
      </w:r>
      <w:proofErr w:type="spellStart"/>
      <w:r>
        <w:rPr>
          <w:rFonts w:hAnsi="Cambria Math"/>
        </w:rPr>
        <w:t>Юпинг</w:t>
      </w:r>
      <w:proofErr w:type="spellEnd"/>
      <w:r>
        <w:rPr>
          <w:rFonts w:hAnsi="Cambria Math"/>
        </w:rPr>
        <w:t xml:space="preserve"> </w:t>
      </w:r>
      <w:r>
        <w:rPr>
          <w:rFonts w:hAnsi="Cambria Math"/>
        </w:rPr>
        <w:t>Сонга</w:t>
      </w:r>
      <w:r>
        <w:rPr>
          <w:rFonts w:hAnsi="Cambria Math"/>
        </w:rPr>
        <w:t xml:space="preserve"> </w:t>
      </w:r>
      <w:r>
        <w:rPr>
          <w:rFonts w:hAnsi="Cambria Math"/>
        </w:rPr>
        <w:t>и</w:t>
      </w:r>
      <w:r>
        <w:rPr>
          <w:rFonts w:hAnsi="Cambria Math"/>
        </w:rPr>
        <w:t xml:space="preserve"> </w:t>
      </w:r>
      <w:r>
        <w:rPr>
          <w:rFonts w:hAnsi="Cambria Math"/>
        </w:rPr>
        <w:t>др</w:t>
      </w:r>
      <w:r>
        <w:rPr>
          <w:rFonts w:hAnsi="Cambria Math"/>
        </w:rPr>
        <w:t>.</w:t>
      </w:r>
      <w:r>
        <w:rPr>
          <w:rStyle w:val="a5"/>
          <w:rFonts w:hAnsi="Cambria Math"/>
        </w:rPr>
        <w:footnoteReference w:id="5"/>
      </w:r>
      <w:r w:rsidR="00DC6BEA">
        <w:rPr>
          <w:rFonts w:hAnsi="Cambria Math"/>
        </w:rPr>
        <w:t xml:space="preserve">. </w:t>
      </w:r>
      <w:r w:rsidR="00DC6BEA">
        <w:rPr>
          <w:rFonts w:hAnsi="Cambria Math"/>
        </w:rPr>
        <w:t>В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своей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статье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авторы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фокусируются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на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интеграции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современных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методов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глубокого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машинного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обучения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с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классической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ядерной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непараметрической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регрессией</w:t>
      </w:r>
      <w:r w:rsidR="00DC6BEA">
        <w:rPr>
          <w:rFonts w:hAnsi="Cambria Math"/>
        </w:rPr>
        <w:t xml:space="preserve">. </w:t>
      </w:r>
      <w:r w:rsidR="00DC6BEA">
        <w:rPr>
          <w:rFonts w:hAnsi="Cambria Math"/>
        </w:rPr>
        <w:t>Качество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моделей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изучается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в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контексте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прогнозирования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высокочастотных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финансовых</w:t>
      </w:r>
      <w:r w:rsidR="00DC6BEA">
        <w:rPr>
          <w:rFonts w:hAnsi="Cambria Math"/>
        </w:rPr>
        <w:t xml:space="preserve"> </w:t>
      </w:r>
      <w:r w:rsidR="00DC6BEA">
        <w:rPr>
          <w:rFonts w:hAnsi="Cambria Math"/>
        </w:rPr>
        <w:t>данных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которые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сложно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предсказывать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из</w:t>
      </w:r>
      <w:r w:rsidR="00396EBF">
        <w:rPr>
          <w:rFonts w:hAnsi="Cambria Math"/>
        </w:rPr>
        <w:t>-</w:t>
      </w:r>
      <w:r w:rsidR="00396EBF">
        <w:rPr>
          <w:rFonts w:hAnsi="Cambria Math"/>
        </w:rPr>
        <w:t>за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нелинейности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высокой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волатильности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долговременной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памяти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частых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скачков</w:t>
      </w:r>
      <w:r w:rsidR="00396EBF">
        <w:rPr>
          <w:rFonts w:hAnsi="Cambria Math"/>
        </w:rPr>
        <w:t xml:space="preserve">. </w:t>
      </w:r>
      <w:r w:rsidR="00396EBF">
        <w:rPr>
          <w:rFonts w:hAnsi="Cambria Math"/>
        </w:rPr>
        <w:t>Авторы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подмечают</w:t>
      </w:r>
      <w:r w:rsidR="00396EBF">
        <w:rPr>
          <w:rFonts w:hAnsi="Cambria Math"/>
        </w:rPr>
        <w:t xml:space="preserve">,  </w:t>
      </w:r>
      <w:r w:rsidR="00396EBF">
        <w:rPr>
          <w:rFonts w:hAnsi="Cambria Math"/>
        </w:rPr>
        <w:t>что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обычные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подходы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плохо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справляются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этой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задачей</w:t>
      </w:r>
      <w:r w:rsidR="00396EBF">
        <w:rPr>
          <w:rFonts w:hAnsi="Cambria Math"/>
        </w:rPr>
        <w:t xml:space="preserve">: </w:t>
      </w:r>
      <w:r w:rsidR="00396EBF">
        <w:rPr>
          <w:rFonts w:hAnsi="Cambria Math"/>
        </w:rPr>
        <w:t>традиционные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эконометрические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модели</w:t>
      </w:r>
      <w:r w:rsidR="00396EBF">
        <w:rPr>
          <w:rFonts w:hAnsi="Cambria Math"/>
        </w:rPr>
        <w:t xml:space="preserve"> (</w:t>
      </w:r>
      <w:r w:rsidR="00396EBF">
        <w:rPr>
          <w:rFonts w:hAnsi="Cambria Math"/>
          <w:lang w:val="en-US"/>
        </w:rPr>
        <w:t>ARIMA</w:t>
      </w:r>
      <w:r w:rsidR="00396EBF" w:rsidRPr="00396EBF">
        <w:rPr>
          <w:rFonts w:hAnsi="Cambria Math"/>
        </w:rPr>
        <w:t xml:space="preserve">, </w:t>
      </w:r>
      <w:r w:rsidR="00396EBF">
        <w:rPr>
          <w:rFonts w:hAnsi="Cambria Math"/>
          <w:lang w:val="en-US"/>
        </w:rPr>
        <w:t>GARCH</w:t>
      </w:r>
      <w:r w:rsidR="00396EBF" w:rsidRPr="00396EBF">
        <w:rPr>
          <w:rFonts w:hAnsi="Cambria Math"/>
        </w:rPr>
        <w:t>)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ограничены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работе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подобными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данными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из</w:t>
      </w:r>
      <w:r w:rsidR="00396EBF">
        <w:rPr>
          <w:rFonts w:hAnsi="Cambria Math"/>
        </w:rPr>
        <w:t>-</w:t>
      </w:r>
      <w:r w:rsidR="00396EBF">
        <w:rPr>
          <w:rFonts w:hAnsi="Cambria Math"/>
        </w:rPr>
        <w:t>за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предположений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линейности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стационарности</w:t>
      </w:r>
      <w:r w:rsidR="00396EBF" w:rsidRPr="00396EBF">
        <w:rPr>
          <w:rFonts w:hAnsi="Cambria Math"/>
        </w:rPr>
        <w:t>;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машинное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обучение</w:t>
      </w:r>
      <w:r w:rsid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(</w:t>
      </w:r>
      <w:r w:rsidR="00396EBF">
        <w:rPr>
          <w:rFonts w:hAnsi="Cambria Math"/>
          <w:lang w:val="en-US"/>
        </w:rPr>
        <w:t>SVM</w:t>
      </w:r>
      <w:r w:rsidR="00396EBF" w:rsidRPr="00396EBF">
        <w:rPr>
          <w:rFonts w:hAnsi="Cambria Math"/>
        </w:rPr>
        <w:t xml:space="preserve">, </w:t>
      </w:r>
      <w:r w:rsidR="00396EBF">
        <w:rPr>
          <w:rFonts w:hAnsi="Cambria Math"/>
        </w:rPr>
        <w:t>нейросети</w:t>
      </w:r>
      <w:r w:rsidR="00396EBF">
        <w:rPr>
          <w:rFonts w:hAnsi="Cambria Math"/>
        </w:rPr>
        <w:t xml:space="preserve">) </w:t>
      </w:r>
      <w:r w:rsidR="00396EBF">
        <w:rPr>
          <w:rFonts w:hAnsi="Cambria Math"/>
        </w:rPr>
        <w:t>справляются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нелинейностью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однако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улавливают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долговременную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память</w:t>
      </w:r>
      <w:r w:rsidR="00396EBF" w:rsidRPr="00396EBF">
        <w:rPr>
          <w:rFonts w:hAnsi="Cambria Math"/>
        </w:rPr>
        <w:t xml:space="preserve">; </w:t>
      </w:r>
      <w:r w:rsidR="00396EBF">
        <w:rPr>
          <w:rFonts w:hAnsi="Cambria Math"/>
        </w:rPr>
        <w:t>глубокие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нейросети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хорошо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прогнозируют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но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интерпретируемы</w:t>
      </w:r>
      <w:r w:rsidR="00396EBF">
        <w:rPr>
          <w:rFonts w:hAnsi="Cambria Math"/>
        </w:rPr>
        <w:t xml:space="preserve">. </w:t>
      </w:r>
      <w:r w:rsidR="00396EBF">
        <w:rPr>
          <w:rFonts w:hAnsi="Cambria Math"/>
        </w:rPr>
        <w:t>В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работе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предлагается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гибридная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модель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  <w:lang w:val="en-US"/>
        </w:rPr>
        <w:t>NR</w:t>
      </w:r>
      <w:r w:rsidR="00396EBF" w:rsidRPr="00396EBF">
        <w:rPr>
          <w:rFonts w:hAnsi="Cambria Math"/>
        </w:rPr>
        <w:t>-</w:t>
      </w:r>
      <w:r w:rsidR="00396EBF">
        <w:rPr>
          <w:rFonts w:hAnsi="Cambria Math"/>
          <w:lang w:val="en-US"/>
        </w:rPr>
        <w:t>LSTM</w:t>
      </w:r>
      <w:r w:rsidR="00396EBF" w:rsidRPr="00396EBF">
        <w:rPr>
          <w:rFonts w:hAnsi="Cambria Math"/>
        </w:rPr>
        <w:t xml:space="preserve">, </w:t>
      </w:r>
      <w:r w:rsidR="00396EBF">
        <w:rPr>
          <w:rFonts w:hAnsi="Cambria Math"/>
        </w:rPr>
        <w:t>объединяющая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интерпретируемость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непараметрической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регрессии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способностью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глубокой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нейросети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улавливать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долговременные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эффекты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краткосрочные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аномалии</w:t>
      </w:r>
      <w:r w:rsidR="00396EBF">
        <w:rPr>
          <w:rFonts w:hAnsi="Cambria Math"/>
        </w:rPr>
        <w:t xml:space="preserve">. </w:t>
      </w:r>
      <w:r w:rsidR="00FD1296">
        <w:rPr>
          <w:rFonts w:hAnsi="Cambria Math"/>
        </w:rPr>
        <w:t>В</w:t>
      </w:r>
      <w:r w:rsidR="00FD1296">
        <w:rPr>
          <w:rFonts w:hAnsi="Cambria Math"/>
        </w:rPr>
        <w:t xml:space="preserve"> </w:t>
      </w:r>
      <w:r w:rsidR="00FD1296">
        <w:rPr>
          <w:rFonts w:hAnsi="Cambria Math"/>
        </w:rPr>
        <w:t>статье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непараметрическая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регрессия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используется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для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моделирования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тренда</w:t>
      </w:r>
      <w:r w:rsidR="00396EBF">
        <w:rPr>
          <w:rFonts w:hAnsi="Cambria Math"/>
        </w:rPr>
        <w:t xml:space="preserve">, </w:t>
      </w:r>
      <w:r w:rsidR="00396EBF">
        <w:rPr>
          <w:rFonts w:hAnsi="Cambria Math"/>
        </w:rPr>
        <w:t>в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то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время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как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глубокая</w:t>
      </w:r>
      <w:r w:rsidR="00396EBF">
        <w:rPr>
          <w:rFonts w:hAnsi="Cambria Math"/>
        </w:rPr>
        <w:t xml:space="preserve"> </w:t>
      </w:r>
      <w:r w:rsidR="00396EBF">
        <w:rPr>
          <w:rFonts w:hAnsi="Cambria Math"/>
        </w:rPr>
        <w:t>нейросеть</w:t>
      </w:r>
      <w:r w:rsid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корректирует</w:t>
      </w:r>
      <w:r w:rsidR="00396EBF" w:rsidRP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остатки</w:t>
      </w:r>
      <w:r w:rsidR="00396EBF" w:rsidRPr="00396EBF">
        <w:rPr>
          <w:rFonts w:hAnsi="Cambria Math"/>
        </w:rPr>
        <w:t xml:space="preserve">, </w:t>
      </w:r>
      <w:r w:rsidR="00396EBF" w:rsidRPr="00396EBF">
        <w:rPr>
          <w:rFonts w:hAnsi="Cambria Math"/>
        </w:rPr>
        <w:t>повышая</w:t>
      </w:r>
      <w:r w:rsidR="00396EBF" w:rsidRP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общую</w:t>
      </w:r>
      <w:r w:rsidR="00396EBF" w:rsidRP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точность</w:t>
      </w:r>
      <w:r w:rsidR="00396EBF" w:rsidRPr="00396EBF">
        <w:rPr>
          <w:rFonts w:hAnsi="Cambria Math"/>
        </w:rPr>
        <w:t xml:space="preserve"> </w:t>
      </w:r>
      <w:r w:rsidR="00396EBF" w:rsidRPr="00396EBF">
        <w:rPr>
          <w:rFonts w:hAnsi="Cambria Math"/>
        </w:rPr>
        <w:t>прогноза</w:t>
      </w:r>
      <w:r w:rsidR="00396EBF">
        <w:rPr>
          <w:rFonts w:hAnsi="Cambria Math"/>
        </w:rPr>
        <w:t xml:space="preserve">. </w:t>
      </w:r>
      <w:r w:rsidR="00396EBF">
        <w:t xml:space="preserve">Полученная </w:t>
      </w:r>
      <w:r w:rsidR="00FD1296">
        <w:t xml:space="preserve">модель эмпирически проверялась </w:t>
      </w:r>
      <w:r w:rsidR="00FD1296" w:rsidRPr="00FD1296">
        <w:t>на разнообразных финансовых данных (CSI 300, FTSE 100, S&amp;P 500)</w:t>
      </w:r>
      <w:r w:rsidR="00FD1296">
        <w:t xml:space="preserve"> и показала значительное улучшение по сравнению с другими подходами по метрике </w:t>
      </w:r>
      <w:r w:rsidR="00FD1296" w:rsidRPr="00FD1296">
        <w:t>средней абсолютной ошибки</w:t>
      </w:r>
      <w:r w:rsidR="00FD1296" w:rsidRPr="00FD1296">
        <w:t xml:space="preserve"> (</w:t>
      </w:r>
      <w:r w:rsidR="00FD1296">
        <w:rPr>
          <w:lang w:val="en-US"/>
        </w:rPr>
        <w:t>MAE</w:t>
      </w:r>
      <w:r w:rsidR="00FD1296" w:rsidRPr="00FD1296">
        <w:t>)</w:t>
      </w:r>
      <w:r w:rsidR="00FD1296">
        <w:t xml:space="preserve">, демонстрируя устойчивость и универсальность. Таким образом, данная работа подчеркивает перспективность гибридных методов, так как они позволяют использовать сильные </w:t>
      </w:r>
      <w:r w:rsidR="00FD1296">
        <w:lastRenderedPageBreak/>
        <w:t>стороны как традиционных статистических подходов, так и современных алгоритмов ИИ для решения задач в условиях больших данных и неопределённости.</w:t>
      </w:r>
    </w:p>
    <w:sectPr w:rsidR="00424988" w:rsidRPr="00FD129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D28D4" w14:textId="77777777" w:rsidR="00E84205" w:rsidRDefault="00E84205">
      <w:pPr>
        <w:spacing w:line="240" w:lineRule="auto"/>
      </w:pPr>
      <w:r>
        <w:separator/>
      </w:r>
    </w:p>
  </w:endnote>
  <w:endnote w:type="continuationSeparator" w:id="0">
    <w:p w14:paraId="68BD5637" w14:textId="77777777" w:rsidR="00E84205" w:rsidRDefault="00E84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5192818"/>
    </w:sdtPr>
    <w:sdtContent>
      <w:p w14:paraId="3DF14A10" w14:textId="77777777" w:rsidR="004D6D22" w:rsidRDefault="0000000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B31450" w14:textId="77777777" w:rsidR="004D6D22" w:rsidRDefault="004D6D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E9A78" w14:textId="77777777" w:rsidR="00E84205" w:rsidRDefault="00E84205">
      <w:pPr>
        <w:spacing w:after="0"/>
      </w:pPr>
      <w:r>
        <w:separator/>
      </w:r>
    </w:p>
  </w:footnote>
  <w:footnote w:type="continuationSeparator" w:id="0">
    <w:p w14:paraId="619D42D2" w14:textId="77777777" w:rsidR="00E84205" w:rsidRDefault="00E84205">
      <w:pPr>
        <w:spacing w:after="0"/>
      </w:pPr>
      <w:r>
        <w:continuationSeparator/>
      </w:r>
    </w:p>
  </w:footnote>
  <w:footnote w:id="1">
    <w:p w14:paraId="2D8C97C5" w14:textId="77777777" w:rsidR="004D6D22" w:rsidRPr="00D45940" w:rsidRDefault="00000000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D45940">
        <w:rPr>
          <w:lang w:val="en-US"/>
        </w:rPr>
        <w:t xml:space="preserve"> Alberto Caron, Gianluca Baio, Ioanna </w:t>
      </w:r>
      <w:proofErr w:type="spellStart"/>
      <w:r w:rsidRPr="00D45940">
        <w:rPr>
          <w:lang w:val="en-US"/>
        </w:rPr>
        <w:t>Manolopoulou</w:t>
      </w:r>
      <w:proofErr w:type="spellEnd"/>
      <w:r w:rsidRPr="00D45940">
        <w:rPr>
          <w:lang w:val="en-US"/>
        </w:rPr>
        <w:t>, Estimating Individual Treatment Effects using Non-Parametric Regression Models: a Review, Journal of the Royal Statistical Society Series A: Statistics in Society, Volume 185, Issue 3, July 2022, Pages 1115–1149, https://doi.org/10.1111/rssa.12824</w:t>
      </w:r>
    </w:p>
  </w:footnote>
  <w:footnote w:id="2">
    <w:p w14:paraId="05A7395C" w14:textId="77777777" w:rsidR="004D6D22" w:rsidRPr="00D45940" w:rsidRDefault="00000000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D45940">
        <w:rPr>
          <w:lang w:val="en-US"/>
        </w:rPr>
        <w:t xml:space="preserve"> Mingming Zhang, </w:t>
      </w:r>
      <w:proofErr w:type="spellStart"/>
      <w:r w:rsidRPr="00D45940">
        <w:rPr>
          <w:lang w:val="en-US"/>
        </w:rPr>
        <w:t>Zikun</w:t>
      </w:r>
      <w:proofErr w:type="spellEnd"/>
      <w:r w:rsidRPr="00D45940">
        <w:rPr>
          <w:lang w:val="en-US"/>
        </w:rPr>
        <w:t xml:space="preserve"> Yang, Liyun Liu, </w:t>
      </w:r>
      <w:proofErr w:type="spellStart"/>
      <w:r w:rsidRPr="00D45940">
        <w:rPr>
          <w:lang w:val="en-US"/>
        </w:rPr>
        <w:t>Dequn</w:t>
      </w:r>
      <w:proofErr w:type="spellEnd"/>
      <w:r w:rsidRPr="00D45940">
        <w:rPr>
          <w:lang w:val="en-US"/>
        </w:rPr>
        <w:t xml:space="preserve"> Zhou, Impact of renewable energy investment on carbon emissions in China - An empirical study using a nonparametric additive regression model, Science of The Total Environment, Volume 785, 2021, 147109, ISSN 0048-9697, https://doi.org/10.1016/j.scitotenv.2021.147109.</w:t>
      </w:r>
    </w:p>
  </w:footnote>
  <w:footnote w:id="3">
    <w:p w14:paraId="7B503B43" w14:textId="77777777" w:rsidR="004D6D22" w:rsidRPr="00D45940" w:rsidRDefault="00000000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D45940">
        <w:rPr>
          <w:lang w:val="en-US"/>
        </w:rPr>
        <w:t xml:space="preserve"> Cheng, Tingting and Gao, Jiti and Linton, Oliver B. and Yan, Yayi, Nonparametric Predictive Regression for Stock Return Prediction 1 (February 05, 2025). Available at SSRN: https://ssrn.com/abstract=5126279 or http://dx.doi.org/10.2139/ssrn.5126279</w:t>
      </w:r>
    </w:p>
  </w:footnote>
  <w:footnote w:id="4">
    <w:p w14:paraId="4FFE660F" w14:textId="77777777" w:rsidR="004D6D22" w:rsidRDefault="00000000">
      <w:pPr>
        <w:pStyle w:val="aa"/>
        <w:snapToGrid w:val="0"/>
        <w:rPr>
          <w:lang w:val="en-US"/>
        </w:rPr>
      </w:pPr>
      <w:r>
        <w:rPr>
          <w:rStyle w:val="a5"/>
        </w:rPr>
        <w:footnoteRef/>
      </w:r>
      <w:r w:rsidRPr="00D45940">
        <w:rPr>
          <w:lang w:val="en-US"/>
        </w:rPr>
        <w:t xml:space="preserve"> </w:t>
      </w:r>
      <w:proofErr w:type="spellStart"/>
      <w:r w:rsidRPr="00D45940">
        <w:rPr>
          <w:lang w:val="en-US"/>
        </w:rPr>
        <w:t>Bradic</w:t>
      </w:r>
      <w:proofErr w:type="spellEnd"/>
      <w:r w:rsidRPr="00D45940">
        <w:rPr>
          <w:lang w:val="en-US"/>
        </w:rPr>
        <w:t xml:space="preserve">, Jelena &amp; </w:t>
      </w:r>
      <w:proofErr w:type="spellStart"/>
      <w:r w:rsidRPr="00D45940">
        <w:rPr>
          <w:lang w:val="en-US"/>
        </w:rPr>
        <w:t>Chernozhukov</w:t>
      </w:r>
      <w:proofErr w:type="spellEnd"/>
      <w:r w:rsidRPr="00D45940">
        <w:rPr>
          <w:lang w:val="en-US"/>
        </w:rPr>
        <w:t xml:space="preserve">, Victor &amp; Newey, Whitney &amp; Zhu, </w:t>
      </w:r>
      <w:proofErr w:type="spellStart"/>
      <w:r w:rsidRPr="00D45940">
        <w:rPr>
          <w:lang w:val="en-US"/>
        </w:rPr>
        <w:t>Yinchu</w:t>
      </w:r>
      <w:proofErr w:type="spellEnd"/>
      <w:r w:rsidRPr="00D45940">
        <w:rPr>
          <w:lang w:val="en-US"/>
        </w:rPr>
        <w:t xml:space="preserve">. </w:t>
      </w:r>
      <w:r>
        <w:t xml:space="preserve">(2019). </w:t>
      </w:r>
      <w:proofErr w:type="spellStart"/>
      <w:r>
        <w:t>Minimax</w:t>
      </w:r>
      <w:proofErr w:type="spellEnd"/>
      <w:r>
        <w:t xml:space="preserve"> </w:t>
      </w:r>
      <w:proofErr w:type="spellStart"/>
      <w:r>
        <w:t>Semiparametric</w:t>
      </w:r>
      <w:proofErr w:type="spellEnd"/>
      <w:r>
        <w:t xml:space="preserve"> Learning With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Sparsity</w:t>
      </w:r>
      <w:proofErr w:type="spellEnd"/>
      <w:r>
        <w:t xml:space="preserve">. 10.48550/arXiv.1912.12213. </w:t>
      </w:r>
    </w:p>
  </w:footnote>
  <w:footnote w:id="5">
    <w:p w14:paraId="00278AD1" w14:textId="446CB7D7" w:rsidR="00424988" w:rsidRPr="00424988" w:rsidRDefault="00424988" w:rsidP="00424988">
      <w:pPr>
        <w:pStyle w:val="aa"/>
        <w:rPr>
          <w:lang w:val="en-US"/>
        </w:rPr>
      </w:pPr>
      <w:r>
        <w:rPr>
          <w:rStyle w:val="a5"/>
        </w:rPr>
        <w:footnoteRef/>
      </w:r>
      <w:r w:rsidRPr="00424988">
        <w:rPr>
          <w:lang w:val="en-US"/>
        </w:rPr>
        <w:t xml:space="preserve"> </w:t>
      </w:r>
      <w:r w:rsidRPr="00424988">
        <w:rPr>
          <w:lang w:val="en-US"/>
        </w:rPr>
        <w:t xml:space="preserve">Yuping Song, </w:t>
      </w:r>
      <w:proofErr w:type="spellStart"/>
      <w:r w:rsidRPr="00424988">
        <w:rPr>
          <w:lang w:val="en-US"/>
        </w:rPr>
        <w:t>Chunchun</w:t>
      </w:r>
      <w:proofErr w:type="spellEnd"/>
      <w:r w:rsidRPr="00424988">
        <w:rPr>
          <w:lang w:val="en-US"/>
        </w:rPr>
        <w:t xml:space="preserve"> Cai, </w:t>
      </w:r>
      <w:proofErr w:type="spellStart"/>
      <w:r w:rsidRPr="00424988">
        <w:rPr>
          <w:lang w:val="en-US"/>
        </w:rPr>
        <w:t>Dexiang</w:t>
      </w:r>
      <w:proofErr w:type="spellEnd"/>
      <w:r w:rsidRPr="00424988">
        <w:rPr>
          <w:lang w:val="en-US"/>
        </w:rPr>
        <w:t xml:space="preserve"> Ma, Chen Li,</w:t>
      </w:r>
      <w:r w:rsidRPr="00424988">
        <w:rPr>
          <w:lang w:val="en-US"/>
        </w:rPr>
        <w:t xml:space="preserve"> </w:t>
      </w:r>
      <w:r w:rsidRPr="00424988">
        <w:rPr>
          <w:lang w:val="en-US"/>
        </w:rPr>
        <w:t>Modelling and forecasting high-frequency data with jumps based on a hybrid nonparametric regression and LSTM model,</w:t>
      </w:r>
      <w:r w:rsidRPr="00424988">
        <w:rPr>
          <w:lang w:val="en-US"/>
        </w:rPr>
        <w:t xml:space="preserve"> </w:t>
      </w:r>
      <w:r w:rsidRPr="00424988">
        <w:rPr>
          <w:lang w:val="en-US"/>
        </w:rPr>
        <w:t>Expert Systems with Applications,</w:t>
      </w:r>
      <w:r w:rsidRPr="00424988">
        <w:rPr>
          <w:lang w:val="en-US"/>
        </w:rPr>
        <w:t xml:space="preserve"> </w:t>
      </w:r>
      <w:r w:rsidRPr="00424988">
        <w:rPr>
          <w:lang w:val="en-US"/>
        </w:rPr>
        <w:t>Volume 237, Part A,</w:t>
      </w:r>
      <w:r w:rsidRPr="00424988">
        <w:rPr>
          <w:lang w:val="en-US"/>
        </w:rPr>
        <w:t xml:space="preserve"> </w:t>
      </w:r>
      <w:r w:rsidRPr="00424988">
        <w:rPr>
          <w:lang w:val="en-US"/>
        </w:rPr>
        <w:t>2024,</w:t>
      </w:r>
      <w:r w:rsidRPr="00424988">
        <w:rPr>
          <w:lang w:val="en-US"/>
        </w:rPr>
        <w:t xml:space="preserve"> </w:t>
      </w:r>
      <w:r w:rsidRPr="00424988">
        <w:rPr>
          <w:lang w:val="en-US"/>
        </w:rPr>
        <w:t>121527,</w:t>
      </w:r>
      <w:r w:rsidRPr="00424988">
        <w:rPr>
          <w:lang w:val="en-US"/>
        </w:rPr>
        <w:t xml:space="preserve"> </w:t>
      </w:r>
      <w:r w:rsidRPr="00424988">
        <w:rPr>
          <w:lang w:val="en-US"/>
        </w:rPr>
        <w:t>ISSN 0957-4174,</w:t>
      </w:r>
      <w:r w:rsidRPr="00424988">
        <w:rPr>
          <w:lang w:val="en-US"/>
        </w:rPr>
        <w:t xml:space="preserve"> </w:t>
      </w:r>
      <w:r w:rsidRPr="00424988">
        <w:rPr>
          <w:lang w:val="en-US"/>
        </w:rPr>
        <w:t>https://doi.org/10.1016/j.eswa.2023.121527.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74163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5E"/>
    <w:rsid w:val="00000201"/>
    <w:rsid w:val="00000846"/>
    <w:rsid w:val="000026E0"/>
    <w:rsid w:val="00005D1A"/>
    <w:rsid w:val="000063BC"/>
    <w:rsid w:val="0001182F"/>
    <w:rsid w:val="00016CAE"/>
    <w:rsid w:val="00017DC0"/>
    <w:rsid w:val="00024662"/>
    <w:rsid w:val="000249D9"/>
    <w:rsid w:val="000321E7"/>
    <w:rsid w:val="00033D57"/>
    <w:rsid w:val="0003455D"/>
    <w:rsid w:val="00034992"/>
    <w:rsid w:val="00035548"/>
    <w:rsid w:val="00035FDB"/>
    <w:rsid w:val="000370C5"/>
    <w:rsid w:val="00044CAE"/>
    <w:rsid w:val="00047F34"/>
    <w:rsid w:val="00062856"/>
    <w:rsid w:val="00064CDD"/>
    <w:rsid w:val="000702E5"/>
    <w:rsid w:val="000743DB"/>
    <w:rsid w:val="000762BE"/>
    <w:rsid w:val="00076360"/>
    <w:rsid w:val="00076741"/>
    <w:rsid w:val="00076BA4"/>
    <w:rsid w:val="00081E18"/>
    <w:rsid w:val="00081F3F"/>
    <w:rsid w:val="000820FB"/>
    <w:rsid w:val="00082D5E"/>
    <w:rsid w:val="00087895"/>
    <w:rsid w:val="0009037A"/>
    <w:rsid w:val="00093173"/>
    <w:rsid w:val="00094F25"/>
    <w:rsid w:val="000952B7"/>
    <w:rsid w:val="000A020C"/>
    <w:rsid w:val="000A3994"/>
    <w:rsid w:val="000A62DF"/>
    <w:rsid w:val="000A7882"/>
    <w:rsid w:val="000A7F5A"/>
    <w:rsid w:val="000B5E52"/>
    <w:rsid w:val="000C3B12"/>
    <w:rsid w:val="000C61CD"/>
    <w:rsid w:val="000C76CD"/>
    <w:rsid w:val="000C7E76"/>
    <w:rsid w:val="000D3911"/>
    <w:rsid w:val="000D49C7"/>
    <w:rsid w:val="000D62D4"/>
    <w:rsid w:val="000E06B1"/>
    <w:rsid w:val="000E1F9C"/>
    <w:rsid w:val="000E2CBC"/>
    <w:rsid w:val="000E3760"/>
    <w:rsid w:val="000E4B61"/>
    <w:rsid w:val="000E4DD0"/>
    <w:rsid w:val="000E61C4"/>
    <w:rsid w:val="000F21D7"/>
    <w:rsid w:val="00107113"/>
    <w:rsid w:val="00111BD6"/>
    <w:rsid w:val="00111E7A"/>
    <w:rsid w:val="00113CF1"/>
    <w:rsid w:val="00113E03"/>
    <w:rsid w:val="00121CAC"/>
    <w:rsid w:val="00124D04"/>
    <w:rsid w:val="00127294"/>
    <w:rsid w:val="00127A81"/>
    <w:rsid w:val="00130C19"/>
    <w:rsid w:val="001337DB"/>
    <w:rsid w:val="00143035"/>
    <w:rsid w:val="0014452C"/>
    <w:rsid w:val="00145809"/>
    <w:rsid w:val="00146C9E"/>
    <w:rsid w:val="001529EA"/>
    <w:rsid w:val="00155DAC"/>
    <w:rsid w:val="0016131A"/>
    <w:rsid w:val="00161E2E"/>
    <w:rsid w:val="00164D5A"/>
    <w:rsid w:val="00180529"/>
    <w:rsid w:val="00185981"/>
    <w:rsid w:val="00192CAB"/>
    <w:rsid w:val="00193B5F"/>
    <w:rsid w:val="00194D9C"/>
    <w:rsid w:val="00194ED6"/>
    <w:rsid w:val="0019778A"/>
    <w:rsid w:val="00197F0B"/>
    <w:rsid w:val="001A06F5"/>
    <w:rsid w:val="001A1814"/>
    <w:rsid w:val="001A2EA4"/>
    <w:rsid w:val="001A5D52"/>
    <w:rsid w:val="001B30F0"/>
    <w:rsid w:val="001B34CE"/>
    <w:rsid w:val="001C054E"/>
    <w:rsid w:val="001C186B"/>
    <w:rsid w:val="001C22FE"/>
    <w:rsid w:val="001C47C2"/>
    <w:rsid w:val="001C79E8"/>
    <w:rsid w:val="001D4F7E"/>
    <w:rsid w:val="001D54DF"/>
    <w:rsid w:val="001E61BC"/>
    <w:rsid w:val="001F0186"/>
    <w:rsid w:val="001F239B"/>
    <w:rsid w:val="001F3765"/>
    <w:rsid w:val="00201B8D"/>
    <w:rsid w:val="00203201"/>
    <w:rsid w:val="0020320A"/>
    <w:rsid w:val="00203E51"/>
    <w:rsid w:val="00206585"/>
    <w:rsid w:val="0021175D"/>
    <w:rsid w:val="0022049E"/>
    <w:rsid w:val="002253B0"/>
    <w:rsid w:val="00225E1F"/>
    <w:rsid w:val="00231D2D"/>
    <w:rsid w:val="00232832"/>
    <w:rsid w:val="00233318"/>
    <w:rsid w:val="00236B7A"/>
    <w:rsid w:val="00237F52"/>
    <w:rsid w:val="00241063"/>
    <w:rsid w:val="00243341"/>
    <w:rsid w:val="0024648B"/>
    <w:rsid w:val="00250FED"/>
    <w:rsid w:val="002515C9"/>
    <w:rsid w:val="00252F30"/>
    <w:rsid w:val="00253F1F"/>
    <w:rsid w:val="00254027"/>
    <w:rsid w:val="00257ADC"/>
    <w:rsid w:val="002610D1"/>
    <w:rsid w:val="00262A64"/>
    <w:rsid w:val="00262E41"/>
    <w:rsid w:val="0026352B"/>
    <w:rsid w:val="00265C8D"/>
    <w:rsid w:val="002669D2"/>
    <w:rsid w:val="002803FE"/>
    <w:rsid w:val="00282501"/>
    <w:rsid w:val="00285F22"/>
    <w:rsid w:val="002860F8"/>
    <w:rsid w:val="00290A90"/>
    <w:rsid w:val="0029120F"/>
    <w:rsid w:val="00292CA6"/>
    <w:rsid w:val="00294A1A"/>
    <w:rsid w:val="00295EBC"/>
    <w:rsid w:val="002975B5"/>
    <w:rsid w:val="002A4AB4"/>
    <w:rsid w:val="002A4F5B"/>
    <w:rsid w:val="002A5BB4"/>
    <w:rsid w:val="002A63BE"/>
    <w:rsid w:val="002B01D6"/>
    <w:rsid w:val="002B1B1B"/>
    <w:rsid w:val="002B27BD"/>
    <w:rsid w:val="002B28BD"/>
    <w:rsid w:val="002B4FF5"/>
    <w:rsid w:val="002B579F"/>
    <w:rsid w:val="002B6BE3"/>
    <w:rsid w:val="002C1186"/>
    <w:rsid w:val="002D1A2A"/>
    <w:rsid w:val="002D2BFD"/>
    <w:rsid w:val="002D4907"/>
    <w:rsid w:val="002D793D"/>
    <w:rsid w:val="002E4712"/>
    <w:rsid w:val="002F63F4"/>
    <w:rsid w:val="003013EB"/>
    <w:rsid w:val="00301F6B"/>
    <w:rsid w:val="00301FCF"/>
    <w:rsid w:val="00304375"/>
    <w:rsid w:val="003108D0"/>
    <w:rsid w:val="003133A8"/>
    <w:rsid w:val="00315E99"/>
    <w:rsid w:val="003207DB"/>
    <w:rsid w:val="003223F8"/>
    <w:rsid w:val="0032269A"/>
    <w:rsid w:val="00325817"/>
    <w:rsid w:val="00325CC7"/>
    <w:rsid w:val="00325D62"/>
    <w:rsid w:val="00326F6B"/>
    <w:rsid w:val="0032712E"/>
    <w:rsid w:val="00330953"/>
    <w:rsid w:val="00330C9F"/>
    <w:rsid w:val="003312A1"/>
    <w:rsid w:val="00333C16"/>
    <w:rsid w:val="00333F3F"/>
    <w:rsid w:val="00335EC5"/>
    <w:rsid w:val="00343F37"/>
    <w:rsid w:val="003451A1"/>
    <w:rsid w:val="00351DB7"/>
    <w:rsid w:val="00352DA3"/>
    <w:rsid w:val="003530C1"/>
    <w:rsid w:val="003649E1"/>
    <w:rsid w:val="00373C1C"/>
    <w:rsid w:val="00380AD4"/>
    <w:rsid w:val="00380B14"/>
    <w:rsid w:val="00380E68"/>
    <w:rsid w:val="003819C4"/>
    <w:rsid w:val="00384E54"/>
    <w:rsid w:val="00385218"/>
    <w:rsid w:val="00390B96"/>
    <w:rsid w:val="003960BD"/>
    <w:rsid w:val="00396EBF"/>
    <w:rsid w:val="003A0776"/>
    <w:rsid w:val="003A1E75"/>
    <w:rsid w:val="003A467A"/>
    <w:rsid w:val="003A5A6C"/>
    <w:rsid w:val="003A7D85"/>
    <w:rsid w:val="003B12A4"/>
    <w:rsid w:val="003B1870"/>
    <w:rsid w:val="003B3C50"/>
    <w:rsid w:val="003B53D6"/>
    <w:rsid w:val="003C117E"/>
    <w:rsid w:val="003D1D75"/>
    <w:rsid w:val="003D2DA6"/>
    <w:rsid w:val="003D34BA"/>
    <w:rsid w:val="003D614A"/>
    <w:rsid w:val="003E7630"/>
    <w:rsid w:val="003F1002"/>
    <w:rsid w:val="003F6AF1"/>
    <w:rsid w:val="003F7B4D"/>
    <w:rsid w:val="004019DD"/>
    <w:rsid w:val="004028FF"/>
    <w:rsid w:val="004029A9"/>
    <w:rsid w:val="00403516"/>
    <w:rsid w:val="0040416D"/>
    <w:rsid w:val="00412EE7"/>
    <w:rsid w:val="004166C8"/>
    <w:rsid w:val="0042037D"/>
    <w:rsid w:val="00424988"/>
    <w:rsid w:val="00425A6A"/>
    <w:rsid w:val="00427C65"/>
    <w:rsid w:val="00430365"/>
    <w:rsid w:val="004422E6"/>
    <w:rsid w:val="00443594"/>
    <w:rsid w:val="004442EE"/>
    <w:rsid w:val="00444E86"/>
    <w:rsid w:val="00456935"/>
    <w:rsid w:val="0046202F"/>
    <w:rsid w:val="00462167"/>
    <w:rsid w:val="004645C3"/>
    <w:rsid w:val="0046552B"/>
    <w:rsid w:val="00470D3A"/>
    <w:rsid w:val="00471EE8"/>
    <w:rsid w:val="0047527E"/>
    <w:rsid w:val="00475E79"/>
    <w:rsid w:val="0047625B"/>
    <w:rsid w:val="004763D2"/>
    <w:rsid w:val="004818E0"/>
    <w:rsid w:val="004850DC"/>
    <w:rsid w:val="00485C3B"/>
    <w:rsid w:val="004935C0"/>
    <w:rsid w:val="00495211"/>
    <w:rsid w:val="00495821"/>
    <w:rsid w:val="00496C80"/>
    <w:rsid w:val="004A06E0"/>
    <w:rsid w:val="004A19F1"/>
    <w:rsid w:val="004A326D"/>
    <w:rsid w:val="004A3511"/>
    <w:rsid w:val="004A51FD"/>
    <w:rsid w:val="004A5F09"/>
    <w:rsid w:val="004B22EF"/>
    <w:rsid w:val="004B2DA2"/>
    <w:rsid w:val="004B524C"/>
    <w:rsid w:val="004B53E4"/>
    <w:rsid w:val="004B7570"/>
    <w:rsid w:val="004B7AFE"/>
    <w:rsid w:val="004C3DEE"/>
    <w:rsid w:val="004D0983"/>
    <w:rsid w:val="004D25EB"/>
    <w:rsid w:val="004D2FA3"/>
    <w:rsid w:val="004D4BA8"/>
    <w:rsid w:val="004D6D22"/>
    <w:rsid w:val="004D6F42"/>
    <w:rsid w:val="004E2C5B"/>
    <w:rsid w:val="004E3A32"/>
    <w:rsid w:val="004E3B5C"/>
    <w:rsid w:val="004E46BB"/>
    <w:rsid w:val="004E6EA3"/>
    <w:rsid w:val="004F5EED"/>
    <w:rsid w:val="004F79FF"/>
    <w:rsid w:val="00501F9A"/>
    <w:rsid w:val="00506D02"/>
    <w:rsid w:val="00511BC6"/>
    <w:rsid w:val="00513010"/>
    <w:rsid w:val="005133F3"/>
    <w:rsid w:val="0051358A"/>
    <w:rsid w:val="00514BF1"/>
    <w:rsid w:val="00514C9F"/>
    <w:rsid w:val="00515678"/>
    <w:rsid w:val="00517FD4"/>
    <w:rsid w:val="005217E5"/>
    <w:rsid w:val="00522125"/>
    <w:rsid w:val="00524AE4"/>
    <w:rsid w:val="00524DFB"/>
    <w:rsid w:val="0052689D"/>
    <w:rsid w:val="00527549"/>
    <w:rsid w:val="00530EC7"/>
    <w:rsid w:val="0053107D"/>
    <w:rsid w:val="005310D1"/>
    <w:rsid w:val="005337ED"/>
    <w:rsid w:val="00534D13"/>
    <w:rsid w:val="005372A9"/>
    <w:rsid w:val="0054197B"/>
    <w:rsid w:val="00547632"/>
    <w:rsid w:val="005540C7"/>
    <w:rsid w:val="005541C1"/>
    <w:rsid w:val="00556AB9"/>
    <w:rsid w:val="00562157"/>
    <w:rsid w:val="005670F7"/>
    <w:rsid w:val="005675D4"/>
    <w:rsid w:val="005675E8"/>
    <w:rsid w:val="0057651E"/>
    <w:rsid w:val="00580045"/>
    <w:rsid w:val="00582C99"/>
    <w:rsid w:val="00583F84"/>
    <w:rsid w:val="005A4AE5"/>
    <w:rsid w:val="005A5FF8"/>
    <w:rsid w:val="005A69BA"/>
    <w:rsid w:val="005A76D7"/>
    <w:rsid w:val="005B2977"/>
    <w:rsid w:val="005B304C"/>
    <w:rsid w:val="005B4627"/>
    <w:rsid w:val="005B5C55"/>
    <w:rsid w:val="005C0734"/>
    <w:rsid w:val="005C0A38"/>
    <w:rsid w:val="005C36C3"/>
    <w:rsid w:val="005C4BFE"/>
    <w:rsid w:val="005C5A3C"/>
    <w:rsid w:val="005C6CA2"/>
    <w:rsid w:val="005C6DD0"/>
    <w:rsid w:val="005C719B"/>
    <w:rsid w:val="005D01EE"/>
    <w:rsid w:val="005D20F1"/>
    <w:rsid w:val="005D33C0"/>
    <w:rsid w:val="005D7818"/>
    <w:rsid w:val="005F2242"/>
    <w:rsid w:val="005F61B0"/>
    <w:rsid w:val="005F7BF1"/>
    <w:rsid w:val="00600D22"/>
    <w:rsid w:val="0060569A"/>
    <w:rsid w:val="00612C58"/>
    <w:rsid w:val="00613625"/>
    <w:rsid w:val="0061392F"/>
    <w:rsid w:val="00616360"/>
    <w:rsid w:val="00620E43"/>
    <w:rsid w:val="00624D40"/>
    <w:rsid w:val="006312B9"/>
    <w:rsid w:val="006331F8"/>
    <w:rsid w:val="00635CA1"/>
    <w:rsid w:val="00637392"/>
    <w:rsid w:val="00637C29"/>
    <w:rsid w:val="00646BFA"/>
    <w:rsid w:val="006509C8"/>
    <w:rsid w:val="0065154E"/>
    <w:rsid w:val="00655073"/>
    <w:rsid w:val="0066421D"/>
    <w:rsid w:val="0066588D"/>
    <w:rsid w:val="00667E3B"/>
    <w:rsid w:val="00671ED0"/>
    <w:rsid w:val="00672112"/>
    <w:rsid w:val="00673C07"/>
    <w:rsid w:val="00675F75"/>
    <w:rsid w:val="0068050E"/>
    <w:rsid w:val="006842D5"/>
    <w:rsid w:val="00687DE3"/>
    <w:rsid w:val="00690EA2"/>
    <w:rsid w:val="006921E6"/>
    <w:rsid w:val="00694EB7"/>
    <w:rsid w:val="006965E0"/>
    <w:rsid w:val="00696864"/>
    <w:rsid w:val="006A6372"/>
    <w:rsid w:val="006C233D"/>
    <w:rsid w:val="006C3272"/>
    <w:rsid w:val="006D0B2D"/>
    <w:rsid w:val="006D16D0"/>
    <w:rsid w:val="006D50AE"/>
    <w:rsid w:val="006D6DA0"/>
    <w:rsid w:val="006E7155"/>
    <w:rsid w:val="006F2175"/>
    <w:rsid w:val="006F6773"/>
    <w:rsid w:val="006F6985"/>
    <w:rsid w:val="006F7370"/>
    <w:rsid w:val="006F7DDD"/>
    <w:rsid w:val="007002D1"/>
    <w:rsid w:val="0070455C"/>
    <w:rsid w:val="0070596E"/>
    <w:rsid w:val="00712789"/>
    <w:rsid w:val="00714AEA"/>
    <w:rsid w:val="00720FD9"/>
    <w:rsid w:val="00721B51"/>
    <w:rsid w:val="00721DE8"/>
    <w:rsid w:val="00726931"/>
    <w:rsid w:val="00730C96"/>
    <w:rsid w:val="00730FB0"/>
    <w:rsid w:val="00733C60"/>
    <w:rsid w:val="0073553C"/>
    <w:rsid w:val="00746433"/>
    <w:rsid w:val="00746CFF"/>
    <w:rsid w:val="007538F5"/>
    <w:rsid w:val="007557E3"/>
    <w:rsid w:val="00757863"/>
    <w:rsid w:val="00760A11"/>
    <w:rsid w:val="00765377"/>
    <w:rsid w:val="00765F80"/>
    <w:rsid w:val="00767358"/>
    <w:rsid w:val="00767662"/>
    <w:rsid w:val="00773B89"/>
    <w:rsid w:val="00775BBC"/>
    <w:rsid w:val="00777147"/>
    <w:rsid w:val="007807CF"/>
    <w:rsid w:val="0078095A"/>
    <w:rsid w:val="007823C3"/>
    <w:rsid w:val="0078254A"/>
    <w:rsid w:val="00783F29"/>
    <w:rsid w:val="00784B26"/>
    <w:rsid w:val="0079045B"/>
    <w:rsid w:val="0079085D"/>
    <w:rsid w:val="00792500"/>
    <w:rsid w:val="00793032"/>
    <w:rsid w:val="007941DE"/>
    <w:rsid w:val="007972C0"/>
    <w:rsid w:val="007A4599"/>
    <w:rsid w:val="007B2F5F"/>
    <w:rsid w:val="007B3167"/>
    <w:rsid w:val="007B3385"/>
    <w:rsid w:val="007B3BF5"/>
    <w:rsid w:val="007B4197"/>
    <w:rsid w:val="007C2310"/>
    <w:rsid w:val="007C402E"/>
    <w:rsid w:val="007D2575"/>
    <w:rsid w:val="007D2804"/>
    <w:rsid w:val="007D3902"/>
    <w:rsid w:val="007D7E2C"/>
    <w:rsid w:val="007E0CEA"/>
    <w:rsid w:val="007E31BE"/>
    <w:rsid w:val="007E6064"/>
    <w:rsid w:val="007E64EA"/>
    <w:rsid w:val="007E662F"/>
    <w:rsid w:val="007E6BF9"/>
    <w:rsid w:val="007F00D8"/>
    <w:rsid w:val="007F18AD"/>
    <w:rsid w:val="007F22C7"/>
    <w:rsid w:val="007F2AD6"/>
    <w:rsid w:val="007F757E"/>
    <w:rsid w:val="0080190A"/>
    <w:rsid w:val="0080293F"/>
    <w:rsid w:val="00806EE9"/>
    <w:rsid w:val="00807E04"/>
    <w:rsid w:val="00811461"/>
    <w:rsid w:val="00811A04"/>
    <w:rsid w:val="0081602B"/>
    <w:rsid w:val="00817C97"/>
    <w:rsid w:val="00820F98"/>
    <w:rsid w:val="0082159C"/>
    <w:rsid w:val="0082291F"/>
    <w:rsid w:val="008230E7"/>
    <w:rsid w:val="00824A44"/>
    <w:rsid w:val="00830255"/>
    <w:rsid w:val="00836201"/>
    <w:rsid w:val="00840793"/>
    <w:rsid w:val="00840CC6"/>
    <w:rsid w:val="008428E1"/>
    <w:rsid w:val="0085003C"/>
    <w:rsid w:val="008504B8"/>
    <w:rsid w:val="0086043F"/>
    <w:rsid w:val="00860A8B"/>
    <w:rsid w:val="00863630"/>
    <w:rsid w:val="008636D0"/>
    <w:rsid w:val="00865E15"/>
    <w:rsid w:val="008708A2"/>
    <w:rsid w:val="00870D94"/>
    <w:rsid w:val="00871DF2"/>
    <w:rsid w:val="00876EB3"/>
    <w:rsid w:val="00881A40"/>
    <w:rsid w:val="00881BC6"/>
    <w:rsid w:val="00882ED1"/>
    <w:rsid w:val="008840A2"/>
    <w:rsid w:val="00885BBB"/>
    <w:rsid w:val="00886FC3"/>
    <w:rsid w:val="00890EAC"/>
    <w:rsid w:val="00895EAC"/>
    <w:rsid w:val="008978F9"/>
    <w:rsid w:val="008A07E8"/>
    <w:rsid w:val="008A3501"/>
    <w:rsid w:val="008A355E"/>
    <w:rsid w:val="008A3928"/>
    <w:rsid w:val="008A465F"/>
    <w:rsid w:val="008A6246"/>
    <w:rsid w:val="008A748B"/>
    <w:rsid w:val="008B3BD4"/>
    <w:rsid w:val="008C11B7"/>
    <w:rsid w:val="008C21CB"/>
    <w:rsid w:val="008C74FE"/>
    <w:rsid w:val="008D02FA"/>
    <w:rsid w:val="008D29E9"/>
    <w:rsid w:val="008D3323"/>
    <w:rsid w:val="008D7518"/>
    <w:rsid w:val="008E4394"/>
    <w:rsid w:val="008E64DC"/>
    <w:rsid w:val="008F0C02"/>
    <w:rsid w:val="008F2C36"/>
    <w:rsid w:val="008F2D65"/>
    <w:rsid w:val="00900FFE"/>
    <w:rsid w:val="009012FF"/>
    <w:rsid w:val="00901BF4"/>
    <w:rsid w:val="009045BB"/>
    <w:rsid w:val="00905CFA"/>
    <w:rsid w:val="00906181"/>
    <w:rsid w:val="00915270"/>
    <w:rsid w:val="00924245"/>
    <w:rsid w:val="009255CF"/>
    <w:rsid w:val="00925EC3"/>
    <w:rsid w:val="00930F30"/>
    <w:rsid w:val="009363B5"/>
    <w:rsid w:val="0093716F"/>
    <w:rsid w:val="0094585E"/>
    <w:rsid w:val="00946BA2"/>
    <w:rsid w:val="00947260"/>
    <w:rsid w:val="00947F69"/>
    <w:rsid w:val="009502ED"/>
    <w:rsid w:val="009508DB"/>
    <w:rsid w:val="00950E57"/>
    <w:rsid w:val="00956ED0"/>
    <w:rsid w:val="00961E52"/>
    <w:rsid w:val="00962674"/>
    <w:rsid w:val="009717E2"/>
    <w:rsid w:val="00972971"/>
    <w:rsid w:val="00973B38"/>
    <w:rsid w:val="009763DF"/>
    <w:rsid w:val="0098058F"/>
    <w:rsid w:val="00986D1C"/>
    <w:rsid w:val="0098709D"/>
    <w:rsid w:val="00990251"/>
    <w:rsid w:val="0099039D"/>
    <w:rsid w:val="0099045F"/>
    <w:rsid w:val="009927B4"/>
    <w:rsid w:val="00994C51"/>
    <w:rsid w:val="009A218B"/>
    <w:rsid w:val="009A3C02"/>
    <w:rsid w:val="009A4333"/>
    <w:rsid w:val="009B076D"/>
    <w:rsid w:val="009B1F7A"/>
    <w:rsid w:val="009B7440"/>
    <w:rsid w:val="009B7A4A"/>
    <w:rsid w:val="009C2D82"/>
    <w:rsid w:val="009C3C87"/>
    <w:rsid w:val="009C4630"/>
    <w:rsid w:val="009C67C3"/>
    <w:rsid w:val="009D09A1"/>
    <w:rsid w:val="009E05CE"/>
    <w:rsid w:val="009E2636"/>
    <w:rsid w:val="009E3465"/>
    <w:rsid w:val="009E352A"/>
    <w:rsid w:val="009E3A89"/>
    <w:rsid w:val="009E5D31"/>
    <w:rsid w:val="009E7EA3"/>
    <w:rsid w:val="009F12D9"/>
    <w:rsid w:val="009F23E9"/>
    <w:rsid w:val="009F375D"/>
    <w:rsid w:val="00A02662"/>
    <w:rsid w:val="00A046FA"/>
    <w:rsid w:val="00A05CE0"/>
    <w:rsid w:val="00A069E5"/>
    <w:rsid w:val="00A06BFC"/>
    <w:rsid w:val="00A10B92"/>
    <w:rsid w:val="00A16B9B"/>
    <w:rsid w:val="00A17FB8"/>
    <w:rsid w:val="00A20158"/>
    <w:rsid w:val="00A23D4D"/>
    <w:rsid w:val="00A244DF"/>
    <w:rsid w:val="00A30ED6"/>
    <w:rsid w:val="00A332B3"/>
    <w:rsid w:val="00A333A3"/>
    <w:rsid w:val="00A50797"/>
    <w:rsid w:val="00A50C5A"/>
    <w:rsid w:val="00A54DEE"/>
    <w:rsid w:val="00A55720"/>
    <w:rsid w:val="00A61AC6"/>
    <w:rsid w:val="00A6377F"/>
    <w:rsid w:val="00A704D6"/>
    <w:rsid w:val="00A743F4"/>
    <w:rsid w:val="00A817B7"/>
    <w:rsid w:val="00A82A47"/>
    <w:rsid w:val="00A83EE5"/>
    <w:rsid w:val="00A87C2C"/>
    <w:rsid w:val="00A90BFD"/>
    <w:rsid w:val="00A937FC"/>
    <w:rsid w:val="00A94F36"/>
    <w:rsid w:val="00A978EB"/>
    <w:rsid w:val="00AA094C"/>
    <w:rsid w:val="00AA0BEF"/>
    <w:rsid w:val="00AA1D45"/>
    <w:rsid w:val="00AA1EE3"/>
    <w:rsid w:val="00AA2715"/>
    <w:rsid w:val="00AA60E4"/>
    <w:rsid w:val="00AA7890"/>
    <w:rsid w:val="00AB0AC0"/>
    <w:rsid w:val="00AB21B4"/>
    <w:rsid w:val="00AB2578"/>
    <w:rsid w:val="00AB435F"/>
    <w:rsid w:val="00AB4E9E"/>
    <w:rsid w:val="00AC031E"/>
    <w:rsid w:val="00AC4D17"/>
    <w:rsid w:val="00AC71D8"/>
    <w:rsid w:val="00AC77F7"/>
    <w:rsid w:val="00AD3B16"/>
    <w:rsid w:val="00AD56BB"/>
    <w:rsid w:val="00AE1905"/>
    <w:rsid w:val="00AE3F67"/>
    <w:rsid w:val="00AE562E"/>
    <w:rsid w:val="00AF066D"/>
    <w:rsid w:val="00AF0E67"/>
    <w:rsid w:val="00AF1B4C"/>
    <w:rsid w:val="00AF2756"/>
    <w:rsid w:val="00AF2AD4"/>
    <w:rsid w:val="00AF3383"/>
    <w:rsid w:val="00AF3EBE"/>
    <w:rsid w:val="00AF764A"/>
    <w:rsid w:val="00B01EF3"/>
    <w:rsid w:val="00B01F25"/>
    <w:rsid w:val="00B03035"/>
    <w:rsid w:val="00B0470C"/>
    <w:rsid w:val="00B10FA1"/>
    <w:rsid w:val="00B21158"/>
    <w:rsid w:val="00B2223A"/>
    <w:rsid w:val="00B22245"/>
    <w:rsid w:val="00B23E23"/>
    <w:rsid w:val="00B272DA"/>
    <w:rsid w:val="00B274E3"/>
    <w:rsid w:val="00B4000E"/>
    <w:rsid w:val="00B465A0"/>
    <w:rsid w:val="00B51026"/>
    <w:rsid w:val="00B564C6"/>
    <w:rsid w:val="00B56758"/>
    <w:rsid w:val="00B56F04"/>
    <w:rsid w:val="00B5704D"/>
    <w:rsid w:val="00B60195"/>
    <w:rsid w:val="00B62FF3"/>
    <w:rsid w:val="00B630D6"/>
    <w:rsid w:val="00B631E0"/>
    <w:rsid w:val="00B65048"/>
    <w:rsid w:val="00B7346A"/>
    <w:rsid w:val="00B80160"/>
    <w:rsid w:val="00B81B97"/>
    <w:rsid w:val="00B84594"/>
    <w:rsid w:val="00B90BCA"/>
    <w:rsid w:val="00B90C2C"/>
    <w:rsid w:val="00B92CA3"/>
    <w:rsid w:val="00B95DC6"/>
    <w:rsid w:val="00B9778A"/>
    <w:rsid w:val="00BA1C0C"/>
    <w:rsid w:val="00BA2270"/>
    <w:rsid w:val="00BA3108"/>
    <w:rsid w:val="00BA4C0B"/>
    <w:rsid w:val="00BA7A9C"/>
    <w:rsid w:val="00BB1D03"/>
    <w:rsid w:val="00BB357B"/>
    <w:rsid w:val="00BB60C6"/>
    <w:rsid w:val="00BB6555"/>
    <w:rsid w:val="00BB6A03"/>
    <w:rsid w:val="00BC0BA8"/>
    <w:rsid w:val="00BC0D67"/>
    <w:rsid w:val="00BC778C"/>
    <w:rsid w:val="00BD0175"/>
    <w:rsid w:val="00BD0D9D"/>
    <w:rsid w:val="00BD31BD"/>
    <w:rsid w:val="00BD6A5C"/>
    <w:rsid w:val="00BE5075"/>
    <w:rsid w:val="00BE537C"/>
    <w:rsid w:val="00BE54C7"/>
    <w:rsid w:val="00BE5641"/>
    <w:rsid w:val="00BE6BD9"/>
    <w:rsid w:val="00BF1363"/>
    <w:rsid w:val="00BF46C2"/>
    <w:rsid w:val="00C01E4B"/>
    <w:rsid w:val="00C02129"/>
    <w:rsid w:val="00C04087"/>
    <w:rsid w:val="00C0568D"/>
    <w:rsid w:val="00C07A09"/>
    <w:rsid w:val="00C117B7"/>
    <w:rsid w:val="00C122E7"/>
    <w:rsid w:val="00C134E1"/>
    <w:rsid w:val="00C13AA9"/>
    <w:rsid w:val="00C14022"/>
    <w:rsid w:val="00C15CFD"/>
    <w:rsid w:val="00C2160E"/>
    <w:rsid w:val="00C22691"/>
    <w:rsid w:val="00C406E1"/>
    <w:rsid w:val="00C40793"/>
    <w:rsid w:val="00C500BF"/>
    <w:rsid w:val="00C51842"/>
    <w:rsid w:val="00C5279A"/>
    <w:rsid w:val="00C554D1"/>
    <w:rsid w:val="00C61044"/>
    <w:rsid w:val="00C63DDE"/>
    <w:rsid w:val="00C7016F"/>
    <w:rsid w:val="00C70F89"/>
    <w:rsid w:val="00C74F7E"/>
    <w:rsid w:val="00C82E50"/>
    <w:rsid w:val="00C8476E"/>
    <w:rsid w:val="00C84C81"/>
    <w:rsid w:val="00C90718"/>
    <w:rsid w:val="00C93A95"/>
    <w:rsid w:val="00C956B3"/>
    <w:rsid w:val="00C956FB"/>
    <w:rsid w:val="00C966CF"/>
    <w:rsid w:val="00CA038E"/>
    <w:rsid w:val="00CA2B45"/>
    <w:rsid w:val="00CA2F0E"/>
    <w:rsid w:val="00CA4F52"/>
    <w:rsid w:val="00CA7916"/>
    <w:rsid w:val="00CA7CD6"/>
    <w:rsid w:val="00CB0946"/>
    <w:rsid w:val="00CB19FD"/>
    <w:rsid w:val="00CB1D39"/>
    <w:rsid w:val="00CB5DA3"/>
    <w:rsid w:val="00CB5F96"/>
    <w:rsid w:val="00CC2FE9"/>
    <w:rsid w:val="00CC2FFE"/>
    <w:rsid w:val="00CC7AF8"/>
    <w:rsid w:val="00CD60B9"/>
    <w:rsid w:val="00CD6794"/>
    <w:rsid w:val="00CD6D4D"/>
    <w:rsid w:val="00CD7196"/>
    <w:rsid w:val="00CE00B6"/>
    <w:rsid w:val="00CE4420"/>
    <w:rsid w:val="00CE4951"/>
    <w:rsid w:val="00CF13CE"/>
    <w:rsid w:val="00D00A46"/>
    <w:rsid w:val="00D04919"/>
    <w:rsid w:val="00D067CF"/>
    <w:rsid w:val="00D06A18"/>
    <w:rsid w:val="00D108D7"/>
    <w:rsid w:val="00D11D22"/>
    <w:rsid w:val="00D14DD9"/>
    <w:rsid w:val="00D157C3"/>
    <w:rsid w:val="00D1719C"/>
    <w:rsid w:val="00D20D63"/>
    <w:rsid w:val="00D25192"/>
    <w:rsid w:val="00D25E5F"/>
    <w:rsid w:val="00D2736D"/>
    <w:rsid w:val="00D31111"/>
    <w:rsid w:val="00D3132A"/>
    <w:rsid w:val="00D37CFE"/>
    <w:rsid w:val="00D433F3"/>
    <w:rsid w:val="00D4356C"/>
    <w:rsid w:val="00D45940"/>
    <w:rsid w:val="00D47485"/>
    <w:rsid w:val="00D509ED"/>
    <w:rsid w:val="00D50CE8"/>
    <w:rsid w:val="00D52854"/>
    <w:rsid w:val="00D53110"/>
    <w:rsid w:val="00D55A76"/>
    <w:rsid w:val="00D60490"/>
    <w:rsid w:val="00D62733"/>
    <w:rsid w:val="00D63CFA"/>
    <w:rsid w:val="00D67762"/>
    <w:rsid w:val="00D710FB"/>
    <w:rsid w:val="00D74A08"/>
    <w:rsid w:val="00D7724D"/>
    <w:rsid w:val="00D818E0"/>
    <w:rsid w:val="00D83309"/>
    <w:rsid w:val="00D83F7E"/>
    <w:rsid w:val="00D84913"/>
    <w:rsid w:val="00D859E6"/>
    <w:rsid w:val="00D87C16"/>
    <w:rsid w:val="00D9008B"/>
    <w:rsid w:val="00D9167E"/>
    <w:rsid w:val="00D9737A"/>
    <w:rsid w:val="00DA19BA"/>
    <w:rsid w:val="00DA19DB"/>
    <w:rsid w:val="00DA4C1B"/>
    <w:rsid w:val="00DA559B"/>
    <w:rsid w:val="00DA5A23"/>
    <w:rsid w:val="00DA7A68"/>
    <w:rsid w:val="00DC173D"/>
    <w:rsid w:val="00DC2680"/>
    <w:rsid w:val="00DC2F4E"/>
    <w:rsid w:val="00DC312E"/>
    <w:rsid w:val="00DC35AC"/>
    <w:rsid w:val="00DC3717"/>
    <w:rsid w:val="00DC5C76"/>
    <w:rsid w:val="00DC6BEA"/>
    <w:rsid w:val="00DC755B"/>
    <w:rsid w:val="00DD3017"/>
    <w:rsid w:val="00DD51F4"/>
    <w:rsid w:val="00DD59D6"/>
    <w:rsid w:val="00DD7942"/>
    <w:rsid w:val="00DE02C1"/>
    <w:rsid w:val="00DE1844"/>
    <w:rsid w:val="00DE22E2"/>
    <w:rsid w:val="00DE2F73"/>
    <w:rsid w:val="00DE3542"/>
    <w:rsid w:val="00DE4CF9"/>
    <w:rsid w:val="00DE55C9"/>
    <w:rsid w:val="00DE67D6"/>
    <w:rsid w:val="00DF2F8D"/>
    <w:rsid w:val="00DF528D"/>
    <w:rsid w:val="00DF66C1"/>
    <w:rsid w:val="00DF6B51"/>
    <w:rsid w:val="00E07FA9"/>
    <w:rsid w:val="00E135DE"/>
    <w:rsid w:val="00E13D5E"/>
    <w:rsid w:val="00E13D77"/>
    <w:rsid w:val="00E14766"/>
    <w:rsid w:val="00E16AC7"/>
    <w:rsid w:val="00E2137A"/>
    <w:rsid w:val="00E27AD1"/>
    <w:rsid w:val="00E30257"/>
    <w:rsid w:val="00E309D4"/>
    <w:rsid w:val="00E31EA9"/>
    <w:rsid w:val="00E348CA"/>
    <w:rsid w:val="00E3653B"/>
    <w:rsid w:val="00E40D39"/>
    <w:rsid w:val="00E4125F"/>
    <w:rsid w:val="00E471CD"/>
    <w:rsid w:val="00E5628E"/>
    <w:rsid w:val="00E60FC5"/>
    <w:rsid w:val="00E62BF3"/>
    <w:rsid w:val="00E71034"/>
    <w:rsid w:val="00E710D4"/>
    <w:rsid w:val="00E72176"/>
    <w:rsid w:val="00E74D9C"/>
    <w:rsid w:val="00E84205"/>
    <w:rsid w:val="00E919D9"/>
    <w:rsid w:val="00E941E4"/>
    <w:rsid w:val="00E95005"/>
    <w:rsid w:val="00EA0168"/>
    <w:rsid w:val="00EA171A"/>
    <w:rsid w:val="00EA1D52"/>
    <w:rsid w:val="00EA20E2"/>
    <w:rsid w:val="00EA6D19"/>
    <w:rsid w:val="00EB15A1"/>
    <w:rsid w:val="00EB7981"/>
    <w:rsid w:val="00EC14F4"/>
    <w:rsid w:val="00EC2528"/>
    <w:rsid w:val="00EC2BCB"/>
    <w:rsid w:val="00EC3CF9"/>
    <w:rsid w:val="00EC43D6"/>
    <w:rsid w:val="00EC46CC"/>
    <w:rsid w:val="00ED06E8"/>
    <w:rsid w:val="00ED0FE2"/>
    <w:rsid w:val="00ED5A06"/>
    <w:rsid w:val="00ED6190"/>
    <w:rsid w:val="00ED61BE"/>
    <w:rsid w:val="00ED7FEB"/>
    <w:rsid w:val="00EE2769"/>
    <w:rsid w:val="00EE4AE8"/>
    <w:rsid w:val="00EE678B"/>
    <w:rsid w:val="00EF0807"/>
    <w:rsid w:val="00EF3108"/>
    <w:rsid w:val="00EF4C29"/>
    <w:rsid w:val="00F00901"/>
    <w:rsid w:val="00F012C8"/>
    <w:rsid w:val="00F01C68"/>
    <w:rsid w:val="00F05C46"/>
    <w:rsid w:val="00F05C87"/>
    <w:rsid w:val="00F072CF"/>
    <w:rsid w:val="00F10AC6"/>
    <w:rsid w:val="00F11001"/>
    <w:rsid w:val="00F1387B"/>
    <w:rsid w:val="00F17360"/>
    <w:rsid w:val="00F17D26"/>
    <w:rsid w:val="00F2030E"/>
    <w:rsid w:val="00F20EA9"/>
    <w:rsid w:val="00F23E0B"/>
    <w:rsid w:val="00F24CF0"/>
    <w:rsid w:val="00F24D1A"/>
    <w:rsid w:val="00F26688"/>
    <w:rsid w:val="00F27982"/>
    <w:rsid w:val="00F30C02"/>
    <w:rsid w:val="00F30EDC"/>
    <w:rsid w:val="00F31D3D"/>
    <w:rsid w:val="00F363D8"/>
    <w:rsid w:val="00F37C7C"/>
    <w:rsid w:val="00F40D2E"/>
    <w:rsid w:val="00F41FFE"/>
    <w:rsid w:val="00F42ECF"/>
    <w:rsid w:val="00F45536"/>
    <w:rsid w:val="00F45AEB"/>
    <w:rsid w:val="00F52800"/>
    <w:rsid w:val="00F55598"/>
    <w:rsid w:val="00F5798C"/>
    <w:rsid w:val="00F608CE"/>
    <w:rsid w:val="00F63465"/>
    <w:rsid w:val="00F72BB8"/>
    <w:rsid w:val="00F73DDB"/>
    <w:rsid w:val="00F764B2"/>
    <w:rsid w:val="00F76FF2"/>
    <w:rsid w:val="00F80CD2"/>
    <w:rsid w:val="00F836CF"/>
    <w:rsid w:val="00F83B4B"/>
    <w:rsid w:val="00F83F0A"/>
    <w:rsid w:val="00F95B05"/>
    <w:rsid w:val="00F96FB7"/>
    <w:rsid w:val="00FA1523"/>
    <w:rsid w:val="00FA3F51"/>
    <w:rsid w:val="00FA45CB"/>
    <w:rsid w:val="00FB1561"/>
    <w:rsid w:val="00FB2408"/>
    <w:rsid w:val="00FB607F"/>
    <w:rsid w:val="00FB62F8"/>
    <w:rsid w:val="00FB7C79"/>
    <w:rsid w:val="00FD1296"/>
    <w:rsid w:val="00FD5F08"/>
    <w:rsid w:val="00FE2D2B"/>
    <w:rsid w:val="00FF1799"/>
    <w:rsid w:val="00FF1A51"/>
    <w:rsid w:val="00FF2F12"/>
    <w:rsid w:val="00FF6F6C"/>
    <w:rsid w:val="00FF7AB8"/>
    <w:rsid w:val="0A3A3701"/>
    <w:rsid w:val="61E16ABF"/>
    <w:rsid w:val="679E1DBF"/>
    <w:rsid w:val="6BB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28A2"/>
  <w15:docId w15:val="{D26C5BB5-3257-4675-96D9-D2A4CEB7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Pr>
      <w:color w:val="954F72" w:themeColor="followedHyperlink"/>
      <w:u w:val="single"/>
    </w:rPr>
  </w:style>
  <w:style w:type="character" w:styleId="a5">
    <w:name w:val="footnote reference"/>
    <w:basedOn w:val="a1"/>
    <w:uiPriority w:val="99"/>
    <w:semiHidden/>
    <w:unhideWhenUsed/>
    <w:qFormat/>
    <w:rPr>
      <w:vertAlign w:val="superscript"/>
    </w:rPr>
  </w:style>
  <w:style w:type="character" w:styleId="a6">
    <w:name w:val="Emphasis"/>
    <w:basedOn w:val="a1"/>
    <w:uiPriority w:val="20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footnote text"/>
    <w:basedOn w:val="a0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header"/>
    <w:basedOn w:val="a0"/>
    <w:link w:val="ad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0"/>
    <w:next w:val="a0"/>
    <w:autoRedefine/>
    <w:uiPriority w:val="39"/>
    <w:unhideWhenUsed/>
    <w:qFormat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qFormat/>
    <w:pPr>
      <w:spacing w:after="100"/>
      <w:ind w:left="440"/>
    </w:pPr>
  </w:style>
  <w:style w:type="paragraph" w:styleId="21">
    <w:name w:val="toc 2"/>
    <w:basedOn w:val="a0"/>
    <w:next w:val="a0"/>
    <w:autoRedefine/>
    <w:uiPriority w:val="39"/>
    <w:unhideWhenUsed/>
    <w:qFormat/>
    <w:pPr>
      <w:spacing w:after="100"/>
      <w:ind w:left="220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e">
    <w:name w:val="footer"/>
    <w:basedOn w:val="a0"/>
    <w:link w:val="af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Normal (Web)"/>
    <w:basedOn w:val="a0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Subtitle"/>
    <w:basedOn w:val="a0"/>
    <w:next w:val="a0"/>
    <w:link w:val="af2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table" w:styleId="af3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0"/>
    <w:uiPriority w:val="34"/>
    <w:qFormat/>
    <w:pPr>
      <w:ind w:left="720"/>
      <w:contextualSpacing/>
    </w:pPr>
  </w:style>
  <w:style w:type="character" w:customStyle="1" w:styleId="12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customStyle="1" w:styleId="13">
    <w:name w:val="Заголовок оглавления1"/>
    <w:basedOn w:val="1"/>
    <w:next w:val="a0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d">
    <w:name w:val="Верхний колонтитул Знак"/>
    <w:basedOn w:val="a1"/>
    <w:link w:val="ac"/>
    <w:uiPriority w:val="99"/>
    <w:qFormat/>
  </w:style>
  <w:style w:type="character" w:customStyle="1" w:styleId="af">
    <w:name w:val="Нижний колонтитул Знак"/>
    <w:basedOn w:val="a1"/>
    <w:link w:val="ae"/>
    <w:uiPriority w:val="99"/>
    <w:qFormat/>
  </w:style>
  <w:style w:type="character" w:customStyle="1" w:styleId="20">
    <w:name w:val="Заголовок 2 Знак"/>
    <w:basedOn w:val="a1"/>
    <w:link w:val="2"/>
    <w:uiPriority w:val="9"/>
    <w:qFormat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Pr>
      <w:rFonts w:ascii="Times New Roman" w:eastAsiaTheme="majorEastAsia" w:hAnsi="Times New Roman" w:cstheme="majorBidi"/>
      <w:b/>
      <w:sz w:val="24"/>
      <w:szCs w:val="24"/>
    </w:rPr>
  </w:style>
  <w:style w:type="character" w:styleId="af5">
    <w:name w:val="Placeholder Text"/>
    <w:basedOn w:val="a1"/>
    <w:uiPriority w:val="99"/>
    <w:semiHidden/>
    <w:qFormat/>
    <w:rPr>
      <w:color w:val="808080"/>
    </w:rPr>
  </w:style>
  <w:style w:type="character" w:customStyle="1" w:styleId="a9">
    <w:name w:val="Текст выноски Знак"/>
    <w:basedOn w:val="a1"/>
    <w:link w:val="a8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2">
    <w:name w:val="Подзаголовок Знак"/>
    <w:basedOn w:val="a1"/>
    <w:link w:val="af1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qFormat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uiPriority w:val="9"/>
    <w:qFormat/>
    <w:rPr>
      <w:rFonts w:asciiTheme="majorHAnsi" w:eastAsiaTheme="majorEastAsia" w:hAnsiTheme="majorHAnsi" w:cstheme="majorBidi"/>
      <w:color w:val="1F3864" w:themeColor="accent1" w:themeShade="80"/>
    </w:rPr>
  </w:style>
  <w:style w:type="paragraph" w:styleId="af6">
    <w:name w:val="No Spacing"/>
    <w:uiPriority w:val="1"/>
    <w:qFormat/>
    <w:rPr>
      <w:rFonts w:eastAsiaTheme="minorHAnsi" w:cstheme="minorBidi"/>
      <w:sz w:val="24"/>
      <w:szCs w:val="22"/>
      <w:lang w:eastAsia="en-US"/>
    </w:rPr>
  </w:style>
  <w:style w:type="character" w:customStyle="1" w:styleId="ab">
    <w:name w:val="Текст сноски Знак"/>
    <w:basedOn w:val="a1"/>
    <w:link w:val="aa"/>
    <w:uiPriority w:val="99"/>
    <w:semiHidden/>
    <w:qFormat/>
    <w:rPr>
      <w:rFonts w:ascii="Times New Roman" w:hAnsi="Times New Roman"/>
      <w:sz w:val="20"/>
      <w:szCs w:val="20"/>
    </w:rPr>
  </w:style>
  <w:style w:type="character" w:customStyle="1" w:styleId="22">
    <w:name w:val="Неразрешенное упоминание2"/>
    <w:basedOn w:val="a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ДОр20</b:Tag>
    <b:SourceType>Report</b:SourceType>
    <b:Guid>{D76A45F8-BF72-4DF8-B4A4-22E5AEA0ECD7}</b:Guid>
    <b:Title>КРИВАЯ ФИЛЛИПСА: ИНФЛЯЦИЯ И NAIRU В РОССИЙСКИХ РЕГИОНАХ</b:Title>
    <b:Year>2020</b:Year>
    <b:Publisher>Серия докладов об экономических исследованиях</b:Publisher>
    <b:Author>
      <b:Author>
        <b:Corporate>Д. Орлов, Е. Постников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E2F3A9-E56C-49CE-81F0-F551488F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Кузина</dc:creator>
  <cp:lastModifiedBy>Анфимов Александр Дмитриевич</cp:lastModifiedBy>
  <cp:revision>5</cp:revision>
  <cp:lastPrinted>2022-05-30T07:24:00Z</cp:lastPrinted>
  <dcterms:created xsi:type="dcterms:W3CDTF">2025-06-21T11:21:00Z</dcterms:created>
  <dcterms:modified xsi:type="dcterms:W3CDTF">2025-06-28T11:17:00Z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FFC0CEF174EC45E48FB294BA32899432_12</vt:lpwstr>
  </property>
</Properties>
</file>