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AHDS Mini Project #3</w:t>
        <w:br/>
      </w:r>
      <w:r>
        <w:rPr>
          <w:sz w:val="36"/>
        </w:rPr>
        <w:t>Linear 0–10 V DC Control Interface</w:t>
      </w:r>
    </w:p>
    <w:p>
      <w:pPr>
        <w:pStyle w:val="Normal"/>
        <w:jc w:val="center"/>
        <w:rPr>
          <w:rFonts w:hint="eastAsia"/>
          <w:lang w:val="fr-CA"/>
        </w:rPr>
      </w:pPr>
      <w:r>
        <w:rPr>
          <w:i/>
          <w:sz w:val="22"/>
          <w:lang w:val="fr-CA"/>
        </w:rPr>
        <w:t>Calculs et description technique</w:t>
      </w:r>
    </w:p>
    <w:p>
      <w:pPr>
        <w:pStyle w:val="Normal"/>
        <w:jc w:val="center"/>
        <w:rPr>
          <w:rFonts w:hint="eastAsia"/>
          <w:lang w:val="fr-CA"/>
        </w:rPr>
      </w:pPr>
      <w:r>
        <w:rPr>
          <w:rFonts w:hint="eastAsia"/>
          <w:i/>
          <w:sz w:val="22"/>
          <w:lang w:val="fr-CA"/>
        </w:rPr>
        <w:drawing>
          <wp:anchor distT="0" distB="0" distL="0" distR="0" simplePos="0" relativeHeight="2" behindDoc="0" locked="0" layoutInCell="0" allowOverlap="1">
            <wp:simplePos x="0" y="0"/>
            <wp:positionH relativeFrom="column">
              <wp:posOffset>-85725</wp:posOffset>
            </wp:positionH>
            <wp:positionV relativeFrom="paragraph">
              <wp:posOffset>36830</wp:posOffset>
            </wp:positionV>
            <wp:extent cx="6400800" cy="3416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3416935"/>
                    </a:xfrm>
                    <a:prstGeom prst="rect">
                      <a:avLst/>
                    </a:prstGeom>
                    <a:noFill/>
                  </pic:spPr>
                </pic:pic>
              </a:graphicData>
            </a:graphic>
          </wp:anchor>
        </w:drawing>
      </w:r>
    </w:p>
    <w:p>
      <w:pPr>
        <w:pStyle w:val="Heading1"/>
        <w:rPr>
          <w:lang w:val="fr-CA"/>
        </w:rPr>
      </w:pPr>
      <w:r>
        <w:rPr>
          <w:lang w:val="fr-CA"/>
        </w:rPr>
        <w:t xml:space="preserve">image 1 </w:t>
      </w:r>
      <w:r>
        <w:rPr>
          <w:rStyle w:val="Strong"/>
          <w:b/>
          <w:bCs/>
        </w:rPr>
        <w:t>Schéma électrique</w:t>
      </w:r>
      <w:r>
        <w:rPr/>
        <w:t xml:space="preserve"> </w:t>
      </w:r>
    </w:p>
    <w:p>
      <w:pPr>
        <w:pStyle w:val="Heading1"/>
        <w:rPr>
          <w:lang w:val="fr-CA"/>
        </w:rPr>
      </w:pPr>
      <w:r>
        <w:rPr>
          <w:lang w:val="fr-CA"/>
        </w:rPr>
      </w:r>
    </w:p>
    <w:p>
      <w:pPr>
        <w:pStyle w:val="Heading1"/>
        <w:rPr>
          <w:lang w:val="fr-CA"/>
        </w:rPr>
      </w:pPr>
      <w:r>
        <w:rPr>
          <w:lang w:val="fr-CA"/>
        </w:rPr>
        <w:t>1. Objectif du circuit</w:t>
      </w:r>
    </w:p>
    <w:p>
      <w:pPr>
        <w:pStyle w:val="Normal"/>
        <w:rPr>
          <w:rFonts w:hint="eastAsia"/>
          <w:lang w:val="fr-CA"/>
        </w:rPr>
      </w:pPr>
      <w:r>
        <w:rPr>
          <w:lang w:val="fr-CA"/>
        </w:rPr>
        <w:t>Ce circuit fournit une tension continue réglable de 0 à environ 10 V. La tension de sortie varie de manière continue en fonction de la position du potentiomètre et est tamponnée par un amplificateur opérationnel configuré en suiveur de tension.</w:t>
      </w:r>
    </w:p>
    <w:p>
      <w:pPr>
        <w:pStyle w:val="Normal"/>
        <w:rPr>
          <w:rFonts w:hint="eastAsia"/>
          <w:lang w:val="fr-CA"/>
        </w:rPr>
      </w:pPr>
      <w:r>
        <w:rPr>
          <w:lang w:val="fr-CA"/>
        </w:rPr>
        <w:t>L’interface peut être utilisée pour commander une entrée de gradation LED 0–10 V ou un autre équipement industriel compatible avec une commande analogique continue.</w:t>
      </w:r>
    </w:p>
    <w:p>
      <w:pPr>
        <w:pStyle w:val="ListBullet"/>
        <w:numPr>
          <w:ilvl w:val="0"/>
          <w:numId w:val="2"/>
        </w:numPr>
        <w:spacing w:before="0" w:after="40"/>
        <w:contextualSpacing/>
        <w:rPr>
          <w:rFonts w:hint="eastAsia"/>
          <w:lang w:val="fr-CA"/>
        </w:rPr>
      </w:pPr>
      <w:r>
        <w:rPr>
          <w:lang w:val="fr-CA"/>
        </w:rPr>
        <w:t>Alimentation AC/DC isolée de 15 V.</w:t>
      </w:r>
    </w:p>
    <w:p>
      <w:pPr>
        <w:pStyle w:val="ListBullet"/>
        <w:numPr>
          <w:ilvl w:val="0"/>
          <w:numId w:val="2"/>
        </w:numPr>
        <w:spacing w:before="0" w:after="40"/>
        <w:contextualSpacing/>
        <w:rPr>
          <w:rFonts w:hint="eastAsia"/>
        </w:rPr>
      </w:pPr>
      <w:r>
        <w:rPr/>
        <w:t>Sortie auxiliaire de 3,3 V.</w:t>
      </w:r>
    </w:p>
    <w:p>
      <w:pPr>
        <w:pStyle w:val="ListBullet"/>
        <w:numPr>
          <w:ilvl w:val="0"/>
          <w:numId w:val="2"/>
        </w:numPr>
        <w:spacing w:before="0" w:after="40"/>
        <w:contextualSpacing/>
        <w:rPr>
          <w:rFonts w:hint="eastAsia"/>
          <w:lang w:val="fr-CA"/>
        </w:rPr>
      </w:pPr>
      <w:r>
        <w:rPr>
          <w:lang w:val="fr-CA"/>
        </w:rPr>
        <w:t>Réglage continu de la consigne 0–10 V.</w:t>
      </w:r>
    </w:p>
    <w:p>
      <w:pPr>
        <w:pStyle w:val="ListBullet"/>
        <w:numPr>
          <w:ilvl w:val="0"/>
          <w:numId w:val="2"/>
        </w:numPr>
        <w:spacing w:before="0" w:after="40"/>
        <w:contextualSpacing/>
        <w:rPr>
          <w:rFonts w:hint="eastAsia"/>
          <w:lang w:val="fr-CA"/>
        </w:rPr>
      </w:pPr>
      <w:r>
        <w:rPr>
          <w:lang w:val="fr-CA"/>
        </w:rPr>
        <w:t>Buffer analogique à gain unitaire.</w:t>
      </w:r>
    </w:p>
    <w:p>
      <w:pPr>
        <w:pStyle w:val="ListBullet"/>
        <w:numPr>
          <w:ilvl w:val="0"/>
          <w:numId w:val="2"/>
        </w:numPr>
        <w:spacing w:before="0" w:after="40"/>
        <w:contextualSpacing/>
        <w:rPr>
          <w:rFonts w:hint="eastAsia"/>
          <w:lang w:val="fr-CA"/>
        </w:rPr>
      </w:pPr>
      <w:r>
        <w:rPr>
          <w:lang w:val="fr-CA"/>
        </w:rPr>
        <w:t>Filtrage RC de la consigne et de la sortie.</w:t>
      </w:r>
    </w:p>
    <w:p>
      <w:pPr>
        <w:pStyle w:val="ListBullet"/>
        <w:numPr>
          <w:ilvl w:val="0"/>
          <w:numId w:val="2"/>
        </w:numPr>
        <w:spacing w:before="0" w:after="40"/>
        <w:contextualSpacing/>
        <w:rPr>
          <w:rFonts w:hint="eastAsia"/>
          <w:lang w:val="fr-CA"/>
        </w:rPr>
      </w:pPr>
      <w:r>
        <w:rPr>
          <w:lang w:val="fr-CA"/>
        </w:rPr>
        <w:t>Protection série de la sortie et indication LED.</w:t>
      </w:r>
    </w:p>
    <w:p>
      <w:pPr>
        <w:pStyle w:val="Heading1"/>
        <w:rPr>
          <w:lang w:val="fr-CA"/>
        </w:rPr>
      </w:pPr>
      <w:r>
        <w:rPr>
          <w:lang w:val="fr-CA"/>
        </w:rPr>
        <w:t>2. Alimentation principale</w:t>
      </w:r>
    </w:p>
    <w:p>
      <w:pPr>
        <w:pStyle w:val="Normal"/>
        <w:rPr>
          <w:rFonts w:hint="eastAsia"/>
          <w:lang w:val="fr-CA"/>
        </w:rPr>
      </w:pPr>
      <w:r>
        <w:rPr>
          <w:lang w:val="fr-CA"/>
        </w:rPr>
        <w:t>Le module IRM-02-15 convertit la tension secteur en une tension continue isolée de 15 V. Cette tension alimente directement l’étage analogique et sert de référence au réseau de réglage.</w:t>
      </w:r>
    </w:p>
    <w:p>
      <w:pPr>
        <w:pStyle w:val="Normal"/>
        <w:spacing w:before="40" w:after="80"/>
        <w:jc w:val="center"/>
        <w:rPr>
          <w:rFonts w:hint="eastAsia"/>
          <w:lang w:val="fr-CA"/>
        </w:rPr>
      </w:pPr>
      <w:r>
        <w:rPr>
          <w:rFonts w:ascii="Cambria Math" w:hAnsi="Cambria Math"/>
          <w:b/>
          <w:sz w:val="22"/>
          <w:lang w:val="fr-CA"/>
        </w:rPr>
        <w:t>VCC = 15 V</w:t>
      </w:r>
    </w:p>
    <w:p>
      <w:pPr>
        <w:pStyle w:val="Heading1"/>
        <w:rPr>
          <w:lang w:val="fr-CA"/>
        </w:rPr>
      </w:pPr>
      <w:r>
        <w:rPr>
          <w:lang w:val="fr-CA"/>
        </w:rPr>
        <w:t>3. Calcul du réseau de réglage 0–10 V</w:t>
      </w:r>
    </w:p>
    <w:p>
      <w:pPr>
        <w:pStyle w:val="Normal"/>
        <w:rPr>
          <w:rFonts w:hint="eastAsia"/>
          <w:lang w:val="fr-CA"/>
        </w:rPr>
      </w:pPr>
      <w:r>
        <w:rPr>
          <w:lang w:val="fr-CA"/>
        </w:rPr>
        <w:t>Le potentiomètre de 10 k</w:t>
      </w:r>
      <w:r>
        <w:rPr/>
        <w:t>Ω</w:t>
      </w:r>
      <w:r>
        <w:rPr>
          <w:lang w:val="fr-CA"/>
        </w:rPr>
        <w:t xml:space="preserve"> est associé à une résistance fixe de 4,99 k</w:t>
      </w:r>
      <w:r>
        <w:rPr/>
        <w:t>Ω</w:t>
      </w:r>
      <w:r>
        <w:rPr>
          <w:lang w:val="fr-CA"/>
        </w:rPr>
        <w:t xml:space="preserve"> et à une résistance de protection de 100 </w:t>
      </w:r>
      <w:r>
        <w:rPr/>
        <w:t>Ω</w:t>
      </w:r>
      <w:r>
        <w:rPr>
          <w:lang w:val="fr-CA"/>
        </w:rPr>
        <w:t>. Cette combinaison limite matériellement la tension maximale disponible sur le curseur du potentiomètre.</w:t>
      </w:r>
    </w:p>
    <w:p>
      <w:pPr>
        <w:pStyle w:val="Normal"/>
        <w:spacing w:before="40" w:after="80"/>
        <w:jc w:val="center"/>
        <w:rPr>
          <w:rFonts w:hint="eastAsia"/>
        </w:rPr>
      </w:pPr>
      <w:r>
        <w:rPr>
          <w:rFonts w:ascii="Cambria Math" w:hAnsi="Cambria Math"/>
          <w:b/>
          <w:sz w:val="22"/>
        </w:rPr>
        <w:t>VIN = 15 V</w:t>
      </w:r>
    </w:p>
    <w:p>
      <w:pPr>
        <w:pStyle w:val="Normal"/>
        <w:spacing w:before="40" w:after="80"/>
        <w:jc w:val="center"/>
        <w:rPr>
          <w:rFonts w:hint="eastAsia"/>
        </w:rPr>
      </w:pPr>
      <w:r>
        <w:rPr>
          <w:rFonts w:ascii="Cambria Math" w:hAnsi="Cambria Math"/>
          <w:b/>
          <w:sz w:val="22"/>
        </w:rPr>
        <w:t>RTOP = 4,99 kΩ     RPROT = 100 Ω     RPOT = 10 kΩ</w:t>
      </w:r>
    </w:p>
    <w:p>
      <w:pPr>
        <w:pStyle w:val="Normal"/>
        <w:spacing w:before="40" w:after="80"/>
        <w:jc w:val="center"/>
        <w:rPr>
          <w:rFonts w:hint="eastAsia"/>
        </w:rPr>
      </w:pPr>
      <w:r>
        <w:rPr>
          <w:rFonts w:ascii="Cambria Math" w:hAnsi="Cambria Math"/>
          <w:b/>
          <w:sz w:val="22"/>
        </w:rPr>
        <w:t>VMAX = VIN × RPOT / (RTOP + RPROT + RPOT)</w:t>
      </w:r>
    </w:p>
    <w:p>
      <w:pPr>
        <w:pStyle w:val="Normal"/>
        <w:spacing w:before="40" w:after="80"/>
        <w:jc w:val="center"/>
        <w:rPr>
          <w:rFonts w:hint="eastAsia"/>
          <w:lang w:val="fr-CA"/>
        </w:rPr>
      </w:pPr>
      <w:r>
        <w:rPr>
          <w:rFonts w:ascii="Cambria Math" w:hAnsi="Cambria Math"/>
          <w:b/>
          <w:sz w:val="22"/>
          <w:lang w:val="fr-CA"/>
        </w:rPr>
        <w:t>VMAX = 15 × 10000 / (4990 + 100 + 10000)</w:t>
      </w:r>
    </w:p>
    <w:p>
      <w:pPr>
        <w:pStyle w:val="Normal"/>
        <w:spacing w:before="40" w:after="80"/>
        <w:jc w:val="center"/>
        <w:rPr>
          <w:rFonts w:hint="eastAsia"/>
          <w:lang w:val="fr-CA"/>
        </w:rPr>
      </w:pPr>
      <w:r>
        <w:rPr>
          <w:rFonts w:ascii="Cambria Math" w:hAnsi="Cambria Math"/>
          <w:b/>
          <w:sz w:val="22"/>
          <w:lang w:val="fr-CA"/>
        </w:rPr>
        <w:t>VMAX ≈ 9,94 V</w:t>
      </w:r>
    </w:p>
    <w:p>
      <w:pPr>
        <w:pStyle w:val="Normal"/>
        <w:rPr>
          <w:rFonts w:hint="eastAsia"/>
          <w:lang w:val="fr-CA"/>
        </w:rPr>
      </w:pPr>
      <w:r>
        <w:rPr>
          <w:lang w:val="fr-CA"/>
        </w:rPr>
        <w:t xml:space="preserve">La sortie réglable couvre donc approximativement 0 à 9,94 V. La résistance de 100 </w:t>
      </w:r>
      <w:r>
        <w:rPr/>
        <w:t>Ω</w:t>
      </w:r>
      <w:r>
        <w:rPr>
          <w:lang w:val="fr-CA"/>
        </w:rPr>
        <w:t xml:space="preserve"> apporte une marge de protection supplémentaire tout en ayant un effet très faible sur la valeur maximale.</w:t>
      </w:r>
    </w:p>
    <w:p>
      <w:pPr>
        <w:pStyle w:val="Heading1"/>
        <w:rPr>
          <w:lang w:val="fr-CA"/>
        </w:rPr>
      </w:pPr>
      <w:r>
        <w:rPr>
          <w:lang w:val="fr-CA"/>
        </w:rPr>
        <w:t>4. Courant et dissipation du diviseur</w:t>
      </w:r>
    </w:p>
    <w:p>
      <w:pPr>
        <w:pStyle w:val="Normal"/>
        <w:spacing w:before="40" w:after="80"/>
        <w:jc w:val="center"/>
        <w:rPr>
          <w:rFonts w:hint="eastAsia"/>
          <w:lang w:val="fr-CA"/>
        </w:rPr>
      </w:pPr>
      <w:r>
        <w:rPr>
          <w:rFonts w:ascii="Cambria Math" w:hAnsi="Cambria Math"/>
          <w:b/>
          <w:sz w:val="22"/>
          <w:lang w:val="fr-CA"/>
        </w:rPr>
        <w:t>IDIV = VIN / (RTOP + RPROT + RPOT)</w:t>
      </w:r>
    </w:p>
    <w:p>
      <w:pPr>
        <w:pStyle w:val="Normal"/>
        <w:spacing w:before="40" w:after="80"/>
        <w:jc w:val="center"/>
        <w:rPr>
          <w:rFonts w:hint="eastAsia"/>
          <w:lang w:val="fr-CA"/>
        </w:rPr>
      </w:pPr>
      <w:r>
        <w:rPr>
          <w:rFonts w:ascii="Cambria Math" w:hAnsi="Cambria Math"/>
          <w:b/>
          <w:sz w:val="22"/>
          <w:lang w:val="fr-CA"/>
        </w:rPr>
        <w:t>IDIV = 15 / 15090 ≈ 0,994 mA</w:t>
      </w:r>
    </w:p>
    <w:p>
      <w:pPr>
        <w:pStyle w:val="Normal"/>
        <w:rPr>
          <w:rFonts w:hint="eastAsia"/>
          <w:lang w:val="fr-CA"/>
        </w:rPr>
      </w:pPr>
      <w:r>
        <w:rPr>
          <w:lang w:val="fr-CA"/>
        </w:rPr>
        <w:t>À 50 % de la course du potentiomètre :</w:t>
      </w:r>
    </w:p>
    <w:p>
      <w:pPr>
        <w:pStyle w:val="Normal"/>
        <w:spacing w:before="40" w:after="80"/>
        <w:jc w:val="center"/>
        <w:rPr>
          <w:rFonts w:hint="eastAsia"/>
          <w:lang w:val="fr-CA"/>
        </w:rPr>
      </w:pPr>
      <w:r>
        <w:rPr>
          <w:rFonts w:ascii="Cambria Math" w:hAnsi="Cambria Math"/>
          <w:b/>
          <w:sz w:val="22"/>
          <w:lang w:val="fr-CA"/>
        </w:rPr>
        <w:t>V50% ≈ 15 × 5000 / 15090 ≈ 4,97 V</w:t>
      </w:r>
    </w:p>
    <w:p>
      <w:pPr>
        <w:pStyle w:val="Normal"/>
        <w:rPr>
          <w:rFonts w:hint="eastAsia"/>
          <w:lang w:val="fr-CA"/>
        </w:rPr>
      </w:pPr>
      <w:r>
        <w:rPr>
          <w:lang w:val="fr-CA"/>
        </w:rPr>
        <w:t>Dissipations maximales approximatives :</w:t>
      </w:r>
    </w:p>
    <w:p>
      <w:pPr>
        <w:pStyle w:val="Normal"/>
        <w:spacing w:before="40" w:after="80"/>
        <w:jc w:val="center"/>
        <w:rPr>
          <w:rFonts w:hint="eastAsia"/>
          <w:lang w:val="fr-CA"/>
        </w:rPr>
      </w:pPr>
      <w:r>
        <w:rPr>
          <w:rFonts w:ascii="Cambria Math" w:hAnsi="Cambria Math"/>
          <w:b/>
          <w:sz w:val="22"/>
          <w:lang w:val="fr-CA"/>
        </w:rPr>
        <w:t>P4,99k = IDIV² × 4,99 k</w:t>
      </w:r>
      <w:r>
        <w:rPr>
          <w:rFonts w:ascii="Cambria Math" w:hAnsi="Cambria Math"/>
          <w:b/>
          <w:sz w:val="22"/>
        </w:rPr>
        <w:t>Ω</w:t>
      </w:r>
      <w:r>
        <w:rPr>
          <w:rFonts w:ascii="Cambria Math" w:hAnsi="Cambria Math"/>
          <w:b/>
          <w:sz w:val="22"/>
          <w:lang w:val="fr-CA"/>
        </w:rPr>
        <w:t xml:space="preserve"> ≈ 4,93 mW</w:t>
      </w:r>
    </w:p>
    <w:p>
      <w:pPr>
        <w:pStyle w:val="Normal"/>
        <w:spacing w:before="40" w:after="80"/>
        <w:jc w:val="center"/>
        <w:rPr>
          <w:rFonts w:hint="eastAsia"/>
          <w:lang w:val="fr-CA"/>
        </w:rPr>
      </w:pPr>
      <w:r>
        <w:rPr>
          <w:rFonts w:ascii="Cambria Math" w:hAnsi="Cambria Math"/>
          <w:b/>
          <w:sz w:val="22"/>
          <w:lang w:val="fr-CA"/>
        </w:rPr>
        <w:t xml:space="preserve">P100 = IDIV² × 100 </w:t>
      </w:r>
      <w:r>
        <w:rPr>
          <w:rFonts w:ascii="Cambria Math" w:hAnsi="Cambria Math"/>
          <w:b/>
          <w:sz w:val="22"/>
        </w:rPr>
        <w:t>Ω</w:t>
      </w:r>
      <w:r>
        <w:rPr>
          <w:rFonts w:ascii="Cambria Math" w:hAnsi="Cambria Math"/>
          <w:b/>
          <w:sz w:val="22"/>
          <w:lang w:val="fr-CA"/>
        </w:rPr>
        <w:t xml:space="preserve"> ≈ 0,10 mW</w:t>
      </w:r>
    </w:p>
    <w:p>
      <w:pPr>
        <w:pStyle w:val="Normal"/>
        <w:spacing w:before="40" w:after="80"/>
        <w:jc w:val="center"/>
        <w:rPr>
          <w:rFonts w:hint="eastAsia"/>
          <w:lang w:val="fr-CA"/>
        </w:rPr>
      </w:pPr>
      <w:r>
        <w:rPr>
          <w:rFonts w:ascii="Cambria Math" w:hAnsi="Cambria Math"/>
          <w:b/>
          <w:sz w:val="22"/>
          <w:lang w:val="fr-CA"/>
        </w:rPr>
        <w:t>PPOT = IDIV² × 10 k</w:t>
      </w:r>
      <w:r>
        <w:rPr>
          <w:rFonts w:ascii="Cambria Math" w:hAnsi="Cambria Math"/>
          <w:b/>
          <w:sz w:val="22"/>
        </w:rPr>
        <w:t>Ω</w:t>
      </w:r>
      <w:r>
        <w:rPr>
          <w:rFonts w:ascii="Cambria Math" w:hAnsi="Cambria Math"/>
          <w:b/>
          <w:sz w:val="22"/>
          <w:lang w:val="fr-CA"/>
        </w:rPr>
        <w:t xml:space="preserve"> ≈ 9,88 mW</w:t>
      </w:r>
    </w:p>
    <w:p>
      <w:pPr>
        <w:pStyle w:val="Normal"/>
        <w:rPr>
          <w:rFonts w:hint="eastAsia"/>
          <w:lang w:val="fr-CA"/>
        </w:rPr>
      </w:pPr>
      <w:r>
        <w:rPr>
          <w:lang w:val="fr-CA"/>
        </w:rPr>
        <w:t>Ces puissances sont très faibles ; des résistances standard de 0,1 W ou 0,125 W offrent une marge largement suffisante.</w:t>
      </w:r>
    </w:p>
    <w:p>
      <w:pPr>
        <w:pStyle w:val="Heading1"/>
        <w:rPr>
          <w:lang w:val="fr-CA"/>
        </w:rPr>
      </w:pPr>
      <w:r>
        <w:rPr>
          <w:lang w:val="fr-CA"/>
        </w:rPr>
        <w:t>5. Buffer analogique TLV170</w:t>
      </w:r>
    </w:p>
    <w:p>
      <w:pPr>
        <w:pStyle w:val="Normal"/>
        <w:rPr>
          <w:rFonts w:hint="eastAsia"/>
          <w:lang w:val="fr-CA"/>
        </w:rPr>
      </w:pPr>
      <w:r>
        <w:rPr>
          <w:lang w:val="fr-CA"/>
        </w:rPr>
        <w:t>Le TLV170 est utilisé en suiveur de tension : la sortie est rebouclée vers l’entrée inverseuse. Le gain en boucle fermée est donc approximativement égal à 1.</w:t>
      </w:r>
    </w:p>
    <w:p>
      <w:pPr>
        <w:pStyle w:val="Normal"/>
        <w:spacing w:before="40" w:after="80"/>
        <w:jc w:val="center"/>
        <w:rPr>
          <w:rFonts w:hint="eastAsia"/>
          <w:lang w:val="fr-CA"/>
        </w:rPr>
      </w:pPr>
      <w:r>
        <w:rPr>
          <w:rFonts w:ascii="Cambria Math" w:hAnsi="Cambria Math"/>
          <w:b/>
          <w:sz w:val="22"/>
          <w:lang w:val="fr-CA"/>
        </w:rPr>
        <w:t>AV = 1</w:t>
      </w:r>
    </w:p>
    <w:p>
      <w:pPr>
        <w:pStyle w:val="Normal"/>
        <w:spacing w:before="40" w:after="80"/>
        <w:jc w:val="center"/>
        <w:rPr>
          <w:rFonts w:hint="eastAsia"/>
          <w:lang w:val="fr-CA"/>
        </w:rPr>
      </w:pPr>
      <w:r>
        <w:rPr>
          <w:rFonts w:ascii="Cambria Math" w:hAnsi="Cambria Math"/>
          <w:b/>
          <w:sz w:val="22"/>
          <w:lang w:val="fr-CA"/>
        </w:rPr>
        <w:t>VOUT ≈ VIN+</w:t>
      </w:r>
    </w:p>
    <w:p>
      <w:pPr>
        <w:pStyle w:val="Normal"/>
        <w:rPr>
          <w:rFonts w:hint="eastAsia"/>
          <w:lang w:val="fr-CA"/>
        </w:rPr>
      </w:pPr>
      <w:r>
        <w:rPr>
          <w:lang w:val="fr-CA"/>
        </w:rPr>
        <w:t>Le potentiomètre définit la consigne tandis que le buffer évite de charger fortement le diviseur et fournit une impédance de sortie plus faible pour l’interface externe.</w:t>
      </w:r>
    </w:p>
    <w:p>
      <w:pPr>
        <w:pStyle w:val="Heading1"/>
        <w:rPr>
          <w:lang w:val="fr-CA"/>
        </w:rPr>
      </w:pPr>
      <w:r>
        <w:rPr>
          <w:lang w:val="fr-CA"/>
        </w:rPr>
        <w:t>6. Résistance d’entrée R3 et filtre R3–C7</w:t>
      </w:r>
    </w:p>
    <w:p>
      <w:pPr>
        <w:pStyle w:val="Normal"/>
        <w:rPr>
          <w:rFonts w:hint="eastAsia"/>
          <w:lang w:val="fr-CA"/>
        </w:rPr>
      </w:pPr>
      <w:r>
        <w:rPr>
          <w:lang w:val="fr-CA"/>
        </w:rPr>
        <w:t>La résistance R3 = 1 k</w:t>
      </w:r>
      <w:r>
        <w:rPr/>
        <w:t>Ω</w:t>
      </w:r>
      <w:r>
        <w:rPr>
          <w:lang w:val="fr-CA"/>
        </w:rPr>
        <w:t xml:space="preserve"> est placée entre le curseur du potentiomètre et l’entrée non-inverseuse. Elle limite les courants transitoires et, avec C7 = 100 nF, forme un filtre passe-bas.</w:t>
      </w:r>
    </w:p>
    <w:p>
      <w:pPr>
        <w:pStyle w:val="Normal"/>
        <w:spacing w:before="40" w:after="80"/>
        <w:jc w:val="center"/>
        <w:rPr>
          <w:rFonts w:hint="eastAsia"/>
          <w:lang w:val="fr-CA"/>
        </w:rPr>
      </w:pPr>
      <w:r>
        <w:rPr>
          <w:rFonts w:ascii="Cambria Math" w:hAnsi="Cambria Math"/>
          <w:b/>
          <w:sz w:val="22"/>
          <w:lang w:val="fr-CA"/>
        </w:rPr>
        <w:t>fc = 1 / (2</w:t>
      </w:r>
      <w:r>
        <w:rPr>
          <w:rFonts w:ascii="Cambria Math" w:hAnsi="Cambria Math"/>
          <w:b/>
          <w:sz w:val="22"/>
        </w:rPr>
        <w:t>π</w:t>
      </w:r>
      <w:r>
        <w:rPr>
          <w:rFonts w:ascii="Cambria Math" w:hAnsi="Cambria Math"/>
          <w:b/>
          <w:sz w:val="22"/>
          <w:lang w:val="fr-CA"/>
        </w:rPr>
        <w:t>RC)</w:t>
      </w:r>
    </w:p>
    <w:p>
      <w:pPr>
        <w:pStyle w:val="Normal"/>
        <w:spacing w:before="40" w:after="80"/>
        <w:jc w:val="center"/>
        <w:rPr>
          <w:rFonts w:hint="eastAsia"/>
          <w:lang w:val="fr-CA"/>
        </w:rPr>
      </w:pPr>
      <w:r>
        <w:rPr>
          <w:rFonts w:ascii="Cambria Math" w:hAnsi="Cambria Math"/>
          <w:b/>
          <w:sz w:val="22"/>
          <w:lang w:val="fr-CA"/>
        </w:rPr>
        <w:t>fc = 1 / (2</w:t>
      </w:r>
      <w:r>
        <w:rPr>
          <w:rFonts w:ascii="Cambria Math" w:hAnsi="Cambria Math"/>
          <w:b/>
          <w:sz w:val="22"/>
        </w:rPr>
        <w:t>π</w:t>
      </w:r>
      <w:r>
        <w:rPr>
          <w:rFonts w:ascii="Cambria Math" w:hAnsi="Cambria Math"/>
          <w:b/>
          <w:sz w:val="22"/>
          <w:lang w:val="fr-CA"/>
        </w:rPr>
        <w:t xml:space="preserve"> × 1 k</w:t>
      </w:r>
      <w:r>
        <w:rPr>
          <w:rFonts w:ascii="Cambria Math" w:hAnsi="Cambria Math"/>
          <w:b/>
          <w:sz w:val="22"/>
        </w:rPr>
        <w:t>Ω</w:t>
      </w:r>
      <w:r>
        <w:rPr>
          <w:rFonts w:ascii="Cambria Math" w:hAnsi="Cambria Math"/>
          <w:b/>
          <w:sz w:val="22"/>
          <w:lang w:val="fr-CA"/>
        </w:rPr>
        <w:t xml:space="preserve"> × 100 nF) ≈ 1,59 kHz</w:t>
      </w:r>
    </w:p>
    <w:p>
      <w:pPr>
        <w:pStyle w:val="Normal"/>
        <w:rPr>
          <w:rFonts w:hint="eastAsia"/>
          <w:lang w:val="fr-CA"/>
        </w:rPr>
      </w:pPr>
      <w:r>
        <w:rPr>
          <w:lang w:val="fr-CA"/>
        </w:rPr>
        <w:t>Cette fréquence de coupure est largement suffisante pour une commande 0–10 V à variation lente et réduit les perturbations haute fréquence.</w:t>
      </w:r>
    </w:p>
    <w:p>
      <w:pPr>
        <w:pStyle w:val="Heading1"/>
        <w:rPr>
          <w:lang w:val="fr-CA"/>
        </w:rPr>
      </w:pPr>
      <w:r>
        <w:rPr>
          <w:lang w:val="fr-CA"/>
        </w:rPr>
        <w:t>7. Filtrage de sortie R6–C1</w:t>
      </w:r>
    </w:p>
    <w:p>
      <w:pPr>
        <w:pStyle w:val="Normal"/>
        <w:rPr>
          <w:rFonts w:hint="eastAsia"/>
          <w:lang w:val="fr-CA"/>
        </w:rPr>
      </w:pPr>
      <w:r>
        <w:rPr>
          <w:lang w:val="fr-CA"/>
        </w:rPr>
        <w:t>Avec R6 = 1 k</w:t>
      </w:r>
      <w:r>
        <w:rPr/>
        <w:t>Ω</w:t>
      </w:r>
      <w:r>
        <w:rPr>
          <w:lang w:val="fr-CA"/>
        </w:rPr>
        <w:t xml:space="preserve"> et C1 = 100 nF, le filtre de sortie possède la même fréquence de coupure.</w:t>
      </w:r>
    </w:p>
    <w:p>
      <w:pPr>
        <w:pStyle w:val="Normal"/>
        <w:spacing w:before="40" w:after="80"/>
        <w:jc w:val="center"/>
        <w:rPr>
          <w:rFonts w:hint="eastAsia"/>
          <w:lang w:val="fr-CA"/>
        </w:rPr>
      </w:pPr>
      <w:r>
        <w:rPr>
          <w:rFonts w:ascii="Cambria Math" w:hAnsi="Cambria Math"/>
          <w:b/>
          <w:sz w:val="22"/>
          <w:lang w:val="fr-CA"/>
        </w:rPr>
        <w:t>fc ≈ 1,59 kHz</w:t>
      </w:r>
    </w:p>
    <w:p>
      <w:pPr>
        <w:pStyle w:val="Normal"/>
        <w:rPr>
          <w:rFonts w:hint="eastAsia"/>
          <w:lang w:val="fr-CA"/>
        </w:rPr>
      </w:pPr>
      <w:r>
        <w:rPr>
          <w:lang w:val="fr-CA"/>
        </w:rPr>
        <w:t>Ce réseau contribue à stabiliser la tension de commande et à réduire les parasites présents sur la liaison externe.</w:t>
      </w:r>
    </w:p>
    <w:p>
      <w:pPr>
        <w:pStyle w:val="Heading1"/>
        <w:rPr>
          <w:lang w:val="fr-CA"/>
        </w:rPr>
      </w:pPr>
      <w:r>
        <w:rPr>
          <w:lang w:val="fr-CA"/>
        </w:rPr>
        <w:t>8. Résistance série de sortie R4</w:t>
      </w:r>
    </w:p>
    <w:p>
      <w:pPr>
        <w:pStyle w:val="Normal"/>
        <w:rPr>
          <w:rFonts w:hint="eastAsia"/>
          <w:lang w:val="fr-CA"/>
        </w:rPr>
      </w:pPr>
      <w:r>
        <w:rPr>
          <w:lang w:val="fr-CA"/>
        </w:rPr>
        <w:t xml:space="preserve">R4 = 100 </w:t>
      </w:r>
      <w:r>
        <w:rPr/>
        <w:t>Ω</w:t>
      </w:r>
      <w:r>
        <w:rPr>
          <w:lang w:val="fr-CA"/>
        </w:rPr>
        <w:t xml:space="preserve"> est placée en série avec la sortie 0–10 V. Elle limite les courants transitoires, apporte une protection supplémentaire et découple l’amplificateur d’une éventuelle charge capacitive.</w:t>
      </w:r>
    </w:p>
    <w:p>
      <w:pPr>
        <w:pStyle w:val="Normal"/>
        <w:rPr>
          <w:rFonts w:hint="eastAsia"/>
          <w:lang w:val="fr-CA"/>
        </w:rPr>
      </w:pPr>
      <w:r>
        <w:rPr>
          <w:lang w:val="fr-CA"/>
        </w:rPr>
        <w:t>Exemple avec une entrée externe de 100 k</w:t>
      </w:r>
      <w:r>
        <w:rPr/>
        <w:t>Ω</w:t>
      </w:r>
      <w:r>
        <w:rPr>
          <w:lang w:val="fr-CA"/>
        </w:rPr>
        <w:t xml:space="preserve"> :</w:t>
      </w:r>
    </w:p>
    <w:p>
      <w:pPr>
        <w:pStyle w:val="Normal"/>
        <w:spacing w:before="40" w:after="80"/>
        <w:jc w:val="center"/>
        <w:rPr>
          <w:rFonts w:hint="eastAsia"/>
        </w:rPr>
      </w:pPr>
      <w:r>
        <w:rPr>
          <w:rFonts w:ascii="Cambria Math" w:hAnsi="Cambria Math"/>
          <w:b/>
          <w:sz w:val="22"/>
        </w:rPr>
        <w:t>VLOAD / VOUT = 100 kΩ / (100 kΩ + 100 Ω) ≈ 0,999</w:t>
      </w:r>
    </w:p>
    <w:p>
      <w:pPr>
        <w:pStyle w:val="Normal"/>
        <w:rPr>
          <w:rFonts w:hint="eastAsia"/>
          <w:lang w:val="fr-CA"/>
        </w:rPr>
      </w:pPr>
      <w:r>
        <w:rPr>
          <w:lang w:val="fr-CA"/>
        </w:rPr>
        <w:t>La perte de tension due à R4 est donc négligeable pour une charge à haute impédance.</w:t>
      </w:r>
    </w:p>
    <w:p>
      <w:pPr>
        <w:pStyle w:val="Heading1"/>
        <w:rPr>
          <w:lang w:val="fr-CA"/>
        </w:rPr>
      </w:pPr>
      <w:r>
        <w:rPr>
          <w:lang w:val="fr-CA"/>
        </w:rPr>
        <w:t>9. Indication LED</w:t>
      </w:r>
    </w:p>
    <w:p>
      <w:pPr>
        <w:pStyle w:val="Normal"/>
        <w:rPr>
          <w:rFonts w:hint="eastAsia"/>
          <w:lang w:val="fr-CA"/>
        </w:rPr>
      </w:pPr>
      <w:r>
        <w:rPr>
          <w:lang w:val="fr-CA"/>
        </w:rPr>
        <w:t>La LED de présence du 15 V utilise R5 = 4,7 k</w:t>
      </w:r>
      <w:r>
        <w:rPr/>
        <w:t>Ω</w:t>
      </w:r>
      <w:r>
        <w:rPr>
          <w:lang w:val="fr-CA"/>
        </w:rPr>
        <w:t>. En supposant une tension directe d’environ 2 V :</w:t>
      </w:r>
    </w:p>
    <w:p>
      <w:pPr>
        <w:pStyle w:val="Normal"/>
        <w:spacing w:before="40" w:after="80"/>
        <w:jc w:val="center"/>
        <w:rPr>
          <w:rFonts w:hint="eastAsia"/>
          <w:lang w:val="fr-CA"/>
        </w:rPr>
      </w:pPr>
      <w:r>
        <w:rPr>
          <w:rFonts w:ascii="Cambria Math" w:hAnsi="Cambria Math"/>
          <w:b/>
          <w:sz w:val="22"/>
          <w:lang w:val="fr-CA"/>
        </w:rPr>
        <w:t>ILED = (15 − 2) / 4,7 k</w:t>
      </w:r>
      <w:r>
        <w:rPr>
          <w:rFonts w:ascii="Cambria Math" w:hAnsi="Cambria Math"/>
          <w:b/>
          <w:sz w:val="22"/>
        </w:rPr>
        <w:t>Ω</w:t>
      </w:r>
      <w:r>
        <w:rPr>
          <w:rFonts w:ascii="Cambria Math" w:hAnsi="Cambria Math"/>
          <w:b/>
          <w:sz w:val="22"/>
          <w:lang w:val="fr-CA"/>
        </w:rPr>
        <w:t xml:space="preserve"> ≈ 2,77 mA</w:t>
      </w:r>
    </w:p>
    <w:p>
      <w:pPr>
        <w:pStyle w:val="Normal"/>
        <w:spacing w:before="40" w:after="80"/>
        <w:jc w:val="center"/>
        <w:rPr>
          <w:rFonts w:hint="eastAsia"/>
          <w:lang w:val="fr-CA"/>
        </w:rPr>
      </w:pPr>
      <w:r>
        <w:rPr>
          <w:rFonts w:ascii="Cambria Math" w:hAnsi="Cambria Math"/>
          <w:b/>
          <w:sz w:val="22"/>
          <w:lang w:val="fr-CA"/>
        </w:rPr>
        <w:t>PR5 = ILED² × 4,7 k</w:t>
      </w:r>
      <w:r>
        <w:rPr>
          <w:rFonts w:ascii="Cambria Math" w:hAnsi="Cambria Math"/>
          <w:b/>
          <w:sz w:val="22"/>
        </w:rPr>
        <w:t>Ω</w:t>
      </w:r>
      <w:r>
        <w:rPr>
          <w:rFonts w:ascii="Cambria Math" w:hAnsi="Cambria Math"/>
          <w:b/>
          <w:sz w:val="22"/>
          <w:lang w:val="fr-CA"/>
        </w:rPr>
        <w:t xml:space="preserve"> ≈ 36 mW</w:t>
      </w:r>
    </w:p>
    <w:p>
      <w:pPr>
        <w:pStyle w:val="Normal"/>
        <w:rPr>
          <w:rFonts w:hint="eastAsia"/>
          <w:lang w:val="fr-CA"/>
        </w:rPr>
      </w:pPr>
      <w:r>
        <w:rPr>
          <w:lang w:val="fr-CA"/>
        </w:rPr>
        <w:t>Une résistance de 0,125 W est donc suffisante.</w:t>
      </w:r>
    </w:p>
    <w:p>
      <w:pPr>
        <w:pStyle w:val="Heading1"/>
        <w:rPr>
          <w:lang w:val="fr-CA"/>
        </w:rPr>
      </w:pPr>
      <w:r>
        <w:rPr>
          <w:lang w:val="fr-CA"/>
        </w:rPr>
        <w:t>10. Sortie auxiliaire 3,3 V</w:t>
      </w:r>
    </w:p>
    <w:p>
      <w:pPr>
        <w:pStyle w:val="Normal"/>
        <w:rPr>
          <w:rFonts w:hint="eastAsia"/>
          <w:lang w:val="fr-CA"/>
        </w:rPr>
      </w:pPr>
      <w:r>
        <w:rPr>
          <w:lang w:val="fr-CA"/>
        </w:rPr>
        <w:t>Le régulateur linéaire UA78M33 abaisse la tension de 15 V à 3,3 V. La dissipation thermique dépend directement du courant consommé par la sortie 3,3 V.</w:t>
      </w:r>
    </w:p>
    <w:p>
      <w:pPr>
        <w:pStyle w:val="Normal"/>
        <w:spacing w:before="40" w:after="80"/>
        <w:jc w:val="center"/>
        <w:rPr>
          <w:rFonts w:hint="eastAsia"/>
        </w:rPr>
      </w:pPr>
      <w:r>
        <w:rPr>
          <w:rFonts w:ascii="Cambria Math" w:hAnsi="Cambria Math"/>
          <w:b/>
          <w:sz w:val="22"/>
        </w:rPr>
        <w:t>PREG = (VIN − VOUT) × IOUT = (15 − 3,3) × IOUT</w:t>
      </w:r>
    </w:p>
    <w:p>
      <w:pPr>
        <w:pStyle w:val="Normal"/>
        <w:spacing w:before="40" w:after="80"/>
        <w:jc w:val="center"/>
        <w:rPr>
          <w:rFonts w:hint="eastAsia"/>
        </w:rPr>
      </w:pPr>
      <w:r>
        <w:rPr>
          <w:rFonts w:ascii="Cambria Math" w:hAnsi="Cambria Math"/>
          <w:b/>
          <w:sz w:val="22"/>
        </w:rPr>
        <w:t>PREG = 11,7 × IOUT</w:t>
      </w:r>
    </w:p>
    <w:p>
      <w:pPr>
        <w:pStyle w:val="Normal"/>
        <w:rPr>
          <w:rFonts w:hint="eastAsia"/>
          <w:lang w:val="fr-CA"/>
        </w:rPr>
      </w:pPr>
      <w:r>
        <w:rPr>
          <w:lang w:val="fr-CA"/>
        </w:rPr>
        <w:t>Exemples :</w:t>
      </w:r>
    </w:p>
    <w:p>
      <w:pPr>
        <w:pStyle w:val="Normal"/>
        <w:spacing w:before="40" w:after="80"/>
        <w:jc w:val="center"/>
        <w:rPr>
          <w:rFonts w:hint="eastAsia"/>
          <w:lang w:val="fr-CA"/>
        </w:rPr>
      </w:pPr>
      <w:r>
        <w:rPr>
          <w:rFonts w:ascii="Cambria Math" w:hAnsi="Cambria Math"/>
          <w:b/>
          <w:sz w:val="22"/>
          <w:lang w:val="fr-CA"/>
        </w:rPr>
        <w:t>IOUT = 20 mA  →  PREG ≈ 234 mW</w:t>
      </w:r>
    </w:p>
    <w:p>
      <w:pPr>
        <w:pStyle w:val="Normal"/>
        <w:spacing w:before="40" w:after="80"/>
        <w:jc w:val="center"/>
        <w:rPr>
          <w:rFonts w:hint="eastAsia"/>
          <w:lang w:val="fr-CA"/>
        </w:rPr>
      </w:pPr>
      <w:r>
        <w:rPr>
          <w:rFonts w:ascii="Cambria Math" w:hAnsi="Cambria Math"/>
          <w:b/>
          <w:sz w:val="22"/>
          <w:lang w:val="fr-CA"/>
        </w:rPr>
        <w:t>IOUT = 50 mA  →  PREG ≈ 585 mW</w:t>
      </w:r>
    </w:p>
    <w:p>
      <w:pPr>
        <w:pStyle w:val="Normal"/>
        <w:rPr>
          <w:rFonts w:hint="eastAsia"/>
          <w:lang w:val="fr-CA"/>
        </w:rPr>
      </w:pPr>
      <w:r>
        <w:rPr>
          <w:lang w:val="fr-CA"/>
        </w:rPr>
        <w:t>La dissipation thermique du régulateur doit donc être vérifiée si la sortie 3,3 V alimente une charge importante.</w:t>
      </w:r>
    </w:p>
    <w:p>
      <w:pPr>
        <w:pStyle w:val="Heading1"/>
        <w:rPr/>
      </w:pPr>
      <w:r>
        <w:rPr/>
        <w:t>11. Protection côté secteur</w:t>
      </w:r>
    </w:p>
    <w:p>
      <w:pPr>
        <w:pStyle w:val="ListBullet"/>
        <w:numPr>
          <w:ilvl w:val="0"/>
          <w:numId w:val="2"/>
        </w:numPr>
        <w:spacing w:before="0" w:after="40"/>
        <w:contextualSpacing/>
        <w:rPr>
          <w:rFonts w:hint="eastAsia"/>
          <w:lang w:val="fr-CA"/>
        </w:rPr>
      </w:pPr>
      <w:r>
        <w:rPr>
          <w:lang w:val="fr-CA"/>
        </w:rPr>
        <w:t>F1 – fusible 100 mA : protection contre les surintensités et certains défauts.</w:t>
      </w:r>
    </w:p>
    <w:p>
      <w:pPr>
        <w:pStyle w:val="ListBullet"/>
        <w:numPr>
          <w:ilvl w:val="0"/>
          <w:numId w:val="2"/>
        </w:numPr>
        <w:spacing w:before="0" w:after="40"/>
        <w:contextualSpacing/>
        <w:rPr>
          <w:rFonts w:hint="eastAsia"/>
          <w:lang w:val="fr-CA"/>
        </w:rPr>
      </w:pPr>
      <w:r>
        <w:rPr>
          <w:lang w:val="fr-CA"/>
        </w:rPr>
        <w:t>MOV S10K275 : limitation des surtensions transitoires provenant du secteur.</w:t>
      </w:r>
    </w:p>
    <w:p>
      <w:pPr>
        <w:pStyle w:val="ListBullet"/>
        <w:numPr>
          <w:ilvl w:val="0"/>
          <w:numId w:val="2"/>
        </w:numPr>
        <w:spacing w:before="0" w:after="40"/>
        <w:contextualSpacing/>
        <w:rPr>
          <w:rFonts w:hint="eastAsia"/>
          <w:lang w:val="fr-CA"/>
        </w:rPr>
      </w:pPr>
      <w:r>
        <w:rPr>
          <w:lang w:val="fr-CA"/>
        </w:rPr>
        <w:t>NTC MF72-010D9 : limitation du courant d’appel lors de la mise sous tension.</w:t>
      </w:r>
    </w:p>
    <w:p>
      <w:pPr>
        <w:pStyle w:val="ListBullet"/>
        <w:numPr>
          <w:ilvl w:val="0"/>
          <w:numId w:val="2"/>
        </w:numPr>
        <w:spacing w:before="0" w:after="40"/>
        <w:contextualSpacing/>
        <w:rPr>
          <w:rFonts w:hint="eastAsia"/>
          <w:lang w:val="fr-CA"/>
        </w:rPr>
      </w:pPr>
      <w:r>
        <w:rPr>
          <w:lang w:val="fr-CA"/>
        </w:rPr>
        <w:t>IRM-02-15 : conversion AC/DC isolée vers le domaine basse tension 15 V.</w:t>
      </w:r>
    </w:p>
    <w:p>
      <w:pPr>
        <w:pStyle w:val="Normal"/>
        <w:rPr>
          <w:rFonts w:hint="eastAsia"/>
          <w:lang w:val="fr-CA"/>
        </w:rPr>
      </w:pPr>
      <w:r>
        <w:rPr>
          <w:lang w:val="fr-CA"/>
        </w:rPr>
        <w:t>La partie secteur doit respecter les règles applicables de sécurité, d’isolement, de distances de fuite et de dégagement sur le PCB.</w:t>
      </w:r>
    </w:p>
    <w:p>
      <w:pPr>
        <w:pStyle w:val="Heading1"/>
        <w:rPr/>
      </w:pPr>
      <w:r>
        <w:rPr/>
        <w:t>12. Résumé des calculs</w:t>
      </w:r>
    </w:p>
    <w:tbl>
      <w:tblPr>
        <w:tblStyle w:val="aff0"/>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shd w:color="auto" w:fill="D9EAF7" w:val="clear"/>
            <w:vAlign w:val="center"/>
          </w:tcPr>
          <w:p>
            <w:pPr>
              <w:pStyle w:val="Normal"/>
              <w:widowControl/>
              <w:spacing w:before="0" w:after="100"/>
              <w:jc w:val="start"/>
              <w:rPr>
                <w:rFonts w:hint="eastAsia"/>
              </w:rPr>
            </w:pPr>
            <w:r>
              <w:rPr>
                <w:rFonts w:eastAsia="ＭＳ 明朝" w:cs="Arial"/>
                <w:b/>
                <w:kern w:val="0"/>
                <w:szCs w:val="22"/>
                <w:lang w:val="en-US" w:eastAsia="en-US" w:bidi="ar-SA"/>
              </w:rPr>
              <w:t>Paramètre</w:t>
            </w:r>
          </w:p>
        </w:tc>
        <w:tc>
          <w:tcPr>
            <w:tcW w:w="5040" w:type="dxa"/>
            <w:tcBorders/>
            <w:shd w:color="auto" w:fill="D9EAF7" w:val="clear"/>
            <w:vAlign w:val="center"/>
          </w:tcPr>
          <w:p>
            <w:pPr>
              <w:pStyle w:val="Normal"/>
              <w:widowControl/>
              <w:spacing w:before="0" w:after="100"/>
              <w:jc w:val="start"/>
              <w:rPr>
                <w:rFonts w:hint="eastAsia"/>
              </w:rPr>
            </w:pPr>
            <w:r>
              <w:rPr>
                <w:rFonts w:eastAsia="ＭＳ 明朝" w:cs="Arial"/>
                <w:b/>
                <w:kern w:val="0"/>
                <w:szCs w:val="22"/>
                <w:lang w:val="en-US" w:eastAsia="en-US" w:bidi="ar-SA"/>
              </w:rPr>
              <w:t>Valeur</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Alimentation principale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15 V DC</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Plage de sortie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0 à 9,94 V DC</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RTOP</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4,99 kΩ</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Résistance de protection</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100 Ω</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Potentiomètre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10 kΩ</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Courant du diviseur</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0,994 mA</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Tension à 50 %</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4,97 V</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R3 / C7</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 kΩ / 100 nF</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fc entrée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1,59 kHz</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R6 / C1</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 kΩ / 100 nF</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fc sortie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1,59 kHz</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Résistance série sortie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100 Ω</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R LED</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4,7 kΩ</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Courant LED</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 xml:space="preserve">≈ </w:t>
            </w:r>
            <w:r>
              <w:rPr>
                <w:rFonts w:eastAsia="ＭＳ 明朝" w:cs="Arial"/>
                <w:kern w:val="0"/>
                <w:szCs w:val="22"/>
                <w:lang w:val="en-US" w:eastAsia="en-US" w:bidi="ar-SA"/>
              </w:rPr>
              <w:t>2,77 mA</w:t>
            </w:r>
          </w:p>
        </w:tc>
      </w:tr>
      <w:tr>
        <w:trPr/>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Sortie auxiliaire</w:t>
            </w:r>
          </w:p>
        </w:tc>
        <w:tc>
          <w:tcPr>
            <w:tcW w:w="5040" w:type="dxa"/>
            <w:tcBorders/>
            <w:tcMar>
              <w:top w:w="80" w:type="dxa"/>
              <w:start w:w="100" w:type="dxa"/>
              <w:bottom w:w="80" w:type="dxa"/>
              <w:end w:w="100" w:type="dxa"/>
            </w:tcMar>
            <w:vAlign w:val="center"/>
          </w:tcPr>
          <w:p>
            <w:pPr>
              <w:pStyle w:val="Normal"/>
              <w:widowControl/>
              <w:spacing w:before="0" w:after="100"/>
              <w:jc w:val="start"/>
              <w:rPr>
                <w:rFonts w:hint="eastAsia"/>
              </w:rPr>
            </w:pPr>
            <w:r>
              <w:rPr>
                <w:rFonts w:eastAsia="ＭＳ 明朝" w:cs="Arial"/>
                <w:kern w:val="0"/>
                <w:szCs w:val="22"/>
                <w:lang w:val="en-US" w:eastAsia="en-US" w:bidi="ar-SA"/>
              </w:rPr>
              <w:t>3,3 V DC</w:t>
            </w:r>
          </w:p>
        </w:tc>
      </w:tr>
    </w:tbl>
    <w:p>
      <w:pPr>
        <w:pStyle w:val="Heading1"/>
        <w:rPr/>
      </w:pPr>
      <w:r>
        <w:rPr/>
        <w:t>13. Conclusion</w:t>
      </w:r>
    </w:p>
    <w:p>
      <w:pPr>
        <w:pStyle w:val="Normal"/>
        <w:rPr>
          <w:rFonts w:hint="eastAsia"/>
          <w:lang w:val="fr-CA"/>
        </w:rPr>
      </w:pPr>
      <w:r>
        <w:rPr>
          <w:lang w:val="fr-CA"/>
        </w:rPr>
        <w:t>Le circuit réalise une interface de commande linéaire 0–10 V DC simple et robuste. Le réseau résistif limite la consigne maximale à environ 9,94 V, le TLV170 assure le tamponnement du signal, et les filtres RC réduisent les perturbations. La résistance série de sortie améliore la protection de l’interface tandis que l’alimentation AC/DC isolée fournit le domaine 15 V nécessaire.</w:t>
      </w:r>
    </w:p>
    <w:p>
      <w:pPr>
        <w:pStyle w:val="Normal"/>
        <w:jc w:val="center"/>
        <w:rPr>
          <w:rFonts w:hint="eastAsia"/>
        </w:rPr>
      </w:pPr>
      <w:r>
        <w:rPr>
          <w:b/>
        </w:rPr>
        <w:t>AHDS Mini Project #3</w:t>
      </w:r>
      <w:bookmarkStart w:id="0" w:name="_GoBack"/>
      <w:bookmarkEnd w:id="0"/>
      <w:r>
        <w:rPr>
          <w:b/>
        </w:rPr>
        <w:t xml:space="preserve"> — Linear 0–10 V DC Control Interface</w:t>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r>
    </w:p>
    <w:p>
      <w:pPr>
        <w:pStyle w:val="Normal"/>
        <w:jc w:val="center"/>
        <w:rPr>
          <w:rFonts w:hint="eastAsia"/>
        </w:rPr>
      </w:pPr>
      <w:r>
        <w:rPr>
          <w:rFonts w:hint="eastAsia"/>
          <w:b/>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00800" cy="49784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00800" cy="4978400"/>
                    </a:xfrm>
                    <a:prstGeom prst="rect">
                      <a:avLst/>
                    </a:prstGeom>
                    <a:noFill/>
                  </pic:spPr>
                </pic:pic>
              </a:graphicData>
            </a:graphic>
          </wp:anchor>
        </w:drawing>
      </w:r>
    </w:p>
    <w:p>
      <w:pPr>
        <w:pStyle w:val="Normal"/>
        <w:jc w:val="center"/>
        <w:rPr>
          <w:rFonts w:hint="eastAsia"/>
        </w:rPr>
      </w:pPr>
      <w:r>
        <w:rPr>
          <w:rFonts w:hint="eastAsia"/>
          <w:b/>
        </w:rPr>
      </w:r>
    </w:p>
    <w:p>
      <w:pPr>
        <w:pStyle w:val="Normal"/>
        <w:jc w:val="start"/>
        <w:rPr>
          <w:rFonts w:ascii="Calibri" w:hAnsi="Calibri" w:eastAsia="Calibri"/>
          <w:sz w:val="30"/>
          <w:szCs w:val="30"/>
        </w:rPr>
      </w:pPr>
      <w:r>
        <w:rPr>
          <w:rFonts w:eastAsia="Calibri" w:hint="eastAsia" w:ascii="Calibri" w:hAnsi="Calibri"/>
          <w:b/>
          <w:sz w:val="30"/>
          <w:szCs w:val="30"/>
        </w:rPr>
        <w:t xml:space="preserve">Image 2 </w:t>
      </w:r>
      <w:r>
        <w:rPr>
          <w:rFonts w:eastAsia="Calibri" w:ascii="Calibri" w:hAnsi="Calibri"/>
          <w:sz w:val="30"/>
          <w:szCs w:val="30"/>
        </w:rPr>
        <w:t>PCB Layou</w:t>
      </w:r>
      <w:r>
        <w:rPr>
          <w:rFonts w:eastAsia="Calibri" w:ascii="Calibri" w:hAnsi="Calibri"/>
          <w:sz w:val="30"/>
          <w:szCs w:val="30"/>
        </w:rPr>
        <w:t>t</w:t>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038600" cy="35814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038600" cy="3581400"/>
                    </a:xfrm>
                    <a:prstGeom prst="rect">
                      <a:avLst/>
                    </a:prstGeom>
                    <a:noFill/>
                  </pic:spPr>
                </pic:pic>
              </a:graphicData>
            </a:graphic>
          </wp:anchor>
        </w:drawing>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center"/>
        <w:rPr>
          <w:rFonts w:ascii="Calibri" w:hAnsi="Calibri" w:eastAsia="Calibri" w:hint="eastAsia"/>
          <w:b/>
          <w:sz w:val="30"/>
          <w:szCs w:val="30"/>
        </w:rPr>
      </w:pPr>
      <w:r>
        <w:rPr>
          <w:rFonts w:eastAsia="Calibri" w:hint="eastAsia" w:ascii="Calibri" w:hAnsi="Calibri"/>
          <w:b/>
          <w:sz w:val="30"/>
          <w:szCs w:val="30"/>
        </w:rPr>
        <w:t>Image 3 Board PCB</w:t>
      </w:r>
    </w:p>
    <w:p>
      <w:pPr>
        <w:pStyle w:val="Normal"/>
        <w:jc w:val="start"/>
        <w:rPr>
          <w:rFonts w:ascii="Calibri" w:hAnsi="Calibri" w:eastAsia="Calibri" w:hint="eastAsia"/>
          <w:b/>
          <w:sz w:val="30"/>
          <w:szCs w:val="30"/>
        </w:rPr>
      </w:pPr>
      <w:r>
        <w:rPr>
          <w:rFonts w:eastAsia="Calibri" w:hint="eastAsia" w:ascii="Calibri" w:hAnsi="Calibri"/>
          <w:b/>
          <w:sz w:val="30"/>
          <w:szCs w:val="30"/>
        </w:rPr>
        <w:drawing>
          <wp:anchor distT="0" distB="0" distL="0" distR="0" simplePos="0" relativeHeight="5" behindDoc="0" locked="0" layoutInCell="0" allowOverlap="1">
            <wp:simplePos x="0" y="0"/>
            <wp:positionH relativeFrom="column">
              <wp:posOffset>1009650</wp:posOffset>
            </wp:positionH>
            <wp:positionV relativeFrom="paragraph">
              <wp:posOffset>62230</wp:posOffset>
            </wp:positionV>
            <wp:extent cx="4039235" cy="41148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039235" cy="4114800"/>
                    </a:xfrm>
                    <a:prstGeom prst="rect">
                      <a:avLst/>
                    </a:prstGeom>
                    <a:noFill/>
                  </pic:spPr>
                </pic:pic>
              </a:graphicData>
            </a:graphic>
          </wp:anchor>
        </w:drawing>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jc w:val="start"/>
        <w:rPr>
          <w:rFonts w:ascii="Calibri" w:hAnsi="Calibri" w:eastAsia="Calibri" w:hint="eastAsia"/>
          <w:b/>
          <w:sz w:val="30"/>
          <w:szCs w:val="30"/>
        </w:rPr>
      </w:pPr>
      <w:r>
        <w:rPr>
          <w:rFonts w:eastAsia="Calibri" w:hint="eastAsia" w:ascii="Calibri" w:hAnsi="Calibri"/>
          <w:b/>
          <w:sz w:val="30"/>
          <w:szCs w:val="30"/>
        </w:rPr>
      </w:r>
    </w:p>
    <w:p>
      <w:pPr>
        <w:pStyle w:val="Normal"/>
        <w:spacing w:before="0" w:after="100"/>
        <w:jc w:val="center"/>
        <w:rPr>
          <w:rFonts w:ascii="Calibri" w:hAnsi="Calibri" w:eastAsia="Calibri" w:hint="eastAsia"/>
          <w:b/>
          <w:sz w:val="30"/>
          <w:szCs w:val="30"/>
        </w:rPr>
      </w:pPr>
      <w:r>
        <w:rPr>
          <w:rFonts w:eastAsia="Calibri" w:hint="eastAsia" w:ascii="Calibri" w:hAnsi="Calibri"/>
          <w:b/>
          <w:sz w:val="30"/>
          <w:szCs w:val="30"/>
        </w:rPr>
        <w:t>Image 4 Board ASSEMBLED</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52" w:before="0" w:after="100"/>
      <w:jc w:val="start"/>
    </w:pPr>
    <w:rPr>
      <w:rFonts w:ascii="Aptos" w:hAnsi="Aptos" w:eastAsia="ＭＳ 明朝" w:cs="Arial"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4"/>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uiPriority w:val="99"/>
    <w:qFormat/>
    <w:rsid w:val="00e618bf"/>
    <w:rPr/>
  </w:style>
  <w:style w:type="character" w:styleId="Style6" w:customStyle="1">
    <w:name w:val="Нижний колонтитул Знак"/>
    <w:basedOn w:val="DefaultParagraphFont"/>
    <w:uiPriority w:val="99"/>
    <w:qFormat/>
    <w:rsid w:val="00e618bf"/>
    <w:rPr/>
  </w:style>
  <w:style w:type="character" w:styleId="1" w:customStyle="1">
    <w:name w:val="Заголовок 1 Знак"/>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Style7" w:customStyle="1">
    <w:name w:val="Заголовок Знак"/>
    <w:basedOn w:val="DefaultParagraphFont"/>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5" w:customStyle="1">
    <w:name w:val="Заголовок 5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6" w:customStyle="1">
    <w:name w:val="Заголовок 6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b/>
      <w:color w:themeColor="text2" w:themeShade="bf" w:val="17365D"/>
      <w:spacing w:val="5"/>
      <w:kern w:val="2"/>
      <w:sz w:val="44"/>
      <w:szCs w:val="52"/>
    </w:rPr>
  </w:style>
  <w:style w:type="paragraph" w:styleId="Subtitle">
    <w:name w:val="Subtitle"/>
    <w:basedOn w:val="Normal"/>
    <w:next w:val="Normal"/>
    <w:link w:val="Style8"/>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2"/>
      </w:numPr>
      <w:spacing w:before="0" w:after="100"/>
      <w:contextualSpacing/>
    </w:pPr>
    <w:rPr/>
  </w:style>
  <w:style w:type="paragraph" w:styleId="ListBullet2">
    <w:name w:val="List Bullet 2"/>
    <w:basedOn w:val="Normal"/>
    <w:uiPriority w:val="99"/>
    <w:unhideWhenUsed/>
    <w:rsid w:val="00326f90"/>
    <w:pPr>
      <w:numPr>
        <w:ilvl w:val="0"/>
        <w:numId w:val="3"/>
      </w:numPr>
      <w:spacing w:before="0" w:after="100"/>
      <w:contextualSpacing/>
    </w:pPr>
    <w:rPr/>
  </w:style>
  <w:style w:type="paragraph" w:styleId="ListBullet3">
    <w:name w:val="List Bullet 3"/>
    <w:basedOn w:val="Normal"/>
    <w:uiPriority w:val="99"/>
    <w:unhideWhenUsed/>
    <w:rsid w:val="00326f90"/>
    <w:pPr>
      <w:numPr>
        <w:ilvl w:val="0"/>
        <w:numId w:val="4"/>
      </w:numPr>
      <w:spacing w:before="0" w:after="100"/>
      <w:contextualSpacing/>
    </w:pPr>
    <w:rPr/>
  </w:style>
  <w:style w:type="paragraph" w:styleId="ListNumber">
    <w:name w:val="List Number"/>
    <w:basedOn w:val="Normal"/>
    <w:uiPriority w:val="99"/>
    <w:unhideWhenUsed/>
    <w:rsid w:val="00326f90"/>
    <w:pPr>
      <w:numPr>
        <w:ilvl w:val="0"/>
        <w:numId w:val="5"/>
      </w:numPr>
      <w:spacing w:before="0" w:after="100"/>
      <w:contextualSpacing/>
    </w:pPr>
    <w:rPr/>
  </w:style>
  <w:style w:type="paragraph" w:styleId="ListNumber2">
    <w:name w:val="List Number 2"/>
    <w:basedOn w:val="Normal"/>
    <w:uiPriority w:val="99"/>
    <w:unhideWhenUsed/>
    <w:rsid w:val="0029639d"/>
    <w:pPr>
      <w:numPr>
        <w:ilvl w:val="0"/>
        <w:numId w:val="6"/>
      </w:numPr>
      <w:spacing w:before="0" w:after="100"/>
      <w:contextualSpacing/>
    </w:pPr>
    <w:rPr/>
  </w:style>
  <w:style w:type="paragraph" w:styleId="ListNumber3">
    <w:name w:val="List Number 3"/>
    <w:basedOn w:val="Normal"/>
    <w:uiPriority w:val="99"/>
    <w:unhideWhenUsed/>
    <w:rsid w:val="0029639d"/>
    <w:pPr>
      <w:numPr>
        <w:ilvl w:val="0"/>
        <w:numId w:val="7"/>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1EC31-C05B-4FEB-8B1F-3C73666C8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LibreOffice/26.2.4.2$Windows_X86_64 LibreOffice_project/0229ac93fcf0d7cbc6376066c6f35021cef002dc</Application>
  <AppVersion>15.0000</AppVersion>
  <Pages>6</Pages>
  <Words>1044</Words>
  <Characters>4507</Characters>
  <CharactersWithSpaces>5432</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2026-08-08T17:29:37Z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