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0F26A" w14:textId="0230F46E" w:rsidR="00154A30" w:rsidRDefault="00154A30" w:rsidP="00154A30">
      <w:pPr>
        <w:pStyle w:val="Title"/>
        <w:rPr>
          <w:lang w:val="en-US"/>
        </w:rPr>
      </w:pPr>
      <w:r w:rsidRPr="00154A30">
        <w:rPr>
          <w:lang w:val="en-US"/>
        </w:rPr>
        <w:t>Testing Report: ACME Starters B,</w:t>
      </w:r>
      <w:r>
        <w:rPr>
          <w:lang w:val="en-US"/>
        </w:rPr>
        <w:t xml:space="preserve"> G0-66</w:t>
      </w:r>
    </w:p>
    <w:p w14:paraId="31A168BC" w14:textId="19D240D7" w:rsidR="00154A30" w:rsidRDefault="00154A30" w:rsidP="00154A30">
      <w:pPr>
        <w:rPr>
          <w:lang w:val="en-US"/>
        </w:rPr>
      </w:pPr>
      <w:r>
        <w:rPr>
          <w:lang w:val="en-US"/>
        </w:rPr>
        <w:t xml:space="preserve"> In this report we show all the testing that has taken place in our project, including but not limited to End to End testing, performance testing and stress testing:</w:t>
      </w:r>
    </w:p>
    <w:p w14:paraId="686AD99B" w14:textId="58FAA4FD" w:rsidR="00154A30" w:rsidRDefault="00154A30" w:rsidP="00154A30">
      <w:pPr>
        <w:pStyle w:val="Heading1"/>
        <w:rPr>
          <w:lang w:val="en-US"/>
        </w:rPr>
      </w:pPr>
      <w:r>
        <w:rPr>
          <w:lang w:val="en-US"/>
        </w:rPr>
        <w:t>End to End testing</w:t>
      </w:r>
      <w:r>
        <w:rPr>
          <w:noProof/>
          <w:lang w:val="en-US"/>
        </w:rPr>
        <w:drawing>
          <wp:inline distT="0" distB="0" distL="0" distR="0" wp14:anchorId="22985F65" wp14:editId="4A90653B">
            <wp:extent cx="5391150" cy="2647950"/>
            <wp:effectExtent l="0" t="0" r="0" b="0"/>
            <wp:docPr id="88472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91150" cy="2647950"/>
                    </a:xfrm>
                    <a:prstGeom prst="rect">
                      <a:avLst/>
                    </a:prstGeom>
                    <a:noFill/>
                    <a:ln>
                      <a:noFill/>
                    </a:ln>
                  </pic:spPr>
                </pic:pic>
              </a:graphicData>
            </a:graphic>
          </wp:inline>
        </w:drawing>
      </w:r>
      <w:r>
        <w:rPr>
          <w:lang w:val="en-US"/>
        </w:rPr>
        <w:t>:</w:t>
      </w:r>
    </w:p>
    <w:p w14:paraId="2B5CE709" w14:textId="6DB141BC" w:rsidR="00154A30" w:rsidRDefault="00154A30" w:rsidP="00154A30">
      <w:pPr>
        <w:rPr>
          <w:noProof/>
          <w:lang w:val="en-US"/>
        </w:rPr>
      </w:pPr>
      <w:r>
        <w:rPr>
          <w:lang w:val="en-US"/>
        </w:rPr>
        <w:t xml:space="preserve"> We have achieved a 77,1% coverage with end to end testing, being divided into modules separated by role and responsibilities.</w:t>
      </w:r>
      <w:r w:rsidRPr="00154A30">
        <w:rPr>
          <w:noProof/>
          <w:lang w:val="en-US"/>
        </w:rPr>
        <w:t xml:space="preserve"> </w:t>
      </w:r>
      <w:r>
        <w:rPr>
          <w:noProof/>
        </w:rPr>
        <w:drawing>
          <wp:inline distT="0" distB="0" distL="0" distR="0" wp14:anchorId="71B91141" wp14:editId="63D7ED23">
            <wp:extent cx="2514600" cy="1781175"/>
            <wp:effectExtent l="0" t="0" r="0" b="9525"/>
            <wp:docPr id="130514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411" name=""/>
                    <pic:cNvPicPr/>
                  </pic:nvPicPr>
                  <pic:blipFill>
                    <a:blip r:embed="rId5"/>
                    <a:stretch>
                      <a:fillRect/>
                    </a:stretch>
                  </pic:blipFill>
                  <pic:spPr>
                    <a:xfrm>
                      <a:off x="0" y="0"/>
                      <a:ext cx="2514600" cy="1781175"/>
                    </a:xfrm>
                    <a:prstGeom prst="rect">
                      <a:avLst/>
                    </a:prstGeom>
                  </pic:spPr>
                </pic:pic>
              </a:graphicData>
            </a:graphic>
          </wp:inline>
        </w:drawing>
      </w:r>
    </w:p>
    <w:p w14:paraId="35F0711D" w14:textId="749037BF" w:rsidR="00154A30" w:rsidRPr="00154A30" w:rsidRDefault="00154A30" w:rsidP="00154A30">
      <w:pPr>
        <w:rPr>
          <w:lang w:val="en-US"/>
        </w:rPr>
      </w:pPr>
      <w:r>
        <w:rPr>
          <w:noProof/>
          <w:lang w:val="en-US"/>
        </w:rPr>
        <w:t>This has allowed us to quickly test that adding new features didn’t introduce any breaking changes to previously working features, which has been especially useful in this level of the project.</w:t>
      </w:r>
    </w:p>
    <w:p w14:paraId="3A5A1796" w14:textId="77777777" w:rsidR="00154A30" w:rsidRDefault="00154A30" w:rsidP="00154A30">
      <w:pPr>
        <w:pStyle w:val="Heading1"/>
        <w:rPr>
          <w:noProof/>
          <w:lang w:val="en-US"/>
        </w:rPr>
      </w:pPr>
      <w:r>
        <w:rPr>
          <w:noProof/>
          <w:lang w:val="en-US"/>
        </w:rPr>
        <w:t>Performance logs:</w:t>
      </w:r>
    </w:p>
    <w:p w14:paraId="6F4237CD" w14:textId="43BDCEFB" w:rsidR="00154A30" w:rsidRDefault="00154A30" w:rsidP="00154A30">
      <w:pPr>
        <w:rPr>
          <w:lang w:val="en-US"/>
        </w:rPr>
      </w:pPr>
      <w:r>
        <w:rPr>
          <w:lang w:val="en-US"/>
        </w:rPr>
        <w:t xml:space="preserve">Using these testing files, we have managed to get a lot of useful data that we have compiled in the attached excel spreadsheet. Organizing the thousands of data lines we have managed to get the following 2D graph that shows the relative </w:t>
      </w:r>
      <w:r>
        <w:rPr>
          <w:lang w:val="en-US"/>
        </w:rPr>
        <w:lastRenderedPageBreak/>
        <w:t>performance of the different parts of the project:</w:t>
      </w:r>
      <w:r>
        <w:rPr>
          <w:noProof/>
        </w:rPr>
        <w:drawing>
          <wp:inline distT="0" distB="0" distL="0" distR="0" wp14:anchorId="2258E571" wp14:editId="14EFCECC">
            <wp:extent cx="5400040" cy="3222625"/>
            <wp:effectExtent l="0" t="0" r="10160" b="15875"/>
            <wp:docPr id="1387691979" name="Chart 1">
              <a:extLst xmlns:a="http://schemas.openxmlformats.org/drawingml/2006/main">
                <a:ext uri="{FF2B5EF4-FFF2-40B4-BE49-F238E27FC236}">
                  <a16:creationId xmlns:a16="http://schemas.microsoft.com/office/drawing/2014/main" id="{B938F1AF-CA5C-5841-EAB3-3FC2ECC9B7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5EF3618C" w14:textId="478C1F3C" w:rsidR="00CC615E" w:rsidRDefault="00CC615E" w:rsidP="00CC615E">
      <w:pPr>
        <w:pStyle w:val="Heading1"/>
        <w:rPr>
          <w:lang w:val="en-US"/>
        </w:rPr>
      </w:pPr>
      <w:r>
        <w:rPr>
          <w:lang w:val="en-US"/>
        </w:rPr>
        <w:t>Software and Hardware profiling:</w:t>
      </w:r>
    </w:p>
    <w:p w14:paraId="7044B820" w14:textId="4FA40393" w:rsidR="00CC615E" w:rsidRPr="00CC615E" w:rsidRDefault="00CC615E" w:rsidP="00CC615E">
      <w:pPr>
        <w:rPr>
          <w:lang w:val="en-US"/>
        </w:rPr>
      </w:pPr>
      <w:r>
        <w:rPr>
          <w:lang w:val="en-US"/>
        </w:rPr>
        <w:t>Furthermore, with further testing we have managed to get more detailed analysis and reports on the strain that our project puts on our machines. This has been extremely useful for making sure there weren’t any hidden bottlenecks and the results of the testing can be seen in the attached images, the first being software and the second hardware.</w:t>
      </w:r>
      <w:r>
        <w:rPr>
          <w:noProof/>
          <w:lang w:val="en-US"/>
        </w:rPr>
        <w:lastRenderedPageBreak/>
        <w:drawing>
          <wp:inline distT="0" distB="0" distL="0" distR="0" wp14:anchorId="4057E5E7" wp14:editId="071B9368">
            <wp:extent cx="5391150" cy="4895850"/>
            <wp:effectExtent l="0" t="0" r="0" b="0"/>
            <wp:docPr id="19467589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1150" cy="4895850"/>
                    </a:xfrm>
                    <a:prstGeom prst="rect">
                      <a:avLst/>
                    </a:prstGeom>
                    <a:noFill/>
                    <a:ln>
                      <a:noFill/>
                    </a:ln>
                  </pic:spPr>
                </pic:pic>
              </a:graphicData>
            </a:graphic>
          </wp:inline>
        </w:drawing>
      </w:r>
      <w:r>
        <w:rPr>
          <w:noProof/>
          <w:lang w:val="en-US"/>
        </w:rPr>
        <w:lastRenderedPageBreak/>
        <w:drawing>
          <wp:inline distT="0" distB="0" distL="0" distR="0" wp14:anchorId="0BE2D926" wp14:editId="18B134BD">
            <wp:extent cx="4381500" cy="5295900"/>
            <wp:effectExtent l="0" t="0" r="0" b="0"/>
            <wp:docPr id="156801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81500" cy="5295900"/>
                    </a:xfrm>
                    <a:prstGeom prst="rect">
                      <a:avLst/>
                    </a:prstGeom>
                    <a:noFill/>
                    <a:ln>
                      <a:noFill/>
                    </a:ln>
                  </pic:spPr>
                </pic:pic>
              </a:graphicData>
            </a:graphic>
          </wp:inline>
        </w:drawing>
      </w:r>
    </w:p>
    <w:p w14:paraId="47B67987" w14:textId="2D053D37" w:rsidR="00154A30" w:rsidRPr="00CC615E" w:rsidRDefault="00CC615E" w:rsidP="00CC615E">
      <w:pPr>
        <w:pStyle w:val="Heading1"/>
        <w:rPr>
          <w:lang w:val="en-US"/>
        </w:rPr>
      </w:pPr>
      <w:r w:rsidRPr="00CC615E">
        <w:rPr>
          <w:lang w:val="en-US"/>
        </w:rPr>
        <w:t xml:space="preserve">Conclusions: </w:t>
      </w:r>
    </w:p>
    <w:p w14:paraId="4A6BCC3B" w14:textId="2491310F" w:rsidR="00CC615E" w:rsidRPr="00CC615E" w:rsidRDefault="00CC615E" w:rsidP="00CC615E">
      <w:pPr>
        <w:rPr>
          <w:lang w:val="en-US"/>
        </w:rPr>
      </w:pPr>
      <w:r w:rsidRPr="00CC615E">
        <w:rPr>
          <w:lang w:val="en-US"/>
        </w:rPr>
        <w:t>As we can see,</w:t>
      </w:r>
      <w:r>
        <w:rPr>
          <w:lang w:val="en-US"/>
        </w:rPr>
        <w:t xml:space="preserve"> our testing is far from complete but it gives us enough information as to say with confidence that there are no obvious bottlenecks in our projects. Still, we must put effort into continuing this testing in the future to assure the quality of our software. This has been a great learning experience that we will continue to improve upon.</w:t>
      </w:r>
    </w:p>
    <w:sectPr w:rsidR="00CC615E" w:rsidRPr="00CC61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96"/>
    <w:rsid w:val="00154A30"/>
    <w:rsid w:val="00415296"/>
    <w:rsid w:val="00CC615E"/>
    <w:rsid w:val="00FF32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CB39"/>
  <w15:chartTrackingRefBased/>
  <w15:docId w15:val="{B889F908-1D8C-4DDC-874F-8C322E3D0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52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52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52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96"/>
    <w:rPr>
      <w:rFonts w:eastAsiaTheme="majorEastAsia" w:cstheme="majorBidi"/>
      <w:color w:val="272727" w:themeColor="text1" w:themeTint="D8"/>
    </w:rPr>
  </w:style>
  <w:style w:type="paragraph" w:styleId="Title">
    <w:name w:val="Title"/>
    <w:basedOn w:val="Normal"/>
    <w:next w:val="Normal"/>
    <w:link w:val="TitleChar"/>
    <w:uiPriority w:val="10"/>
    <w:qFormat/>
    <w:rsid w:val="00415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96"/>
    <w:pPr>
      <w:spacing w:before="160"/>
      <w:jc w:val="center"/>
    </w:pPr>
    <w:rPr>
      <w:i/>
      <w:iCs/>
      <w:color w:val="404040" w:themeColor="text1" w:themeTint="BF"/>
    </w:rPr>
  </w:style>
  <w:style w:type="character" w:customStyle="1" w:styleId="QuoteChar">
    <w:name w:val="Quote Char"/>
    <w:basedOn w:val="DefaultParagraphFont"/>
    <w:link w:val="Quote"/>
    <w:uiPriority w:val="29"/>
    <w:rsid w:val="00415296"/>
    <w:rPr>
      <w:i/>
      <w:iCs/>
      <w:color w:val="404040" w:themeColor="text1" w:themeTint="BF"/>
    </w:rPr>
  </w:style>
  <w:style w:type="paragraph" w:styleId="ListParagraph">
    <w:name w:val="List Paragraph"/>
    <w:basedOn w:val="Normal"/>
    <w:uiPriority w:val="34"/>
    <w:qFormat/>
    <w:rsid w:val="00415296"/>
    <w:pPr>
      <w:ind w:left="720"/>
      <w:contextualSpacing/>
    </w:pPr>
  </w:style>
  <w:style w:type="character" w:styleId="IntenseEmphasis">
    <w:name w:val="Intense Emphasis"/>
    <w:basedOn w:val="DefaultParagraphFont"/>
    <w:uiPriority w:val="21"/>
    <w:qFormat/>
    <w:rsid w:val="00415296"/>
    <w:rPr>
      <w:i/>
      <w:iCs/>
      <w:color w:val="0F4761" w:themeColor="accent1" w:themeShade="BF"/>
    </w:rPr>
  </w:style>
  <w:style w:type="paragraph" w:styleId="IntenseQuote">
    <w:name w:val="Intense Quote"/>
    <w:basedOn w:val="Normal"/>
    <w:next w:val="Normal"/>
    <w:link w:val="IntenseQuoteChar"/>
    <w:uiPriority w:val="30"/>
    <w:qFormat/>
    <w:rsid w:val="004152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96"/>
    <w:rPr>
      <w:i/>
      <w:iCs/>
      <w:color w:val="0F4761" w:themeColor="accent1" w:themeShade="BF"/>
    </w:rPr>
  </w:style>
  <w:style w:type="character" w:styleId="IntenseReference">
    <w:name w:val="Intense Reference"/>
    <w:basedOn w:val="DefaultParagraphFont"/>
    <w:uiPriority w:val="32"/>
    <w:qFormat/>
    <w:rsid w:val="004152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ario\Desktop\Trace%20summar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manualLayout>
          <c:layoutTarget val="inner"/>
          <c:xMode val="edge"/>
          <c:yMode val="edge"/>
          <c:x val="5.7006429582003096E-2"/>
          <c:y val="0.17530987936852721"/>
          <c:w val="0.9053642195242998"/>
          <c:h val="0.43064613475039759"/>
        </c:manualLayout>
      </c:layout>
      <c:barChart>
        <c:barDir val="col"/>
        <c:grouping val="clustered"/>
        <c:varyColors val="0"/>
        <c:ser>
          <c:idx val="0"/>
          <c:order val="0"/>
          <c:tx>
            <c:strRef>
              <c:f>'tester trace;2026-05-07@11 43'!$D$1</c:f>
              <c:strCache>
                <c:ptCount val="1"/>
                <c:pt idx="0">
                  <c:v>Time</c:v>
                </c:pt>
              </c:strCache>
            </c:strRef>
          </c:tx>
          <c:spPr>
            <a:solidFill>
              <a:schemeClr val="accent1"/>
            </a:solidFill>
            <a:ln>
              <a:noFill/>
            </a:ln>
            <a:effectLst/>
          </c:spPr>
          <c:invertIfNegative val="0"/>
          <c:cat>
            <c:strRef>
              <c:f>'tester trace;2026-05-07@11 43'!$B$2:$B$461</c:f>
              <c:strCache>
                <c:ptCount val="99"/>
                <c:pt idx="0">
                  <c:v>/ Average</c:v>
                </c:pt>
                <c:pt idx="1">
                  <c:v>/anonymous/system/sign-in Average</c:v>
                </c:pt>
                <c:pt idx="2">
                  <c:v>/any/campaign/list Average</c:v>
                </c:pt>
                <c:pt idx="3">
                  <c:v>/any/campaign/show Average</c:v>
                </c:pt>
                <c:pt idx="4">
                  <c:v>/any/donation/list Average</c:v>
                </c:pt>
                <c:pt idx="5">
                  <c:v>/any/milestone/list Average</c:v>
                </c:pt>
                <c:pt idx="6">
                  <c:v>/any/milestone/show Average</c:v>
                </c:pt>
                <c:pt idx="7">
                  <c:v>/any/spokesperson/show Average</c:v>
                </c:pt>
                <c:pt idx="8">
                  <c:v>/any/sponsor/show Average</c:v>
                </c:pt>
                <c:pt idx="9">
                  <c:v>/any/sponsorship/list Average</c:v>
                </c:pt>
                <c:pt idx="10">
                  <c:v>/any/sponsorship/show Average</c:v>
                </c:pt>
                <c:pt idx="11">
                  <c:v>/any/system/panic Average</c:v>
                </c:pt>
                <c:pt idx="12">
                  <c:v>/any/system/welcome Average</c:v>
                </c:pt>
                <c:pt idx="13">
                  <c:v>/auditor/audit-report/create Average</c:v>
                </c:pt>
                <c:pt idx="14">
                  <c:v>/auditor/audit-report/delete Average</c:v>
                </c:pt>
                <c:pt idx="15">
                  <c:v>/auditor/audit-report/list Average</c:v>
                </c:pt>
                <c:pt idx="16">
                  <c:v>/auditor/audit-report/publish Average</c:v>
                </c:pt>
                <c:pt idx="17">
                  <c:v>/auditor/audit-report/show Average</c:v>
                </c:pt>
                <c:pt idx="18">
                  <c:v>/auditor/audit-report/update Average</c:v>
                </c:pt>
                <c:pt idx="19">
                  <c:v>/auditor/audit-section/create Average</c:v>
                </c:pt>
                <c:pt idx="20">
                  <c:v>/auditor/audit-section/delete Average</c:v>
                </c:pt>
                <c:pt idx="21">
                  <c:v>/auditor/audit-section/list Average</c:v>
                </c:pt>
                <c:pt idx="22">
                  <c:v>/auditor/audit-section/show Average</c:v>
                </c:pt>
                <c:pt idx="23">
                  <c:v>/auditor/audit-section/update Average</c:v>
                </c:pt>
                <c:pt idx="24">
                  <c:v>/authenticated/auditor/create Average</c:v>
                </c:pt>
                <c:pt idx="25">
                  <c:v>/authenticated/auditor/show Average</c:v>
                </c:pt>
                <c:pt idx="26">
                  <c:v>/authenticated/auditor/update Average</c:v>
                </c:pt>
                <c:pt idx="27">
                  <c:v>/authenticated/audit-report/delete Average</c:v>
                </c:pt>
                <c:pt idx="28">
                  <c:v>/authenticated/audit-report/list Average</c:v>
                </c:pt>
                <c:pt idx="29">
                  <c:v>/authenticated/audit-report/show Average</c:v>
                </c:pt>
                <c:pt idx="30">
                  <c:v>/authenticated/audit-section/list Average</c:v>
                </c:pt>
                <c:pt idx="31">
                  <c:v>/authenticated/consumer/create Average</c:v>
                </c:pt>
                <c:pt idx="32">
                  <c:v>/authenticated/consumer/update Average</c:v>
                </c:pt>
                <c:pt idx="33">
                  <c:v>/authenticated/fundraiser/create Average</c:v>
                </c:pt>
                <c:pt idx="34">
                  <c:v>/authenticated/fundraiser/update Average</c:v>
                </c:pt>
                <c:pt idx="35">
                  <c:v>/authenticated/invention/list Average</c:v>
                </c:pt>
                <c:pt idx="36">
                  <c:v>/authenticated/invention/show Average</c:v>
                </c:pt>
                <c:pt idx="37">
                  <c:v>/authenticated/inventor/create Average</c:v>
                </c:pt>
                <c:pt idx="38">
                  <c:v>/authenticated/inventor/show Average</c:v>
                </c:pt>
                <c:pt idx="39">
                  <c:v>/authenticated/inventor/update Average</c:v>
                </c:pt>
                <c:pt idx="40">
                  <c:v>/authenticated/manager/create Average</c:v>
                </c:pt>
                <c:pt idx="41">
                  <c:v>/authenticated/manager/update Average</c:v>
                </c:pt>
                <c:pt idx="42">
                  <c:v>/authenticated/part/list Average</c:v>
                </c:pt>
                <c:pt idx="43">
                  <c:v>/authenticated/part/show Average</c:v>
                </c:pt>
                <c:pt idx="44">
                  <c:v>/authenticated/provider/create Average</c:v>
                </c:pt>
                <c:pt idx="45">
                  <c:v>/authenticated/provider/update Average</c:v>
                </c:pt>
                <c:pt idx="46">
                  <c:v>/authenticated/spokesperson/create Average</c:v>
                </c:pt>
                <c:pt idx="47">
                  <c:v>/authenticated/spokesperson/update Average</c:v>
                </c:pt>
                <c:pt idx="48">
                  <c:v>/authenticated/sponsor/create Average</c:v>
                </c:pt>
                <c:pt idx="49">
                  <c:v>/authenticated/sponsor/update Average</c:v>
                </c:pt>
                <c:pt idx="50">
                  <c:v>/authenticated/sponsorship/list Average</c:v>
                </c:pt>
                <c:pt idx="51">
                  <c:v>/authenticated/sponsorship/show Average</c:v>
                </c:pt>
                <c:pt idx="52">
                  <c:v>/authenticated/strategy/list Average</c:v>
                </c:pt>
                <c:pt idx="53">
                  <c:v>/authenticated/user-account/update Average</c:v>
                </c:pt>
                <c:pt idx="54">
                  <c:v>/fundraiser/strategy/create Average</c:v>
                </c:pt>
                <c:pt idx="55">
                  <c:v>/fundraiser/strategy/delete Average</c:v>
                </c:pt>
                <c:pt idx="56">
                  <c:v>/fundraiser/strategy/list Average</c:v>
                </c:pt>
                <c:pt idx="57">
                  <c:v>/fundraiser/strategy/publish Average</c:v>
                </c:pt>
                <c:pt idx="58">
                  <c:v>/fundraiser/strategy/show Average</c:v>
                </c:pt>
                <c:pt idx="59">
                  <c:v>/fundraiser/strategy/update Average</c:v>
                </c:pt>
                <c:pt idx="60">
                  <c:v>/fundraiser/tactic/create Average</c:v>
                </c:pt>
                <c:pt idx="61">
                  <c:v>/fundraiser/tactic/delete Average</c:v>
                </c:pt>
                <c:pt idx="62">
                  <c:v>/fundraiser/tactic/list Average</c:v>
                </c:pt>
                <c:pt idx="63">
                  <c:v>/fundraiser/tactic/show Average</c:v>
                </c:pt>
                <c:pt idx="64">
                  <c:v>/fundraiser/tactic/update Average</c:v>
                </c:pt>
                <c:pt idx="65">
                  <c:v>/inventor/invention/create Average</c:v>
                </c:pt>
                <c:pt idx="66">
                  <c:v>/inventor/invention/delete Average</c:v>
                </c:pt>
                <c:pt idx="67">
                  <c:v>/inventor/invention/list Average</c:v>
                </c:pt>
                <c:pt idx="68">
                  <c:v>/inventor/invention/publish Average</c:v>
                </c:pt>
                <c:pt idx="69">
                  <c:v>/inventor/invention/show Average</c:v>
                </c:pt>
                <c:pt idx="70">
                  <c:v>/inventor/invention/update Average</c:v>
                </c:pt>
                <c:pt idx="71">
                  <c:v>/inventor/part/create Average</c:v>
                </c:pt>
                <c:pt idx="72">
                  <c:v>/inventor/part/delete Average</c:v>
                </c:pt>
                <c:pt idx="73">
                  <c:v>/inventor/part/list Average</c:v>
                </c:pt>
                <c:pt idx="74">
                  <c:v>/inventor/part/show Average</c:v>
                </c:pt>
                <c:pt idx="75">
                  <c:v>/inventor/part/update Average</c:v>
                </c:pt>
                <c:pt idx="76">
                  <c:v>/spokesperson/campaign/create Average</c:v>
                </c:pt>
                <c:pt idx="77">
                  <c:v>/spokesperson/campaign/delete Average</c:v>
                </c:pt>
                <c:pt idx="78">
                  <c:v>/spokesperson/campaign/list Average</c:v>
                </c:pt>
                <c:pt idx="79">
                  <c:v>/spokesperson/campaign/publish Average</c:v>
                </c:pt>
                <c:pt idx="80">
                  <c:v>/spokesperson/campaign/show Average</c:v>
                </c:pt>
                <c:pt idx="81">
                  <c:v>/spokesperson/campaign/update Average</c:v>
                </c:pt>
                <c:pt idx="82">
                  <c:v>/spokesperson/milestone/create Average</c:v>
                </c:pt>
                <c:pt idx="83">
                  <c:v>/spokesperson/milestone/delete Average</c:v>
                </c:pt>
                <c:pt idx="84">
                  <c:v>/spokesperson/milestone/list Average</c:v>
                </c:pt>
                <c:pt idx="85">
                  <c:v>/spokesperson/milestone/show Average</c:v>
                </c:pt>
                <c:pt idx="86">
                  <c:v>/spokesperson/milestone/update Average</c:v>
                </c:pt>
                <c:pt idx="87">
                  <c:v>/sponsor/donation/create Average</c:v>
                </c:pt>
                <c:pt idx="88">
                  <c:v>/sponsor/donation/delete Average</c:v>
                </c:pt>
                <c:pt idx="89">
                  <c:v>/sponsor/donation/list Average</c:v>
                </c:pt>
                <c:pt idx="90">
                  <c:v>/sponsor/donation/show Average</c:v>
                </c:pt>
                <c:pt idx="91">
                  <c:v>/sponsor/donation/update Average</c:v>
                </c:pt>
                <c:pt idx="92">
                  <c:v>/sponsor/sponsorship/create Average</c:v>
                </c:pt>
                <c:pt idx="93">
                  <c:v>/sponsor/sponsorship/delete Average</c:v>
                </c:pt>
                <c:pt idx="94">
                  <c:v>/sponsor/sponsorship/list Average</c:v>
                </c:pt>
                <c:pt idx="95">
                  <c:v>/sponsor/sponsorship/publish Average</c:v>
                </c:pt>
                <c:pt idx="96">
                  <c:v>/sponsor/sponsorship/show Average</c:v>
                </c:pt>
                <c:pt idx="97">
                  <c:v>/sponsor/sponsorship/update Average</c:v>
                </c:pt>
                <c:pt idx="98">
                  <c:v>Grand Average</c:v>
                </c:pt>
              </c:strCache>
            </c:strRef>
          </c:cat>
          <c:val>
            <c:numRef>
              <c:f>'tester trace;2026-05-07@11 43'!$D$2:$D$461</c:f>
              <c:numCache>
                <c:formatCode>General</c:formatCode>
                <c:ptCount val="100"/>
                <c:pt idx="0">
                  <c:v>3.7934818181818186</c:v>
                </c:pt>
                <c:pt idx="1">
                  <c:v>19.032766666666667</c:v>
                </c:pt>
                <c:pt idx="2">
                  <c:v>10.2065</c:v>
                </c:pt>
                <c:pt idx="3">
                  <c:v>43.731766666666665</c:v>
                </c:pt>
                <c:pt idx="4">
                  <c:v>10.6629</c:v>
                </c:pt>
                <c:pt idx="5">
                  <c:v>12.828200000000001</c:v>
                </c:pt>
                <c:pt idx="6">
                  <c:v>10.1701</c:v>
                </c:pt>
                <c:pt idx="7">
                  <c:v>9.7004999999999999</c:v>
                </c:pt>
                <c:pt idx="8">
                  <c:v>56.163600000000002</c:v>
                </c:pt>
                <c:pt idx="9">
                  <c:v>11.5747</c:v>
                </c:pt>
                <c:pt idx="10">
                  <c:v>25.790099999999999</c:v>
                </c:pt>
                <c:pt idx="11">
                  <c:v>1.6919999999999999</c:v>
                </c:pt>
                <c:pt idx="12">
                  <c:v>1.2500291666666665</c:v>
                </c:pt>
                <c:pt idx="13">
                  <c:v>47.379850000000005</c:v>
                </c:pt>
                <c:pt idx="14">
                  <c:v>84.090800000000002</c:v>
                </c:pt>
                <c:pt idx="15">
                  <c:v>7.7793333333333337</c:v>
                </c:pt>
                <c:pt idx="16">
                  <c:v>67.222600000000014</c:v>
                </c:pt>
                <c:pt idx="17">
                  <c:v>10.8621</c:v>
                </c:pt>
                <c:pt idx="18">
                  <c:v>63.255400000000002</c:v>
                </c:pt>
                <c:pt idx="19">
                  <c:v>35.379939999999998</c:v>
                </c:pt>
                <c:pt idx="20">
                  <c:v>13.123699999999999</c:v>
                </c:pt>
                <c:pt idx="21">
                  <c:v>10.717560000000001</c:v>
                </c:pt>
                <c:pt idx="22">
                  <c:v>11.963725</c:v>
                </c:pt>
                <c:pt idx="23">
                  <c:v>34.8733</c:v>
                </c:pt>
                <c:pt idx="24">
                  <c:v>23.044533333333334</c:v>
                </c:pt>
                <c:pt idx="25">
                  <c:v>10.2904</c:v>
                </c:pt>
                <c:pt idx="26">
                  <c:v>22.374725000000002</c:v>
                </c:pt>
                <c:pt idx="27">
                  <c:v>3.0128000000000004</c:v>
                </c:pt>
                <c:pt idx="28">
                  <c:v>13.656266666666667</c:v>
                </c:pt>
                <c:pt idx="29">
                  <c:v>17.571920000000002</c:v>
                </c:pt>
                <c:pt idx="30">
                  <c:v>8.3434000000000008</c:v>
                </c:pt>
                <c:pt idx="31">
                  <c:v>55.496100000000006</c:v>
                </c:pt>
                <c:pt idx="32">
                  <c:v>48.851533333333329</c:v>
                </c:pt>
                <c:pt idx="33">
                  <c:v>28.362200000000001</c:v>
                </c:pt>
                <c:pt idx="34">
                  <c:v>26.652933333333333</c:v>
                </c:pt>
                <c:pt idx="35">
                  <c:v>10.275500000000001</c:v>
                </c:pt>
                <c:pt idx="36">
                  <c:v>10.632416666666666</c:v>
                </c:pt>
                <c:pt idx="37">
                  <c:v>59.278966666666669</c:v>
                </c:pt>
                <c:pt idx="38">
                  <c:v>9.7833500000000004</c:v>
                </c:pt>
                <c:pt idx="39">
                  <c:v>68.084133333333327</c:v>
                </c:pt>
                <c:pt idx="40">
                  <c:v>117.53453333333334</c:v>
                </c:pt>
                <c:pt idx="41">
                  <c:v>22.665900000000001</c:v>
                </c:pt>
                <c:pt idx="42">
                  <c:v>10.796133333333335</c:v>
                </c:pt>
                <c:pt idx="43">
                  <c:v>43.686300000000003</c:v>
                </c:pt>
                <c:pt idx="44">
                  <c:v>63.285833333333329</c:v>
                </c:pt>
                <c:pt idx="45">
                  <c:v>51.269433333333332</c:v>
                </c:pt>
                <c:pt idx="46">
                  <c:v>21.298866666666669</c:v>
                </c:pt>
                <c:pt idx="47">
                  <c:v>26.155699999999996</c:v>
                </c:pt>
                <c:pt idx="48">
                  <c:v>48.038199999999996</c:v>
                </c:pt>
                <c:pt idx="49">
                  <c:v>40.164833333333334</c:v>
                </c:pt>
                <c:pt idx="50">
                  <c:v>7.7741333333333342</c:v>
                </c:pt>
                <c:pt idx="51">
                  <c:v>26.2316</c:v>
                </c:pt>
                <c:pt idx="52">
                  <c:v>7.5239000000000003</c:v>
                </c:pt>
                <c:pt idx="53">
                  <c:v>16.596900000000002</c:v>
                </c:pt>
                <c:pt idx="54">
                  <c:v>47.592914285714286</c:v>
                </c:pt>
                <c:pt idx="55">
                  <c:v>15.841100000000001</c:v>
                </c:pt>
                <c:pt idx="56">
                  <c:v>29.492583333333332</c:v>
                </c:pt>
                <c:pt idx="57">
                  <c:v>24.516249999999999</c:v>
                </c:pt>
                <c:pt idx="58">
                  <c:v>10.201650000000001</c:v>
                </c:pt>
                <c:pt idx="59">
                  <c:v>152.23699999999999</c:v>
                </c:pt>
                <c:pt idx="60">
                  <c:v>28.135159999999996</c:v>
                </c:pt>
                <c:pt idx="61">
                  <c:v>12.935</c:v>
                </c:pt>
                <c:pt idx="62">
                  <c:v>30.84712</c:v>
                </c:pt>
                <c:pt idx="63">
                  <c:v>7.7252499999999991</c:v>
                </c:pt>
                <c:pt idx="64">
                  <c:v>34.576799999999999</c:v>
                </c:pt>
                <c:pt idx="65">
                  <c:v>53.388057142857143</c:v>
                </c:pt>
                <c:pt idx="66">
                  <c:v>36.371699999999997</c:v>
                </c:pt>
                <c:pt idx="67">
                  <c:v>7.3055833333333338</c:v>
                </c:pt>
                <c:pt idx="68">
                  <c:v>61.929700000000004</c:v>
                </c:pt>
                <c:pt idx="69">
                  <c:v>12.217279999999999</c:v>
                </c:pt>
                <c:pt idx="70">
                  <c:v>29.195599999999999</c:v>
                </c:pt>
                <c:pt idx="71">
                  <c:v>38.349159999999998</c:v>
                </c:pt>
                <c:pt idx="72">
                  <c:v>20.394500000000001</c:v>
                </c:pt>
                <c:pt idx="73">
                  <c:v>7.8978800000000007</c:v>
                </c:pt>
                <c:pt idx="74">
                  <c:v>36.441650000000003</c:v>
                </c:pt>
                <c:pt idx="75">
                  <c:v>46.5944</c:v>
                </c:pt>
                <c:pt idx="76">
                  <c:v>45.540980000000005</c:v>
                </c:pt>
                <c:pt idx="77">
                  <c:v>42.697400000000002</c:v>
                </c:pt>
                <c:pt idx="78">
                  <c:v>8.0787499999999994</c:v>
                </c:pt>
                <c:pt idx="79">
                  <c:v>90.213666666666654</c:v>
                </c:pt>
                <c:pt idx="80">
                  <c:v>10.704325000000001</c:v>
                </c:pt>
                <c:pt idx="81">
                  <c:v>141.81549999999999</c:v>
                </c:pt>
                <c:pt idx="82">
                  <c:v>24.310020000000002</c:v>
                </c:pt>
                <c:pt idx="83">
                  <c:v>19.725149999999999</c:v>
                </c:pt>
                <c:pt idx="84">
                  <c:v>12.405250000000001</c:v>
                </c:pt>
                <c:pt idx="85">
                  <c:v>11.864560000000001</c:v>
                </c:pt>
                <c:pt idx="86">
                  <c:v>33.000599999999999</c:v>
                </c:pt>
                <c:pt idx="87">
                  <c:v>59.747320000000002</c:v>
                </c:pt>
                <c:pt idx="88">
                  <c:v>12.0702</c:v>
                </c:pt>
                <c:pt idx="89">
                  <c:v>10.17182</c:v>
                </c:pt>
                <c:pt idx="90">
                  <c:v>10.242833333333332</c:v>
                </c:pt>
                <c:pt idx="91">
                  <c:v>116.59065</c:v>
                </c:pt>
                <c:pt idx="92">
                  <c:v>44.507580000000004</c:v>
                </c:pt>
                <c:pt idx="93">
                  <c:v>37.968600000000002</c:v>
                </c:pt>
                <c:pt idx="94">
                  <c:v>34.401712500000002</c:v>
                </c:pt>
                <c:pt idx="95">
                  <c:v>73.128866666666667</c:v>
                </c:pt>
                <c:pt idx="96">
                  <c:v>10.504514285714285</c:v>
                </c:pt>
                <c:pt idx="97">
                  <c:v>60.989100000000001</c:v>
                </c:pt>
                <c:pt idx="98">
                  <c:v>25.930929999999989</c:v>
                </c:pt>
              </c:numCache>
            </c:numRef>
          </c:val>
          <c:extLst>
            <c:ext xmlns:c16="http://schemas.microsoft.com/office/drawing/2014/chart" uri="{C3380CC4-5D6E-409C-BE32-E72D297353CC}">
              <c16:uniqueId val="{00000000-1128-4E27-B659-67A273BBCB9E}"/>
            </c:ext>
          </c:extLst>
        </c:ser>
        <c:dLbls>
          <c:showLegendKey val="0"/>
          <c:showVal val="0"/>
          <c:showCatName val="0"/>
          <c:showSerName val="0"/>
          <c:showPercent val="0"/>
          <c:showBubbleSize val="0"/>
        </c:dLbls>
        <c:gapWidth val="219"/>
        <c:overlap val="-27"/>
        <c:axId val="1529162639"/>
        <c:axId val="1529163119"/>
      </c:barChart>
      <c:catAx>
        <c:axId val="15291626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529163119"/>
        <c:crosses val="autoZero"/>
        <c:auto val="1"/>
        <c:lblAlgn val="ctr"/>
        <c:lblOffset val="100"/>
        <c:noMultiLvlLbl val="0"/>
      </c:catAx>
      <c:valAx>
        <c:axId val="15291631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529162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246</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DOMINGUEZ LOPEZ</dc:creator>
  <cp:keywords/>
  <dc:description/>
  <cp:lastModifiedBy>MARIO DOMINGUEZ LOPEZ</cp:lastModifiedBy>
  <cp:revision>2</cp:revision>
  <dcterms:created xsi:type="dcterms:W3CDTF">2026-05-08T21:15:00Z</dcterms:created>
  <dcterms:modified xsi:type="dcterms:W3CDTF">2026-05-08T21:30:00Z</dcterms:modified>
</cp:coreProperties>
</file>