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4C7004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по дисциплине: «ВМС»</w:t>
      </w:r>
    </w:p>
    <w:p w:rsidR="00911059" w:rsidRPr="00911059" w:rsidRDefault="00445021" w:rsidP="0091105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911059" w:rsidRPr="00911059">
        <w:rPr>
          <w:rFonts w:ascii="Times New Roman" w:eastAsia="Times New Roman" w:hAnsi="Times New Roman" w:cs="Times New Roman"/>
          <w:sz w:val="28"/>
          <w:szCs w:val="28"/>
        </w:rPr>
        <w:t>Исследование функционирования АЦП и процедур вывода</w:t>
      </w:r>
    </w:p>
    <w:p w:rsidR="0090309C" w:rsidRPr="00960A99" w:rsidRDefault="00911059" w:rsidP="0091105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1059">
        <w:rPr>
          <w:rFonts w:ascii="Times New Roman" w:eastAsia="Times New Roman" w:hAnsi="Times New Roman" w:cs="Times New Roman"/>
          <w:sz w:val="28"/>
          <w:szCs w:val="28"/>
        </w:rPr>
        <w:t>информации в микроконтроллерах AVR</w:t>
      </w:r>
      <w:r w:rsidR="0044502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44502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ст.гр. ИСб/22о</w:t>
      </w: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Воронин И.Ю.</w:t>
      </w: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960A99" w:rsidRPr="00960A99" w:rsidRDefault="00960A99" w:rsidP="00960A99">
      <w:pPr>
        <w:spacing w:line="259" w:lineRule="auto"/>
        <w:ind w:left="7230" w:hanging="142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Кудрявченко И.В.</w:t>
      </w:r>
    </w:p>
    <w:p w:rsidR="00960A99" w:rsidRPr="00960A99" w:rsidRDefault="00960A99" w:rsidP="00960A99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44502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г. Севастополь</w:t>
      </w:r>
    </w:p>
    <w:p w:rsidR="00960A99" w:rsidRPr="00960A99" w:rsidRDefault="00960A99" w:rsidP="00960A99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60A99">
        <w:rPr>
          <w:rFonts w:ascii="Times New Roman" w:eastAsia="Times New Roman" w:hAnsi="Times New Roman" w:cs="Times New Roman"/>
          <w:sz w:val="28"/>
          <w:szCs w:val="28"/>
        </w:rPr>
        <w:t>2016 г.</w:t>
      </w:r>
    </w:p>
    <w:p w:rsidR="00960A99" w:rsidRPr="00960A99" w:rsidRDefault="00960A99" w:rsidP="00960A99">
      <w:pPr>
        <w:pStyle w:val="a3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lastRenderedPageBreak/>
        <w:t>Цель работы</w:t>
      </w:r>
    </w:p>
    <w:p w:rsidR="00911059" w:rsidRDefault="00911059" w:rsidP="00911059">
      <w:pPr>
        <w:spacing w:line="257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911059">
        <w:rPr>
          <w:rFonts w:ascii="Times New Roman" w:hAnsi="Times New Roman" w:cs="Times New Roman"/>
          <w:color w:val="000000"/>
          <w:sz w:val="28"/>
          <w:szCs w:val="26"/>
        </w:rPr>
        <w:t xml:space="preserve">Целью работы является изучение </w:t>
      </w:r>
      <w:r>
        <w:rPr>
          <w:rFonts w:ascii="Times New Roman" w:hAnsi="Times New Roman" w:cs="Times New Roman"/>
          <w:color w:val="000000"/>
          <w:sz w:val="28"/>
          <w:szCs w:val="26"/>
        </w:rPr>
        <w:t>и исследование процессов цифро-</w:t>
      </w:r>
      <w:r w:rsidRPr="00911059">
        <w:rPr>
          <w:rFonts w:ascii="Times New Roman" w:hAnsi="Times New Roman" w:cs="Times New Roman"/>
          <w:color w:val="000000"/>
          <w:sz w:val="28"/>
          <w:szCs w:val="26"/>
        </w:rPr>
        <w:t xml:space="preserve">аналогового преобразования сигналов и вывода информации на </w:t>
      </w:r>
      <w:r>
        <w:rPr>
          <w:rFonts w:ascii="Times New Roman" w:hAnsi="Times New Roman" w:cs="Times New Roman"/>
          <w:color w:val="000000"/>
          <w:sz w:val="28"/>
          <w:szCs w:val="26"/>
        </w:rPr>
        <w:t>цифровые инди</w:t>
      </w:r>
      <w:r w:rsidRPr="00911059">
        <w:rPr>
          <w:rFonts w:ascii="Times New Roman" w:hAnsi="Times New Roman" w:cs="Times New Roman"/>
          <w:color w:val="000000"/>
          <w:sz w:val="28"/>
          <w:szCs w:val="26"/>
        </w:rPr>
        <w:t>каторы в однокристальных микро-ЭВМ и пр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иобретение практических навыков </w:t>
      </w:r>
      <w:r w:rsidRPr="00911059">
        <w:rPr>
          <w:rFonts w:ascii="Times New Roman" w:hAnsi="Times New Roman" w:cs="Times New Roman"/>
          <w:color w:val="000000"/>
          <w:sz w:val="28"/>
          <w:szCs w:val="26"/>
        </w:rPr>
        <w:t>составления, исследования и отладки мик</w:t>
      </w:r>
      <w:r>
        <w:rPr>
          <w:rFonts w:ascii="Times New Roman" w:hAnsi="Times New Roman" w:cs="Times New Roman"/>
          <w:color w:val="000000"/>
          <w:sz w:val="28"/>
          <w:szCs w:val="26"/>
        </w:rPr>
        <w:t>ропроцессорных систем и их про</w:t>
      </w:r>
      <w:r w:rsidRPr="00911059">
        <w:rPr>
          <w:rFonts w:ascii="Times New Roman" w:hAnsi="Times New Roman" w:cs="Times New Roman"/>
          <w:color w:val="000000"/>
          <w:sz w:val="28"/>
          <w:szCs w:val="26"/>
        </w:rPr>
        <w:t>граммного обеспечения.</w:t>
      </w:r>
    </w:p>
    <w:p w:rsidR="00911059" w:rsidRDefault="00911059" w:rsidP="00911059">
      <w:pPr>
        <w:spacing w:line="257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</w:p>
    <w:p w:rsidR="00960A99" w:rsidRDefault="00960A99" w:rsidP="00911059">
      <w:pPr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2.Вариант задания</w:t>
      </w:r>
    </w:p>
    <w:p w:rsidR="00374354" w:rsidRDefault="00960A99" w:rsidP="009D033B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Вариант №1</w:t>
      </w:r>
    </w:p>
    <w:p w:rsidR="00374354" w:rsidRPr="00214F99" w:rsidRDefault="00214F99" w:rsidP="00214F9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4F99">
        <w:rPr>
          <w:rFonts w:ascii="Times New Roman" w:hAnsi="Times New Roman" w:cs="Times New Roman"/>
          <w:sz w:val="28"/>
          <w:szCs w:val="28"/>
        </w:rPr>
        <w:t>В одном из регистров общего назначения записано число, определяющее заданный уровень порога преобразуемого напряжения. Если напряжение на входе АЦП меньше (ниже) этого порога, то на семис</w:t>
      </w:r>
      <w:r w:rsidRPr="00214F99">
        <w:rPr>
          <w:rFonts w:ascii="Times New Roman" w:hAnsi="Times New Roman" w:cs="Times New Roman"/>
          <w:sz w:val="28"/>
          <w:szCs w:val="28"/>
        </w:rPr>
        <w:t>егментном индикаторе HG2 высве</w:t>
      </w:r>
      <w:r w:rsidRPr="00214F99">
        <w:rPr>
          <w:rFonts w:ascii="Times New Roman" w:hAnsi="Times New Roman" w:cs="Times New Roman"/>
          <w:sz w:val="28"/>
          <w:szCs w:val="28"/>
        </w:rPr>
        <w:t>чивается буква Н, при равенстве напряжений –</w:t>
      </w:r>
      <w:r w:rsidRPr="00214F99">
        <w:rPr>
          <w:rFonts w:ascii="Times New Roman" w:hAnsi="Times New Roman" w:cs="Times New Roman"/>
          <w:sz w:val="28"/>
          <w:szCs w:val="28"/>
        </w:rPr>
        <w:t xml:space="preserve"> буква Р, при превышении преоб</w:t>
      </w:r>
      <w:r w:rsidRPr="00214F99">
        <w:rPr>
          <w:rFonts w:ascii="Times New Roman" w:hAnsi="Times New Roman" w:cs="Times New Roman"/>
          <w:sz w:val="28"/>
          <w:szCs w:val="28"/>
        </w:rPr>
        <w:t>разуемым напряжением уровня порога (больше) – буква Б. При выполнении этого задания два младших разряда преобразованного числа АЦП опустить.</w:t>
      </w:r>
    </w:p>
    <w:p w:rsidR="00B10366" w:rsidRDefault="00B10366" w:rsidP="00960A99">
      <w:pPr>
        <w:tabs>
          <w:tab w:val="center" w:pos="4677"/>
          <w:tab w:val="left" w:pos="7110"/>
        </w:tabs>
        <w:spacing w:line="276" w:lineRule="auto"/>
        <w:rPr>
          <w:rFonts w:ascii="Times New Roman" w:hAnsi="Times New Roman" w:cs="Times New Roman"/>
          <w:color w:val="000000"/>
          <w:sz w:val="32"/>
          <w:szCs w:val="26"/>
        </w:rPr>
      </w:pPr>
    </w:p>
    <w:p w:rsidR="00960A99" w:rsidRDefault="00960A99" w:rsidP="00960A99">
      <w:pPr>
        <w:tabs>
          <w:tab w:val="center" w:pos="4677"/>
          <w:tab w:val="left" w:pos="7110"/>
        </w:tabs>
        <w:spacing w:line="276" w:lineRule="auto"/>
        <w:rPr>
          <w:rFonts w:ascii="Times New Roman" w:hAnsi="Times New Roman" w:cs="Times New Roman"/>
          <w:color w:val="000000"/>
          <w:sz w:val="32"/>
          <w:szCs w:val="26"/>
        </w:rPr>
      </w:pPr>
      <w:r>
        <w:rPr>
          <w:rFonts w:ascii="Times New Roman" w:hAnsi="Times New Roman" w:cs="Times New Roman"/>
          <w:color w:val="000000"/>
          <w:sz w:val="32"/>
          <w:szCs w:val="26"/>
        </w:rPr>
        <w:tab/>
        <w:t>3. Схема установки</w:t>
      </w:r>
    </w:p>
    <w:p w:rsidR="00CD1066" w:rsidRPr="00CD1066" w:rsidRDefault="00B10366" w:rsidP="00CD1066">
      <w:pPr>
        <w:spacing w:line="276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рисунке 3.1 изображена схема, на которой к микроконтроллеру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ATMEGA</w:t>
      </w:r>
      <w:r w:rsidR="00214F99" w:rsidRPr="00214F99">
        <w:rPr>
          <w:rFonts w:ascii="Times New Roman" w:hAnsi="Times New Roman" w:cs="Times New Roman"/>
          <w:noProof/>
          <w:sz w:val="28"/>
          <w:szCs w:val="28"/>
          <w:lang w:eastAsia="ru-RU"/>
        </w:rPr>
        <w:t>16</w:t>
      </w:r>
      <w:r w:rsidRPr="00B103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подкючены к пинам порта </w:t>
      </w:r>
      <w:r w:rsidR="00214F99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9302B4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214F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</w:t>
      </w:r>
      <w:r w:rsidR="009302B4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14F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пины семисегментного индикатора, подключена кнопка </w:t>
      </w:r>
      <w:r w:rsidR="00214F99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214F9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RESET</w:t>
      </w:r>
      <w:r w:rsidR="00214F99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CD10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переменный резистор. </w:t>
      </w:r>
      <w:r w:rsidR="007B2E6B">
        <w:rPr>
          <w:rFonts w:ascii="Times New Roman" w:hAnsi="Times New Roman" w:cs="Times New Roman"/>
          <w:noProof/>
          <w:sz w:val="28"/>
          <w:szCs w:val="28"/>
          <w:lang w:eastAsia="ru-RU"/>
        </w:rPr>
        <w:t>Также в цепи находятся источники напряжения.</w:t>
      </w:r>
    </w:p>
    <w:p w:rsidR="00960A99" w:rsidRDefault="00CD1066" w:rsidP="00B10366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noProof/>
          <w:lang w:eastAsia="ru-RU"/>
        </w:rPr>
        <w:drawing>
          <wp:inline distT="0" distB="0" distL="0" distR="0" wp14:anchorId="65A805C7" wp14:editId="04B995EF">
            <wp:extent cx="4622241" cy="283950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606" t="23767" r="5412" b="17255"/>
                    <a:stretch/>
                  </pic:blipFill>
                  <pic:spPr bwMode="auto">
                    <a:xfrm>
                      <a:off x="0" y="0"/>
                      <a:ext cx="4646693" cy="285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65D" w:rsidRPr="0015265D" w:rsidRDefault="00960A99" w:rsidP="0015265D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Рисунок 3.1 – Схема установки</w:t>
      </w:r>
    </w:p>
    <w:p w:rsidR="00960A99" w:rsidRDefault="002F5054" w:rsidP="00960A99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26"/>
        </w:rPr>
      </w:pPr>
      <w:r>
        <w:rPr>
          <w:rFonts w:ascii="Times New Roman" w:hAnsi="Times New Roman" w:cs="Times New Roman"/>
          <w:color w:val="000000"/>
          <w:sz w:val="32"/>
          <w:szCs w:val="26"/>
        </w:rPr>
        <w:lastRenderedPageBreak/>
        <w:t>4. Код</w:t>
      </w:r>
      <w:r w:rsidR="00960A99">
        <w:rPr>
          <w:rFonts w:ascii="Times New Roman" w:hAnsi="Times New Roman" w:cs="Times New Roman"/>
          <w:color w:val="000000"/>
          <w:sz w:val="32"/>
          <w:szCs w:val="26"/>
        </w:rPr>
        <w:t xml:space="preserve"> программы</w:t>
      </w:r>
    </w:p>
    <w:p w:rsidR="00B8108E" w:rsidRPr="00AF6D1B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F6D1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.include </w:t>
      </w:r>
      <w:r w:rsidRPr="00AF6D1B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"m16def.inc"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.def temp    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r16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.def code    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r17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.def value   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r18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.def letterH 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r19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.def letterP 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r20</w:t>
      </w:r>
    </w:p>
    <w:p w:rsidR="00B8108E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.def letterB 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r21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.org </w:t>
      </w:r>
      <w:r w:rsidRPr="00760C5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0x0000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rjmp init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.org </w:t>
      </w:r>
      <w:r w:rsidRPr="00760C5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0x001c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rjmp inADC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init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760C5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Настройка</w:t>
      </w:r>
      <w:r w:rsidRPr="00760C5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Stack Pointer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ldi temp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0C50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high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RAMEND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760C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SPH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  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ldi temp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0C50">
        <w:rPr>
          <w:rFonts w:ascii="Courier New" w:hAnsi="Courier New" w:cs="Courier New"/>
          <w:color w:val="0080FF"/>
          <w:sz w:val="20"/>
          <w:szCs w:val="20"/>
          <w:highlight w:val="white"/>
          <w:lang w:val="en-US"/>
        </w:rPr>
        <w:t>low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RAMEND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B8108E" w:rsidRPr="006A4D56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760C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</w:t>
      </w:r>
      <w:r w:rsidRPr="006A4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</w:p>
    <w:p w:rsidR="00B8108E" w:rsidRPr="006A4D56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B8108E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Подключить 0 пин порта A на вход с подтягивающим резистором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cbi DDRA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0C5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sbi PORTA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0C5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ldi temp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0C5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0b11111111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760C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DDRC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760C5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Настройка</w:t>
      </w:r>
      <w:r w:rsidRPr="00760C5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АЦП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ldi temp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0C5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0b00000000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760C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ADMUX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ldi temp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0C5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0b11101010</w:t>
      </w:r>
    </w:p>
    <w:p w:rsidR="00B8108E" w:rsidRPr="006A4D56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AF6D1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F6D1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ADCSRA</w:t>
      </w:r>
      <w:r w:rsidRPr="006A4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F6D1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</w:p>
    <w:p w:rsidR="00B8108E" w:rsidRPr="006A4D56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B8108E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;Настройка Порта Д на вывод</w:t>
      </w:r>
    </w:p>
    <w:p w:rsidR="00B8108E" w:rsidRPr="006A4D56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ldi</w:t>
      </w: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r w:rsidRPr="006A4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A4D56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760C5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xFF</w:t>
      </w:r>
    </w:p>
    <w:p w:rsidR="00B8108E" w:rsidRPr="006A4D56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760C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DDRD</w:t>
      </w:r>
      <w:r w:rsidRPr="006A4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</w:p>
    <w:p w:rsidR="00B8108E" w:rsidRPr="006A4D56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B8108E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;Установка значений подающихся на дисплей</w:t>
      </w:r>
    </w:p>
    <w:p w:rsidR="00B8108E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ldi letterH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0b01110110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com letterH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ldi letterB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60C50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0b01111101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com letterB</w:t>
      </w:r>
    </w:p>
    <w:p w:rsidR="00B8108E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ldi letterP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0b01110011</w:t>
      </w:r>
    </w:p>
    <w:p w:rsidR="00B8108E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com letterP</w:t>
      </w:r>
    </w:p>
    <w:p w:rsidR="00B8108E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B8108E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;Установка значения, с которым будет происходить сравнение</w:t>
      </w:r>
    </w:p>
    <w:p w:rsidR="00B8108E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ldi value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0x80</w:t>
      </w:r>
    </w:p>
    <w:p w:rsidR="00B8108E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B8108E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Разрешить прерывания</w:t>
      </w:r>
    </w:p>
    <w:p w:rsidR="00B8108E" w:rsidRPr="00987AF6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87A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sei</w:t>
      </w:r>
    </w:p>
    <w:p w:rsidR="00B8108E" w:rsidRPr="00987AF6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987A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Цикл</w:t>
      </w:r>
      <w:r w:rsidRPr="00760C50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ожидания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forever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760C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nop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rjmp forever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B8108E" w:rsidRPr="006A4D56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A4D56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Обработка</w:t>
      </w:r>
      <w:r w:rsidRPr="006A4D56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прерывания</w:t>
      </w:r>
    </w:p>
    <w:p w:rsidR="00B8108E" w:rsidRPr="006A4D56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F6D1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inADC</w:t>
      </w:r>
      <w:r w:rsidRPr="006A4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8108E" w:rsidRPr="006A4D56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AF6D1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F6D1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r w:rsidRPr="006A4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F6D1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ADCL</w:t>
      </w:r>
    </w:p>
    <w:p w:rsidR="00B8108E" w:rsidRPr="00AF6D1B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AF6D1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AF6D1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code</w:t>
      </w:r>
      <w:r w:rsidRPr="00AF6D1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F6D1B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ADCH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lsr temp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lsr temp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swap code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760C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lsl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code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760C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lsl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code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760C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code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</w:p>
    <w:p w:rsidR="00B8108E" w:rsidRPr="006A4D56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rcall display</w:t>
      </w:r>
    </w:p>
    <w:p w:rsidR="00B8108E" w:rsidRPr="006A4D56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reti</w:t>
      </w:r>
    </w:p>
    <w:p w:rsidR="00B8108E" w:rsidRPr="006A4D56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B8108E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 Вывод информации на дисплей</w:t>
      </w:r>
    </w:p>
    <w:p w:rsidR="00B8108E" w:rsidRPr="006A4D56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display</w:t>
      </w:r>
      <w:r w:rsidRPr="006A4D5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A4D5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cp code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breq inputLetterP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cp code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brlo inputLetterH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760C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jmp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inputLetterB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inputLetterP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760C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PORTD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letterP</w:t>
      </w:r>
    </w:p>
    <w:p w:rsidR="00B8108E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760C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inputLetterH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760C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PORTD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letterH</w:t>
      </w:r>
    </w:p>
    <w:p w:rsidR="00B8108E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760C50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8108E" w:rsidRPr="00760C50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inputLetterB</w:t>
      </w:r>
      <w:r w:rsidRPr="00760C5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8108E" w:rsidRPr="00987AF6" w:rsidRDefault="00B8108E" w:rsidP="00B8108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60C5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987A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987A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PORTD</w:t>
      </w:r>
      <w:r w:rsidRPr="00987AF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987A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letterB</w:t>
      </w:r>
    </w:p>
    <w:p w:rsidR="00B8108E" w:rsidRPr="00987AF6" w:rsidRDefault="00B8108E" w:rsidP="00B8108E">
      <w:pPr>
        <w:autoSpaceDE w:val="0"/>
        <w:autoSpaceDN w:val="0"/>
        <w:adjustRightInd w:val="0"/>
        <w:spacing w:after="0" w:line="276" w:lineRule="auto"/>
        <w:ind w:left="708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</w:pPr>
      <w:r w:rsidRPr="00987AF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987AF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</w:t>
      </w:r>
    </w:p>
    <w:p w:rsidR="00C64254" w:rsidRPr="00987AF6" w:rsidRDefault="00C64254" w:rsidP="00C64254">
      <w:pPr>
        <w:rPr>
          <w:rFonts w:ascii="Times New Roman" w:hAnsi="Times New Roman" w:cs="Times New Roman"/>
          <w:bCs/>
          <w:sz w:val="32"/>
          <w:szCs w:val="20"/>
          <w:highlight w:val="white"/>
          <w:lang w:val="en-US"/>
        </w:rPr>
      </w:pPr>
    </w:p>
    <w:p w:rsidR="00987AF6" w:rsidRDefault="00987AF6" w:rsidP="00987AF6">
      <w:pPr>
        <w:spacing w:line="257" w:lineRule="auto"/>
        <w:ind w:firstLine="709"/>
        <w:jc w:val="center"/>
        <w:rPr>
          <w:rFonts w:ascii="Times New Roman" w:hAnsi="Times New Roman" w:cs="Times New Roman"/>
          <w:bCs/>
          <w:sz w:val="32"/>
          <w:szCs w:val="20"/>
          <w:highlight w:val="white"/>
        </w:rPr>
      </w:pPr>
      <w:r>
        <w:rPr>
          <w:rFonts w:ascii="Times New Roman" w:hAnsi="Times New Roman" w:cs="Times New Roman"/>
          <w:bCs/>
          <w:sz w:val="32"/>
          <w:szCs w:val="20"/>
          <w:highlight w:val="white"/>
          <w:lang w:val="en-US"/>
        </w:rPr>
        <w:t>5</w:t>
      </w:r>
      <w:r>
        <w:rPr>
          <w:rFonts w:ascii="Times New Roman" w:hAnsi="Times New Roman" w:cs="Times New Roman"/>
          <w:bCs/>
          <w:sz w:val="32"/>
          <w:szCs w:val="20"/>
          <w:highlight w:val="white"/>
        </w:rPr>
        <w:t>. Выполнение программы</w:t>
      </w:r>
    </w:p>
    <w:p w:rsidR="00987AF6" w:rsidRDefault="00987AF6" w:rsidP="00987AF6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0"/>
          <w:highlight w:val="white"/>
        </w:rPr>
      </w:pPr>
      <w:r>
        <w:rPr>
          <w:rFonts w:ascii="Times New Roman" w:hAnsi="Times New Roman" w:cs="Times New Roman"/>
          <w:bCs/>
          <w:sz w:val="28"/>
          <w:szCs w:val="20"/>
          <w:highlight w:val="white"/>
        </w:rPr>
        <w:t>При выполнении программы есть ли 3 основных режима выполнения:</w:t>
      </w:r>
    </w:p>
    <w:p w:rsidR="00987AF6" w:rsidRPr="00987AF6" w:rsidRDefault="00987AF6" w:rsidP="00987AF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0"/>
          <w:highlight w:val="white"/>
        </w:rPr>
      </w:pPr>
      <w:r w:rsidRPr="00987AF6">
        <w:rPr>
          <w:rFonts w:ascii="Times New Roman" w:hAnsi="Times New Roman" w:cs="Times New Roman"/>
          <w:bCs/>
          <w:sz w:val="28"/>
          <w:szCs w:val="20"/>
          <w:highlight w:val="white"/>
        </w:rPr>
        <w:t>значение АЦП и за</w:t>
      </w:r>
      <w:r w:rsidRPr="00987AF6">
        <w:rPr>
          <w:rFonts w:ascii="Times New Roman" w:hAnsi="Times New Roman" w:cs="Times New Roman"/>
          <w:bCs/>
          <w:sz w:val="28"/>
          <w:szCs w:val="20"/>
          <w:highlight w:val="white"/>
        </w:rPr>
        <w:t>писанного числа в регистр равны (рис.6.1)</w:t>
      </w:r>
    </w:p>
    <w:p w:rsidR="00987AF6" w:rsidRPr="00987AF6" w:rsidRDefault="00987AF6" w:rsidP="00987AF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0"/>
          <w:highlight w:val="white"/>
        </w:rPr>
      </w:pPr>
      <w:r w:rsidRPr="00987AF6">
        <w:rPr>
          <w:rFonts w:ascii="Times New Roman" w:hAnsi="Times New Roman" w:cs="Times New Roman"/>
          <w:bCs/>
          <w:sz w:val="28"/>
          <w:szCs w:val="20"/>
          <w:highlight w:val="white"/>
        </w:rPr>
        <w:t>значение АЦП бол</w:t>
      </w:r>
      <w:r w:rsidRPr="00987AF6">
        <w:rPr>
          <w:rFonts w:ascii="Times New Roman" w:hAnsi="Times New Roman" w:cs="Times New Roman"/>
          <w:bCs/>
          <w:sz w:val="28"/>
          <w:szCs w:val="20"/>
          <w:highlight w:val="white"/>
        </w:rPr>
        <w:t>ьше записанного числа в регистр (рис.6.2)</w:t>
      </w:r>
    </w:p>
    <w:p w:rsidR="00987AF6" w:rsidRPr="00987AF6" w:rsidRDefault="00987AF6" w:rsidP="00987AF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0"/>
          <w:highlight w:val="white"/>
        </w:rPr>
      </w:pPr>
      <w:r w:rsidRPr="00987AF6">
        <w:rPr>
          <w:rFonts w:ascii="Times New Roman" w:hAnsi="Times New Roman" w:cs="Times New Roman"/>
          <w:sz w:val="28"/>
          <w:szCs w:val="20"/>
          <w:highlight w:val="white"/>
        </w:rPr>
        <w:t>значение АЦП меньше записанного числа в регистр</w:t>
      </w:r>
      <w:r w:rsidRPr="00987AF6">
        <w:rPr>
          <w:rFonts w:ascii="Times New Roman" w:hAnsi="Times New Roman" w:cs="Times New Roman"/>
          <w:sz w:val="28"/>
          <w:szCs w:val="20"/>
          <w:highlight w:val="white"/>
        </w:rPr>
        <w:t xml:space="preserve"> (рис.6.3)</w:t>
      </w:r>
    </w:p>
    <w:p w:rsidR="00987AF6" w:rsidRDefault="00987AF6" w:rsidP="00987AF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0"/>
          <w:highlight w:val="white"/>
        </w:rPr>
      </w:pPr>
    </w:p>
    <w:p w:rsidR="00631C07" w:rsidRDefault="00631C07" w:rsidP="00987AF6">
      <w:pPr>
        <w:autoSpaceDE w:val="0"/>
        <w:autoSpaceDN w:val="0"/>
        <w:adjustRightInd w:val="0"/>
        <w:spacing w:after="0" w:line="276" w:lineRule="auto"/>
        <w:jc w:val="center"/>
        <w:rPr>
          <w:noProof/>
          <w:lang w:eastAsia="ru-RU"/>
        </w:rPr>
      </w:pPr>
    </w:p>
    <w:p w:rsidR="00631C07" w:rsidRDefault="00631C07" w:rsidP="00987AF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0"/>
          <w:highlight w:val="white"/>
        </w:rPr>
      </w:pPr>
      <w:r>
        <w:rPr>
          <w:noProof/>
          <w:lang w:eastAsia="ru-RU"/>
        </w:rPr>
        <w:drawing>
          <wp:inline distT="0" distB="0" distL="0" distR="0" wp14:anchorId="07F8B7C6" wp14:editId="6BD287F6">
            <wp:extent cx="5124659" cy="312118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107" t="26030" r="5275" b="12698"/>
                    <a:stretch/>
                  </pic:blipFill>
                  <pic:spPr bwMode="auto">
                    <a:xfrm>
                      <a:off x="0" y="0"/>
                      <a:ext cx="5166288" cy="3146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AF6" w:rsidRDefault="00987AF6" w:rsidP="00987AF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Cs/>
          <w:sz w:val="28"/>
          <w:szCs w:val="20"/>
          <w:highlight w:val="white"/>
        </w:rPr>
      </w:pPr>
      <w:r>
        <w:rPr>
          <w:rFonts w:ascii="Times New Roman" w:hAnsi="Times New Roman" w:cs="Times New Roman"/>
          <w:bCs/>
          <w:sz w:val="28"/>
          <w:szCs w:val="20"/>
          <w:highlight w:val="white"/>
        </w:rPr>
        <w:t xml:space="preserve">Рисунок 6.1 – Вывод </w:t>
      </w:r>
      <w:r>
        <w:rPr>
          <w:rFonts w:ascii="Times New Roman" w:hAnsi="Times New Roman" w:cs="Times New Roman"/>
          <w:bCs/>
          <w:sz w:val="28"/>
          <w:szCs w:val="20"/>
          <w:highlight w:val="white"/>
        </w:rPr>
        <w:t>на индикатор</w:t>
      </w:r>
      <w:r>
        <w:rPr>
          <w:rFonts w:ascii="Times New Roman" w:hAnsi="Times New Roman" w:cs="Times New Roman"/>
          <w:bCs/>
          <w:sz w:val="28"/>
          <w:szCs w:val="20"/>
          <w:highlight w:val="white"/>
        </w:rPr>
        <w:t xml:space="preserve"> «Р»</w:t>
      </w:r>
    </w:p>
    <w:p w:rsidR="00631C07" w:rsidRDefault="00631C07" w:rsidP="0024568F">
      <w:pPr>
        <w:autoSpaceDE w:val="0"/>
        <w:autoSpaceDN w:val="0"/>
        <w:adjustRightInd w:val="0"/>
        <w:spacing w:after="0" w:line="276" w:lineRule="auto"/>
        <w:rPr>
          <w:noProof/>
          <w:lang w:eastAsia="ru-RU"/>
        </w:rPr>
      </w:pPr>
    </w:p>
    <w:p w:rsidR="00987AF6" w:rsidRDefault="00631C07" w:rsidP="00631C07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0"/>
          <w:highlight w:val="white"/>
        </w:rPr>
      </w:pPr>
      <w:r>
        <w:rPr>
          <w:noProof/>
          <w:lang w:eastAsia="ru-RU"/>
        </w:rPr>
        <w:drawing>
          <wp:inline distT="0" distB="0" distL="0" distR="0" wp14:anchorId="1102C523" wp14:editId="60E9D224">
            <wp:extent cx="5305530" cy="32646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597" t="26031" r="5783" b="12062"/>
                    <a:stretch/>
                  </pic:blipFill>
                  <pic:spPr bwMode="auto">
                    <a:xfrm>
                      <a:off x="0" y="0"/>
                      <a:ext cx="5329045" cy="3279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AF6" w:rsidRDefault="00987AF6" w:rsidP="00987AF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0"/>
          <w:highlight w:val="white"/>
        </w:rPr>
      </w:pPr>
      <w:r>
        <w:rPr>
          <w:rFonts w:ascii="Times New Roman" w:hAnsi="Times New Roman" w:cs="Times New Roman"/>
          <w:sz w:val="28"/>
          <w:szCs w:val="20"/>
          <w:highlight w:val="white"/>
        </w:rPr>
        <w:t>Рисунок 6.2 – Вывод на индикатор</w:t>
      </w:r>
      <w:r>
        <w:rPr>
          <w:rFonts w:ascii="Times New Roman" w:hAnsi="Times New Roman" w:cs="Times New Roman"/>
          <w:sz w:val="28"/>
          <w:szCs w:val="20"/>
          <w:highlight w:val="white"/>
        </w:rPr>
        <w:t xml:space="preserve"> «Б»</w:t>
      </w:r>
    </w:p>
    <w:p w:rsidR="00631C07" w:rsidRDefault="00631C07" w:rsidP="00987AF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0"/>
          <w:highlight w:val="white"/>
        </w:rPr>
      </w:pPr>
    </w:p>
    <w:p w:rsidR="00631C07" w:rsidRDefault="00631C07" w:rsidP="00987AF6">
      <w:pPr>
        <w:autoSpaceDE w:val="0"/>
        <w:autoSpaceDN w:val="0"/>
        <w:adjustRightInd w:val="0"/>
        <w:spacing w:after="0" w:line="276" w:lineRule="auto"/>
        <w:jc w:val="center"/>
        <w:rPr>
          <w:noProof/>
          <w:lang w:eastAsia="ru-RU"/>
        </w:rPr>
      </w:pPr>
    </w:p>
    <w:p w:rsidR="00987AF6" w:rsidRDefault="00631C07" w:rsidP="00987AF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0"/>
          <w:highlight w:val="white"/>
        </w:rPr>
      </w:pPr>
      <w:r>
        <w:rPr>
          <w:noProof/>
          <w:lang w:eastAsia="ru-RU"/>
        </w:rPr>
        <w:drawing>
          <wp:inline distT="0" distB="0" distL="0" distR="0" wp14:anchorId="2DF8B6D4" wp14:editId="4A31FD51">
            <wp:extent cx="5235191" cy="3081531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260" t="26030" r="4261" b="12698"/>
                    <a:stretch/>
                  </pic:blipFill>
                  <pic:spPr bwMode="auto">
                    <a:xfrm>
                      <a:off x="0" y="0"/>
                      <a:ext cx="5269254" cy="3101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AF6" w:rsidRPr="00BE6E2D" w:rsidRDefault="00987AF6" w:rsidP="00987AF6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0"/>
          <w:highlight w:val="white"/>
        </w:rPr>
      </w:pPr>
      <w:r>
        <w:rPr>
          <w:rFonts w:ascii="Times New Roman" w:hAnsi="Times New Roman" w:cs="Times New Roman"/>
          <w:sz w:val="28"/>
          <w:szCs w:val="20"/>
          <w:highlight w:val="white"/>
        </w:rPr>
        <w:t xml:space="preserve">Рисунок 6.3 – Вывод </w:t>
      </w:r>
      <w:r>
        <w:rPr>
          <w:rFonts w:ascii="Times New Roman" w:hAnsi="Times New Roman" w:cs="Times New Roman"/>
          <w:sz w:val="28"/>
          <w:szCs w:val="20"/>
          <w:highlight w:val="white"/>
        </w:rPr>
        <w:t>на индикатор</w:t>
      </w:r>
      <w:r>
        <w:rPr>
          <w:rFonts w:ascii="Times New Roman" w:hAnsi="Times New Roman" w:cs="Times New Roman"/>
          <w:sz w:val="28"/>
          <w:szCs w:val="20"/>
          <w:highlight w:val="white"/>
        </w:rPr>
        <w:t xml:space="preserve"> «Н»</w:t>
      </w:r>
    </w:p>
    <w:p w:rsidR="00987AF6" w:rsidRPr="00987AF6" w:rsidRDefault="00987AF6" w:rsidP="00987AF6">
      <w:pPr>
        <w:rPr>
          <w:rFonts w:ascii="Times New Roman" w:hAnsi="Times New Roman" w:cs="Times New Roman"/>
          <w:bCs/>
          <w:sz w:val="32"/>
          <w:szCs w:val="20"/>
          <w:highlight w:val="white"/>
        </w:rPr>
      </w:pPr>
    </w:p>
    <w:p w:rsidR="00960A99" w:rsidRPr="00987AF6" w:rsidRDefault="00960A99" w:rsidP="00C64254">
      <w:pPr>
        <w:spacing w:line="257" w:lineRule="auto"/>
        <w:ind w:firstLine="709"/>
        <w:rPr>
          <w:rFonts w:ascii="Times New Roman" w:hAnsi="Times New Roman" w:cs="Times New Roman"/>
          <w:bCs/>
          <w:sz w:val="32"/>
          <w:szCs w:val="20"/>
          <w:highlight w:val="white"/>
        </w:rPr>
      </w:pPr>
      <w:r>
        <w:rPr>
          <w:rFonts w:ascii="Times New Roman" w:hAnsi="Times New Roman" w:cs="Times New Roman"/>
          <w:bCs/>
          <w:sz w:val="32"/>
          <w:szCs w:val="20"/>
          <w:highlight w:val="white"/>
        </w:rPr>
        <w:t>Вывод</w:t>
      </w:r>
    </w:p>
    <w:p w:rsidR="00DC4436" w:rsidRPr="006259CF" w:rsidRDefault="00336150" w:rsidP="006259C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>
        <w:rPr>
          <w:rFonts w:ascii="Times New Roman" w:hAnsi="Times New Roman"/>
          <w:sz w:val="28"/>
          <w:szCs w:val="28"/>
        </w:rPr>
        <w:t xml:space="preserve">выполнения данной </w:t>
      </w:r>
      <w:r>
        <w:rPr>
          <w:rFonts w:ascii="Times New Roman" w:hAnsi="Times New Roman"/>
          <w:sz w:val="28"/>
          <w:szCs w:val="28"/>
        </w:rPr>
        <w:t>лабораторной р</w:t>
      </w:r>
      <w:r>
        <w:rPr>
          <w:rFonts w:ascii="Times New Roman" w:hAnsi="Times New Roman"/>
          <w:sz w:val="28"/>
          <w:szCs w:val="28"/>
        </w:rPr>
        <w:t>аботы были</w:t>
      </w:r>
      <w:r>
        <w:rPr>
          <w:rFonts w:ascii="Times New Roman" w:hAnsi="Times New Roman"/>
          <w:sz w:val="28"/>
          <w:szCs w:val="28"/>
        </w:rPr>
        <w:t xml:space="preserve"> изучены и исследованы процессы </w:t>
      </w:r>
      <w:r>
        <w:rPr>
          <w:rFonts w:ascii="Times New Roman" w:hAnsi="Times New Roman"/>
          <w:sz w:val="28"/>
          <w:szCs w:val="28"/>
        </w:rPr>
        <w:t>АЦП</w:t>
      </w:r>
      <w:r>
        <w:rPr>
          <w:rFonts w:ascii="Times New Roman" w:hAnsi="Times New Roman"/>
          <w:sz w:val="28"/>
          <w:szCs w:val="28"/>
        </w:rPr>
        <w:t xml:space="preserve"> сигналов и информации на цифровые индикаторы в однокристальных микро-ЭВМ и приобретены практические навыки составления</w:t>
      </w:r>
      <w:r>
        <w:rPr>
          <w:rFonts w:ascii="Times New Roman" w:hAnsi="Times New Roman"/>
          <w:sz w:val="28"/>
          <w:szCs w:val="28"/>
        </w:rPr>
        <w:t xml:space="preserve"> в среде </w:t>
      </w:r>
      <w:r>
        <w:rPr>
          <w:rFonts w:ascii="Times New Roman" w:hAnsi="Times New Roman"/>
          <w:sz w:val="28"/>
          <w:szCs w:val="28"/>
          <w:lang w:val="en-US"/>
        </w:rPr>
        <w:t>Proteus</w:t>
      </w:r>
      <w:r w:rsidRPr="003361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AVR</w:t>
      </w:r>
      <w:r w:rsidRPr="003361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</w:rPr>
        <w:t>,</w:t>
      </w:r>
      <w:r w:rsidRPr="0033615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произведены тесты программы и отладка.</w:t>
      </w:r>
      <w:bookmarkStart w:id="0" w:name="_GoBack"/>
      <w:bookmarkEnd w:id="0"/>
    </w:p>
    <w:sectPr w:rsidR="00DC4436" w:rsidRPr="00625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7446"/>
    <w:multiLevelType w:val="hybridMultilevel"/>
    <w:tmpl w:val="79E24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B3B0E"/>
    <w:multiLevelType w:val="hybridMultilevel"/>
    <w:tmpl w:val="8B1E7A1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B5C5D57"/>
    <w:multiLevelType w:val="hybridMultilevel"/>
    <w:tmpl w:val="4F0E2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03D"/>
    <w:rsid w:val="001227D1"/>
    <w:rsid w:val="0015265D"/>
    <w:rsid w:val="001C403D"/>
    <w:rsid w:val="00214F99"/>
    <w:rsid w:val="0024568F"/>
    <w:rsid w:val="002F5054"/>
    <w:rsid w:val="00336150"/>
    <w:rsid w:val="00374354"/>
    <w:rsid w:val="00445021"/>
    <w:rsid w:val="004C7004"/>
    <w:rsid w:val="006259CF"/>
    <w:rsid w:val="00631C07"/>
    <w:rsid w:val="007B2E6B"/>
    <w:rsid w:val="0090309C"/>
    <w:rsid w:val="00911059"/>
    <w:rsid w:val="009302B4"/>
    <w:rsid w:val="00960A99"/>
    <w:rsid w:val="00987AF6"/>
    <w:rsid w:val="009D033B"/>
    <w:rsid w:val="00A3702C"/>
    <w:rsid w:val="00B10366"/>
    <w:rsid w:val="00B8108E"/>
    <w:rsid w:val="00C64254"/>
    <w:rsid w:val="00CD1066"/>
    <w:rsid w:val="00CE1254"/>
    <w:rsid w:val="00DC4436"/>
    <w:rsid w:val="00E16A7A"/>
    <w:rsid w:val="00E3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B6CB3"/>
  <w15:chartTrackingRefBased/>
  <w15:docId w15:val="{636554D1-1994-4F1E-AD8B-0FE7172A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60A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Воронин</dc:creator>
  <cp:keywords/>
  <dc:description/>
  <cp:lastModifiedBy>Игорь Воронин</cp:lastModifiedBy>
  <cp:revision>27</cp:revision>
  <dcterms:created xsi:type="dcterms:W3CDTF">2016-04-28T19:22:00Z</dcterms:created>
  <dcterms:modified xsi:type="dcterms:W3CDTF">2016-05-28T08:26:00Z</dcterms:modified>
</cp:coreProperties>
</file>