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pPr>
    </w:p>
    <w:p>
      <w:pPr>
        <w:spacing w:after="200"/>
        <w:jc w:val="center"/>
      </w:pPr>
      <w:r>
        <w:rPr>
          <w:b/>
          <w:bCs/>
          <w:color w:val="1F3864"/>
          <w:sz w:val="46"/>
          <w:szCs w:val="46"/>
        </w:rPr>
        <w:t xml:space="preserve">DOCUMENT D'ARCHITECTURE TECHNIQUE</w:t>
      </w:r>
    </w:p>
    <w:p>
      <w:pPr>
        <w:spacing w:after="260"/>
        <w:jc w:val="center"/>
      </w:pPr>
      <w:r>
        <w:rPr>
          <w:b/>
          <w:bCs/>
          <w:color w:val="888888"/>
          <w:sz w:val="26"/>
          <w:szCs w:val="26"/>
        </w:rPr>
        <w:t xml:space="preserve">(DAT)</w:t>
      </w:r>
    </w:p>
    <w:p>
      <w:pPr>
        <w:spacing w:after="220"/>
        <w:jc w:val="center"/>
      </w:pPr>
      <w:r>
        <w:rPr>
          <w:b/>
          <w:bCs/>
          <w:color w:val="2E5395"/>
          <w:sz w:val="26"/>
          <w:szCs w:val="26"/>
        </w:rPr>
        <w:t xml:space="preserve">Conception d'une passerelle intelligente de sécurisation des interactions entre les entreprises et les modèles d'intelligence artificielle générative</w:t>
      </w:r>
    </w:p>
    <w:p>
      <w:pPr>
        <w:spacing w:after="700"/>
        <w:jc w:val="center"/>
      </w:pPr>
      <w:r>
        <w:rPr>
          <w:i/>
          <w:iCs/>
          <w:color w:val="555555"/>
          <w:sz w:val="20"/>
          <w:szCs w:val="20"/>
        </w:rPr>
        <w:t xml:space="preserve">Cadre pratique de mise en œuvre : Caisse Nationale de Sécurité Sociale (CNSS) du Bénin</w:t>
      </w:r>
    </w:p>
    <w:p>
      <w:pPr>
        <w:jc w:val="center"/>
      </w:pPr>
      <w:r>
        <w:rPr>
          <w:color w:val="666666"/>
          <w:sz w:val="20"/>
          <w:szCs w:val="20"/>
        </w:rPr>
        <w:t xml:space="preserve">Analyse, conception, architecture logicielle, choix technologiques et plan d'implémentation</w:t>
      </w:r>
    </w:p>
    <w:p>
      <w:pPr>
        <w:spacing w:after="1000"/>
        <w:jc w:val="center"/>
      </w:pPr>
      <w:r>
        <w:rPr>
          <w:color w:val="666666"/>
          <w:sz w:val="20"/>
          <w:szCs w:val="20"/>
        </w:rPr>
        <w:t xml:space="preserve">Version 1.0</w:t>
      </w:r>
    </w:p>
    <w:p>
      <w:pPr>
        <w:jc w:val="center"/>
      </w:pPr>
      <w:r>
        <w:rPr>
          <w:color w:val="888888"/>
          <w:sz w:val="20"/>
          <w:szCs w:val="20"/>
        </w:rPr>
        <w:t xml:space="preserve">Septembre 2026</w:t>
      </w:r>
    </w:p>
    <w:p>
      <w:r>
        <w:br w:type="page"/>
      </w:r>
    </w:p>
    <w:p>
      <w:pPr>
        <w:pStyle w:val="Heading1"/>
        <w:spacing w:after="180" w:before="380"/>
      </w:pPr>
      <w:r>
        <w:t xml:space="preserve">Sommaire</w:t>
      </w:r>
    </w:p>
    <w:p>
      <w:pPr>
        <w:pStyle w:val="ListParagraph"/>
        <w:numPr>
          <w:ilvl w:val="0"/>
          <w:numId w:val="2"/>
        </w:numPr>
        <w:spacing w:after="90" w:line="280"/>
      </w:pPr>
      <w:r>
        <w:t xml:space="preserve">1. Introduction et objectifs du document</w:t>
      </w:r>
    </w:p>
    <w:p>
      <w:pPr>
        <w:pStyle w:val="ListParagraph"/>
        <w:numPr>
          <w:ilvl w:val="0"/>
          <w:numId w:val="2"/>
        </w:numPr>
        <w:spacing w:after="90" w:line="280"/>
      </w:pPr>
      <w:r>
        <w:t xml:space="preserve">2. Présentation générale du projet</w:t>
      </w:r>
    </w:p>
    <w:p>
      <w:pPr>
        <w:pStyle w:val="ListParagraph"/>
        <w:numPr>
          <w:ilvl w:val="0"/>
          <w:numId w:val="2"/>
        </w:numPr>
        <w:spacing w:after="90" w:line="280"/>
      </w:pPr>
      <w:r>
        <w:t xml:space="preserve">3. Exigences fonctionnelles et non fonctionnelles</w:t>
      </w:r>
    </w:p>
    <w:p>
      <w:pPr>
        <w:pStyle w:val="ListParagraph"/>
        <w:numPr>
          <w:ilvl w:val="0"/>
          <w:numId w:val="2"/>
        </w:numPr>
        <w:spacing w:after="90" w:line="280"/>
      </w:pPr>
      <w:r>
        <w:t xml:space="preserve">4. Méthodologie d'analyse et de conception</w:t>
      </w:r>
    </w:p>
    <w:p>
      <w:pPr>
        <w:pStyle w:val="ListParagraph"/>
        <w:numPr>
          <w:ilvl w:val="0"/>
          <w:numId w:val="2"/>
        </w:numPr>
        <w:spacing w:after="90" w:line="280"/>
      </w:pPr>
      <w:r>
        <w:t xml:space="preserve">5. Vue de contexte (C4 — Niveau 1)</w:t>
      </w:r>
    </w:p>
    <w:p>
      <w:pPr>
        <w:pStyle w:val="ListParagraph"/>
        <w:numPr>
          <w:ilvl w:val="0"/>
          <w:numId w:val="2"/>
        </w:numPr>
        <w:spacing w:after="90" w:line="280"/>
      </w:pPr>
      <w:r>
        <w:t xml:space="preserve">6. Vue des conteneurs (C4 — Niveau 2)</w:t>
      </w:r>
    </w:p>
    <w:p>
      <w:pPr>
        <w:pStyle w:val="ListParagraph"/>
        <w:numPr>
          <w:ilvl w:val="0"/>
          <w:numId w:val="2"/>
        </w:numPr>
        <w:spacing w:after="90" w:line="280"/>
      </w:pPr>
      <w:r>
        <w:t xml:space="preserve">7. Vue des composants (C4 — Niveau 3)</w:t>
      </w:r>
    </w:p>
    <w:p>
      <w:pPr>
        <w:pStyle w:val="ListParagraph"/>
        <w:numPr>
          <w:ilvl w:val="0"/>
          <w:numId w:val="2"/>
        </w:numPr>
        <w:spacing w:after="90" w:line="280"/>
      </w:pPr>
      <w:r>
        <w:t xml:space="preserve">8. Moteur de détection hybride</w:t>
      </w:r>
    </w:p>
    <w:p>
      <w:pPr>
        <w:pStyle w:val="ListParagraph"/>
        <w:numPr>
          <w:ilvl w:val="0"/>
          <w:numId w:val="2"/>
        </w:numPr>
        <w:spacing w:after="90" w:line="280"/>
      </w:pPr>
      <w:r>
        <w:t xml:space="preserve">9. Moteur de Risk Scoring</w:t>
      </w:r>
    </w:p>
    <w:p>
      <w:pPr>
        <w:pStyle w:val="ListParagraph"/>
        <w:numPr>
          <w:ilvl w:val="0"/>
          <w:numId w:val="2"/>
        </w:numPr>
        <w:spacing w:after="90" w:line="280"/>
      </w:pPr>
      <w:r>
        <w:t xml:space="preserve">10. Moteur de politiques et Anonymization Vault</w:t>
      </w:r>
    </w:p>
    <w:p>
      <w:pPr>
        <w:pStyle w:val="ListParagraph"/>
        <w:numPr>
          <w:ilvl w:val="0"/>
          <w:numId w:val="2"/>
        </w:numPr>
        <w:spacing w:after="90" w:line="280"/>
      </w:pPr>
      <w:r>
        <w:t xml:space="preserve">11. Agent Endpoint : intégrité et disponibilité</w:t>
      </w:r>
    </w:p>
    <w:p>
      <w:pPr>
        <w:pStyle w:val="ListParagraph"/>
        <w:numPr>
          <w:ilvl w:val="0"/>
          <w:numId w:val="2"/>
        </w:numPr>
        <w:spacing w:after="90" w:line="280"/>
      </w:pPr>
      <w:r>
        <w:t xml:space="preserve">12. Journalisation, audit et conformité</w:t>
      </w:r>
    </w:p>
    <w:p>
      <w:pPr>
        <w:pStyle w:val="ListParagraph"/>
        <w:numPr>
          <w:ilvl w:val="0"/>
          <w:numId w:val="2"/>
        </w:numPr>
        <w:spacing w:after="90" w:line="280"/>
      </w:pPr>
      <w:r>
        <w:t xml:space="preserve">13. Sécurité de l'architecture et modélisation des menaces</w:t>
      </w:r>
    </w:p>
    <w:p>
      <w:pPr>
        <w:pStyle w:val="ListParagraph"/>
        <w:numPr>
          <w:ilvl w:val="0"/>
          <w:numId w:val="2"/>
        </w:numPr>
        <w:spacing w:after="90" w:line="280"/>
      </w:pPr>
      <w:r>
        <w:t xml:space="preserve">14. Modèle de données</w:t>
      </w:r>
    </w:p>
    <w:p>
      <w:pPr>
        <w:pStyle w:val="ListParagraph"/>
        <w:numPr>
          <w:ilvl w:val="0"/>
          <w:numId w:val="2"/>
        </w:numPr>
        <w:spacing w:after="90" w:line="280"/>
      </w:pPr>
      <w:r>
        <w:t xml:space="preserve">15. API et contrats d'interface</w:t>
      </w:r>
    </w:p>
    <w:p>
      <w:pPr>
        <w:pStyle w:val="ListParagraph"/>
        <w:numPr>
          <w:ilvl w:val="0"/>
          <w:numId w:val="2"/>
        </w:numPr>
        <w:spacing w:after="90" w:line="280"/>
      </w:pPr>
      <w:r>
        <w:t xml:space="preserve">16. Choix technologiques et justification</w:t>
      </w:r>
    </w:p>
    <w:p>
      <w:pPr>
        <w:pStyle w:val="ListParagraph"/>
        <w:numPr>
          <w:ilvl w:val="0"/>
          <w:numId w:val="2"/>
        </w:numPr>
        <w:spacing w:after="90" w:line="280"/>
      </w:pPr>
      <w:r>
        <w:t xml:space="preserve">17. Architecture de déploiement</w:t>
      </w:r>
    </w:p>
    <w:p>
      <w:pPr>
        <w:pStyle w:val="ListParagraph"/>
        <w:numPr>
          <w:ilvl w:val="0"/>
          <w:numId w:val="2"/>
        </w:numPr>
        <w:spacing w:after="90" w:line="280"/>
      </w:pPr>
      <w:r>
        <w:t xml:space="preserve">18. Design system et UX du Dashboard BI</w:t>
      </w:r>
    </w:p>
    <w:p>
      <w:pPr>
        <w:pStyle w:val="ListParagraph"/>
        <w:numPr>
          <w:ilvl w:val="0"/>
          <w:numId w:val="2"/>
        </w:numPr>
        <w:spacing w:after="90" w:line="280"/>
      </w:pPr>
      <w:r>
        <w:t xml:space="preserve">19. Stratégie de test et assurance qualité</w:t>
      </w:r>
    </w:p>
    <w:p>
      <w:pPr>
        <w:pStyle w:val="ListParagraph"/>
        <w:numPr>
          <w:ilvl w:val="0"/>
          <w:numId w:val="2"/>
        </w:numPr>
        <w:spacing w:after="90" w:line="280"/>
      </w:pPr>
      <w:r>
        <w:t xml:space="preserve">20. Observabilité et exploitation</w:t>
      </w:r>
    </w:p>
    <w:p>
      <w:pPr>
        <w:pStyle w:val="ListParagraph"/>
        <w:numPr>
          <w:ilvl w:val="0"/>
          <w:numId w:val="2"/>
        </w:numPr>
        <w:spacing w:after="90" w:line="280"/>
      </w:pPr>
      <w:r>
        <w:t xml:space="preserve">21. Journal des décisions d'architecture (ADR)</w:t>
      </w:r>
    </w:p>
    <w:p>
      <w:pPr>
        <w:pStyle w:val="ListParagraph"/>
        <w:numPr>
          <w:ilvl w:val="0"/>
          <w:numId w:val="2"/>
        </w:numPr>
        <w:spacing w:after="90" w:line="280"/>
      </w:pPr>
      <w:r>
        <w:t xml:space="preserve">22. Feuille de route d'implémentation</w:t>
      </w:r>
    </w:p>
    <w:p>
      <w:pPr>
        <w:pStyle w:val="ListParagraph"/>
        <w:numPr>
          <w:ilvl w:val="0"/>
          <w:numId w:val="2"/>
        </w:numPr>
        <w:spacing w:after="90" w:line="280"/>
      </w:pPr>
      <w:r>
        <w:t xml:space="preserve">23. Annexe — Correspondance réglementaire et référentiels</w:t>
      </w:r>
    </w:p>
    <w:p>
      <w:r>
        <w:br w:type="page"/>
      </w:r>
    </w:p>
    <w:p>
      <w:pPr>
        <w:pStyle w:val="Heading1"/>
        <w:spacing w:after="180" w:before="380"/>
      </w:pPr>
      <w:r>
        <w:t xml:space="preserve">1. Introduction et objectifs du document</w:t>
      </w:r>
    </w:p>
    <w:p>
      <w:pPr>
        <w:spacing w:after="150" w:line="300"/>
        <w:jc w:val="both"/>
      </w:pPr>
      <w:r>
        <w:rPr>
          <w:b w:val="false"/>
          <w:bCs w:val="false"/>
          <w:i w:val="false"/>
          <w:iCs w:val="false"/>
        </w:rPr>
        <w:t xml:space="preserve">Ce Document d'Architecture Technique (DAT) constitue la référence unique de conception du prototype « passerelle intelligente de sécurisation des interactions entre les entreprises et les modèles d'intelligence artificielle générative ». Il traduit en spécifications techniques exploitables le contenu du document Idée de projet et de l'État de l'art, et sert de contrat d'implémentation pour l'ensemble du développement (lot 3 du planning prévisionnel).</w:t>
      </w:r>
    </w:p>
    <w:p>
      <w:pPr>
        <w:spacing w:after="150" w:line="300"/>
        <w:jc w:val="both"/>
      </w:pPr>
      <w:r>
        <w:rPr>
          <w:b w:val="false"/>
          <w:bCs w:val="false"/>
          <w:i w:val="false"/>
          <w:iCs w:val="false"/>
        </w:rPr>
        <w:t xml:space="preserve">Le document vise trois objectifs : (1) permettre à un jury académique de vérifier la rigueur et la cohérence des choix de conception ; (2) permettre à un développeur, humain ou agent de développement assisté par IA, d'implémenter le système sans ambiguïté ; (3) documenter explicitement les compromis et limites assumés, condition d'une évaluation scientifique honnête du prototype.</w:t>
      </w:r>
    </w:p>
    <w:p>
      <w:pPr>
        <w:spacing w:after="150" w:line="300"/>
        <w:jc w:val="both"/>
      </w:pPr>
      <w:r>
        <w:rPr>
          <w:b w:val="false"/>
          <w:bCs w:val="false"/>
          <w:i w:val="false"/>
          <w:iCs w:val="false"/>
        </w:rPr>
        <w:t xml:space="preserve">Le système est conçu comme une solution générale, destinée à toute entreprise indépendamment de son secteur ou de sa localisation. Sa mise en œuvre pratique et son évaluation sont conduites dans le cadre du stage réalisé à la Caisse Nationale de Sécurité Sociale (CNSS) du Bénin, qui sert de terrain de validation représentatif sans restreindre la portée générale de l'architecture décrite ci-après.</w:t>
      </w:r>
    </w:p>
    <w:p>
      <w:pPr>
        <w:pStyle w:val="Heading1"/>
        <w:spacing w:after="180" w:before="380"/>
      </w:pPr>
      <w:r>
        <w:t xml:space="preserve">2. Présentation générale du projet</w:t>
      </w:r>
    </w:p>
    <w:p>
      <w:pPr>
        <w:pStyle w:val="Heading2"/>
        <w:spacing w:after="120" w:before="260"/>
      </w:pPr>
      <w:r>
        <w:t xml:space="preserve">2.1 Contexte et problématique</w:t>
      </w:r>
    </w:p>
    <w:p>
      <w:pPr>
        <w:spacing w:after="150" w:line="300"/>
        <w:jc w:val="both"/>
      </w:pPr>
      <w:r>
        <w:rPr>
          <w:b w:val="false"/>
          <w:bCs w:val="false"/>
          <w:i w:val="false"/>
          <w:iCs w:val="false"/>
        </w:rPr>
        <w:t xml:space="preserve">L'adoption massive de l'intelligence artificielle générative en entreprise (ChatGPT, Gemini, Claude, Copilot, DeepSeek, et autres) expose les organisations à un risque structurellement nouveau : la transmission, volontaire ou non, de données sensibles à un service tiers non maîtrisé, à travers un canal conversationnel que les outils de sécurité traditionnels (DLP, CASB) ne couvrent pas nativement. La problématique du projet est de concevoir un dispositif capable de détecter, d'évaluer le risque et d'arbitrer chaque interaction avant qu'elle n'atteigne le service externe, tout en restant lui-même fiable, disponible et adaptable à des contextes réglementaires variés.</w:t>
      </w:r>
    </w:p>
    <w:p>
      <w:pPr>
        <w:pStyle w:val="Heading2"/>
        <w:spacing w:after="120" w:before="260"/>
      </w:pPr>
      <w:r>
        <w:t xml:space="preserve">2.2 Cadre de mise en œuvre : la CNSS du Bénin</w:t>
      </w:r>
    </w:p>
    <w:p>
      <w:pPr>
        <w:spacing w:after="150" w:line="300"/>
        <w:jc w:val="both"/>
      </w:pPr>
      <w:r>
        <w:rPr>
          <w:b w:val="false"/>
          <w:bCs w:val="false"/>
          <w:i w:val="false"/>
          <w:iCs w:val="false"/>
        </w:rPr>
        <w:t xml:space="preserve">La CNSS gère quotidiennement des données d'identification des assurés et employeurs affiliés, des données salariales et de cotisations sociales, ainsi que, potentiellement, des données à caractère médical. Ce périmètre fonctionnel correspond précisément aux catégories de données que le système vise à protéger, ce qui en fait un terrain de validation représentatif. Le déploiement au Bénin place également le prototype sous le cadre réglementaire de la Convention de Malabo de l'Union africaine (2014, ratifiée par le Bénin en novembre 2024) et de l'Acte additionnel de la CEDEAO (2010), utilisé comme cas d'instanciation concret du module d'adaptabilité réglementaire décrit en section 23.</w:t>
      </w:r>
    </w:p>
    <w:p>
      <w:pPr>
        <w:pStyle w:val="Heading2"/>
        <w:spacing w:after="120" w:before="260"/>
      </w:pPr>
      <w:r>
        <w:t xml:space="preserve">2.3 Portée générale et parties prenantes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val="clear"/>
          </w:tcPr>
          <w:p>
            <w:r>
              <w:rPr>
                <w:b/>
                <w:bCs/>
                <w:color w:val="FFFFFF"/>
                <w:sz w:val="18"/>
                <w:szCs w:val="18"/>
              </w:rPr>
              <w:t xml:space="preserve">Partie prenante</w:t>
            </w:r>
          </w:p>
        </w:tc>
        <w:tc>
          <w:tcPr>
            <w:tcW w:type="dxa" w:w="6160"/>
            <w:shd w:fill="1F3864" w:val="clear"/>
          </w:tcPr>
          <w:p>
            <w:r>
              <w:rPr>
                <w:b/>
                <w:bCs/>
                <w:color w:val="FFFFFF"/>
                <w:sz w:val="18"/>
                <w:szCs w:val="18"/>
              </w:rPr>
              <w:t xml:space="preserve">Intérêt vis-à-vis du système</w:t>
            </w:r>
          </w:p>
        </w:tc>
      </w:tr>
      <w:tr>
        <w:tc>
          <w:tcPr>
            <w:tcW w:type="dxa" w:w="3200"/>
            <w:shd w:fill="F2F2F2" w:val="clear"/>
          </w:tcPr>
          <w:p>
            <w:r>
              <w:rPr>
                <w:sz w:val="18"/>
                <w:szCs w:val="18"/>
              </w:rPr>
              <w:t xml:space="preserve">Collaborateur (utilisateur final)</w:t>
            </w:r>
          </w:p>
        </w:tc>
        <w:tc>
          <w:tcPr>
            <w:tcW w:type="dxa" w:w="6160"/>
            <w:shd w:fill="F2F2F2" w:val="clear"/>
          </w:tcPr>
          <w:p>
            <w:r>
              <w:rPr>
                <w:sz w:val="18"/>
                <w:szCs w:val="18"/>
              </w:rPr>
              <w:t xml:space="preserve">Continuer à bénéficier des gains de productivité de l'IA générative sans friction excessive</w:t>
            </w:r>
          </w:p>
        </w:tc>
      </w:tr>
      <w:tr>
        <w:tc>
          <w:tcPr>
            <w:tcW w:type="dxa" w:w="3200"/>
            <w:shd w:fill="FFFFFF" w:val="clear"/>
          </w:tcPr>
          <w:p>
            <w:r>
              <w:rPr>
                <w:sz w:val="18"/>
                <w:szCs w:val="18"/>
              </w:rPr>
              <w:t xml:space="preserve">Responsable sécurité (RSSI)</w:t>
            </w:r>
          </w:p>
        </w:tc>
        <w:tc>
          <w:tcPr>
            <w:tcW w:type="dxa" w:w="6160"/>
            <w:shd w:fill="FFFFFF" w:val="clear"/>
          </w:tcPr>
          <w:p>
            <w:r>
              <w:rPr>
                <w:sz w:val="18"/>
                <w:szCs w:val="18"/>
              </w:rPr>
              <w:t xml:space="preserve">Visibilité et contrôle sur l'exposition de données via l'IA générative</w:t>
            </w:r>
          </w:p>
        </w:tc>
      </w:tr>
      <w:tr>
        <w:tc>
          <w:tcPr>
            <w:tcW w:type="dxa" w:w="3200"/>
            <w:shd w:fill="F2F2F2" w:val="clear"/>
          </w:tcPr>
          <w:p>
            <w:r>
              <w:rPr>
                <w:sz w:val="18"/>
                <w:szCs w:val="18"/>
              </w:rPr>
              <w:t xml:space="preserve">Responsable conformité (DPO)</w:t>
            </w:r>
          </w:p>
        </w:tc>
        <w:tc>
          <w:tcPr>
            <w:tcW w:type="dxa" w:w="6160"/>
            <w:shd w:fill="F2F2F2" w:val="clear"/>
          </w:tcPr>
          <w:p>
            <w:r>
              <w:rPr>
                <w:sz w:val="18"/>
                <w:szCs w:val="18"/>
              </w:rPr>
              <w:t xml:space="preserve">Preuve de conformité et de contrôle des transferts transfrontaliers de données</w:t>
            </w:r>
          </w:p>
        </w:tc>
      </w:tr>
      <w:tr>
        <w:tc>
          <w:tcPr>
            <w:tcW w:type="dxa" w:w="3200"/>
            <w:shd w:fill="FFFFFF" w:val="clear"/>
          </w:tcPr>
          <w:p>
            <w:r>
              <w:rPr>
                <w:sz w:val="18"/>
                <w:szCs w:val="18"/>
              </w:rPr>
              <w:t xml:space="preserve">Direction générale</w:t>
            </w:r>
          </w:p>
        </w:tc>
        <w:tc>
          <w:tcPr>
            <w:tcW w:type="dxa" w:w="6160"/>
            <w:shd w:fill="FFFFFF" w:val="clear"/>
          </w:tcPr>
          <w:p>
            <w:r>
              <w:rPr>
                <w:sz w:val="18"/>
                <w:szCs w:val="18"/>
              </w:rPr>
              <w:t xml:space="preserve">Réduction du risque réputationnel et réglementaire sans blocage de l'innovation</w:t>
            </w:r>
          </w:p>
        </w:tc>
      </w:tr>
      <w:tr>
        <w:tc>
          <w:tcPr>
            <w:tcW w:type="dxa" w:w="3200"/>
            <w:shd w:fill="F2F2F2" w:val="clear"/>
          </w:tcPr>
          <w:p>
            <w:r>
              <w:rPr>
                <w:sz w:val="18"/>
                <w:szCs w:val="18"/>
              </w:rPr>
              <w:t xml:space="preserve">Équipe informatique / infrastructure</w:t>
            </w:r>
          </w:p>
        </w:tc>
        <w:tc>
          <w:tcPr>
            <w:tcW w:type="dxa" w:w="6160"/>
            <w:shd w:fill="F2F2F2" w:val="clear"/>
          </w:tcPr>
          <w:p>
            <w:r>
              <w:rPr>
                <w:sz w:val="18"/>
                <w:szCs w:val="18"/>
              </w:rPr>
              <w:t xml:space="preserve">Solution déployable et maintenable avec des ressources limitées</w:t>
            </w:r>
          </w:p>
        </w:tc>
      </w:tr>
    </w:tbl>
    <w:p>
      <w:pPr>
        <w:pStyle w:val="Heading1"/>
        <w:spacing w:after="180" w:before="380"/>
      </w:pPr>
      <w:r>
        <w:t xml:space="preserve">3. Exigences fonctionnelles et non fonctionnelles</w:t>
      </w:r>
    </w:p>
    <w:p>
      <w:pPr>
        <w:pStyle w:val="Heading2"/>
        <w:spacing w:after="120" w:before="260"/>
      </w:pPr>
      <w:r>
        <w:t xml:space="preserve">3.1 Exigences fonctionnelles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260"/>
        <w:gridCol w:w="2000"/>
      </w:tblGrid>
      <w:tr>
        <w:trPr>
          <w:tblHeader/>
        </w:trPr>
        <w:tc>
          <w:tcPr>
            <w:tcW w:type="dxa" w:w="1100"/>
            <w:shd w:fill="1F3864" w:val="clear"/>
          </w:tcPr>
          <w:p>
            <w:r>
              <w:rPr>
                <w:b/>
                <w:bCs/>
                <w:color w:val="FFFFFF"/>
                <w:sz w:val="18"/>
                <w:szCs w:val="18"/>
              </w:rPr>
              <w:t xml:space="preserve">ID</w:t>
            </w:r>
          </w:p>
        </w:tc>
        <w:tc>
          <w:tcPr>
            <w:tcW w:type="dxa" w:w="6260"/>
            <w:shd w:fill="1F3864" w:val="clear"/>
          </w:tcPr>
          <w:p>
            <w:r>
              <w:rPr>
                <w:b/>
                <w:bCs/>
                <w:color w:val="FFFFFF"/>
                <w:sz w:val="18"/>
                <w:szCs w:val="18"/>
              </w:rPr>
              <w:t xml:space="preserve">Exigence</w:t>
            </w:r>
          </w:p>
        </w:tc>
        <w:tc>
          <w:tcPr>
            <w:tcW w:type="dxa" w:w="2000"/>
            <w:shd w:fill="1F3864" w:val="clear"/>
          </w:tcPr>
          <w:p>
            <w:r>
              <w:rPr>
                <w:b/>
                <w:bCs/>
                <w:color w:val="FFFFFF"/>
                <w:sz w:val="18"/>
                <w:szCs w:val="18"/>
              </w:rPr>
              <w:t xml:space="preserve">Objectif projet associé</w:t>
            </w:r>
          </w:p>
        </w:tc>
      </w:tr>
      <w:tr>
        <w:tc>
          <w:tcPr>
            <w:tcW w:type="dxa" w:w="1100"/>
            <w:shd w:fill="F2F2F2" w:val="clear"/>
          </w:tcPr>
          <w:p>
            <w:r>
              <w:rPr>
                <w:sz w:val="18"/>
                <w:szCs w:val="18"/>
              </w:rPr>
              <w:t xml:space="preserve">FR-01</w:t>
            </w:r>
          </w:p>
        </w:tc>
        <w:tc>
          <w:tcPr>
            <w:tcW w:type="dxa" w:w="6260"/>
            <w:shd w:fill="F2F2F2" w:val="clear"/>
          </w:tcPr>
          <w:p>
            <w:r>
              <w:rPr>
                <w:sz w:val="18"/>
                <w:szCs w:val="18"/>
              </w:rPr>
              <w:t xml:space="preserve">Intercepter les interactions utilisateur avec les services d'IA générative depuis le navigateur</w:t>
            </w:r>
          </w:p>
        </w:tc>
        <w:tc>
          <w:tcPr>
            <w:tcW w:type="dxa" w:w="2000"/>
            <w:shd w:fill="F2F2F2" w:val="clear"/>
          </w:tcPr>
          <w:p>
            <w:r>
              <w:rPr>
                <w:sz w:val="18"/>
                <w:szCs w:val="18"/>
              </w:rPr>
              <w:t xml:space="preserve">Objectif 1</w:t>
            </w:r>
          </w:p>
        </w:tc>
      </w:tr>
      <w:tr>
        <w:tc>
          <w:tcPr>
            <w:tcW w:type="dxa" w:w="1100"/>
            <w:shd w:fill="FFFFFF" w:val="clear"/>
          </w:tcPr>
          <w:p>
            <w:r>
              <w:rPr>
                <w:sz w:val="18"/>
                <w:szCs w:val="18"/>
              </w:rPr>
              <w:t xml:space="preserve">FR-02</w:t>
            </w:r>
          </w:p>
        </w:tc>
        <w:tc>
          <w:tcPr>
            <w:tcW w:type="dxa" w:w="6260"/>
            <w:shd w:fill="FFFFFF" w:val="clear"/>
          </w:tcPr>
          <w:p>
            <w:r>
              <w:rPr>
                <w:sz w:val="18"/>
                <w:szCs w:val="18"/>
              </w:rPr>
              <w:t xml:space="preserve">Intercepter les interactions avec les outils d'IA générative en ligne de commande</w:t>
            </w:r>
          </w:p>
        </w:tc>
        <w:tc>
          <w:tcPr>
            <w:tcW w:type="dxa" w:w="2000"/>
            <w:shd w:fill="FFFFFF" w:val="clear"/>
          </w:tcPr>
          <w:p>
            <w:r>
              <w:rPr>
                <w:sz w:val="18"/>
                <w:szCs w:val="18"/>
              </w:rPr>
              <w:t xml:space="preserve">Objectif 1</w:t>
            </w:r>
          </w:p>
        </w:tc>
      </w:tr>
      <w:tr>
        <w:tc>
          <w:tcPr>
            <w:tcW w:type="dxa" w:w="1100"/>
            <w:shd w:fill="F2F2F2" w:val="clear"/>
          </w:tcPr>
          <w:p>
            <w:r>
              <w:rPr>
                <w:sz w:val="18"/>
                <w:szCs w:val="18"/>
              </w:rPr>
              <w:t xml:space="preserve">FR-03</w:t>
            </w:r>
          </w:p>
        </w:tc>
        <w:tc>
          <w:tcPr>
            <w:tcW w:type="dxa" w:w="6260"/>
            <w:shd w:fill="F2F2F2" w:val="clear"/>
          </w:tcPr>
          <w:p>
            <w:r>
              <w:rPr>
                <w:sz w:val="18"/>
                <w:szCs w:val="18"/>
              </w:rPr>
              <w:t xml:space="preserve">Détecter automatiquement les catégories de données sensibles définies (personnelles, financières, mobile money, techniques...)</w:t>
            </w:r>
          </w:p>
        </w:tc>
        <w:tc>
          <w:tcPr>
            <w:tcW w:type="dxa" w:w="2000"/>
            <w:shd w:fill="F2F2F2" w:val="clear"/>
          </w:tcPr>
          <w:p>
            <w:r>
              <w:rPr>
                <w:sz w:val="18"/>
                <w:szCs w:val="18"/>
              </w:rPr>
              <w:t xml:space="preserve">Objectif 2</w:t>
            </w:r>
          </w:p>
        </w:tc>
      </w:tr>
      <w:tr>
        <w:tc>
          <w:tcPr>
            <w:tcW w:type="dxa" w:w="1100"/>
            <w:shd w:fill="FFFFFF" w:val="clear"/>
          </w:tcPr>
          <w:p>
            <w:r>
              <w:rPr>
                <w:sz w:val="18"/>
                <w:szCs w:val="18"/>
              </w:rPr>
              <w:t xml:space="preserve">FR-04</w:t>
            </w:r>
          </w:p>
        </w:tc>
        <w:tc>
          <w:tcPr>
            <w:tcW w:type="dxa" w:w="6260"/>
            <w:shd w:fill="FFFFFF" w:val="clear"/>
          </w:tcPr>
          <w:p>
            <w:r>
              <w:rPr>
                <w:sz w:val="18"/>
                <w:szCs w:val="18"/>
              </w:rPr>
              <w:t xml:space="preserve">Calculer un score de risque par interaction sur la base de quatre facteurs pondérés</w:t>
            </w:r>
          </w:p>
        </w:tc>
        <w:tc>
          <w:tcPr>
            <w:tcW w:type="dxa" w:w="2000"/>
            <w:shd w:fill="FFFFFF" w:val="clear"/>
          </w:tcPr>
          <w:p>
            <w:r>
              <w:rPr>
                <w:sz w:val="18"/>
                <w:szCs w:val="18"/>
              </w:rPr>
              <w:t xml:space="preserve">Objectif 3</w:t>
            </w:r>
          </w:p>
        </w:tc>
      </w:tr>
      <w:tr>
        <w:tc>
          <w:tcPr>
            <w:tcW w:type="dxa" w:w="1100"/>
            <w:shd w:fill="F2F2F2" w:val="clear"/>
          </w:tcPr>
          <w:p>
            <w:r>
              <w:rPr>
                <w:sz w:val="18"/>
                <w:szCs w:val="18"/>
              </w:rPr>
              <w:t xml:space="preserve">FR-05</w:t>
            </w:r>
          </w:p>
        </w:tc>
        <w:tc>
          <w:tcPr>
            <w:tcW w:type="dxa" w:w="6260"/>
            <w:shd w:fill="F2F2F2" w:val="clear"/>
          </w:tcPr>
          <w:p>
            <w:r>
              <w:rPr>
                <w:sz w:val="18"/>
                <w:szCs w:val="18"/>
              </w:rPr>
              <w:t xml:space="preserve">Détecter la combinaison de quasi-identifiants au sein d'une même interaction</w:t>
            </w:r>
          </w:p>
        </w:tc>
        <w:tc>
          <w:tcPr>
            <w:tcW w:type="dxa" w:w="2000"/>
            <w:shd w:fill="F2F2F2" w:val="clear"/>
          </w:tcPr>
          <w:p>
            <w:r>
              <w:rPr>
                <w:sz w:val="18"/>
                <w:szCs w:val="18"/>
              </w:rPr>
              <w:t xml:space="preserve">Objectif 3</w:t>
            </w:r>
          </w:p>
        </w:tc>
      </w:tr>
      <w:tr>
        <w:tc>
          <w:tcPr>
            <w:tcW w:type="dxa" w:w="1100"/>
            <w:shd w:fill="FFFFFF" w:val="clear"/>
          </w:tcPr>
          <w:p>
            <w:r>
              <w:rPr>
                <w:sz w:val="18"/>
                <w:szCs w:val="18"/>
              </w:rPr>
              <w:t xml:space="preserve">FR-06</w:t>
            </w:r>
          </w:p>
        </w:tc>
        <w:tc>
          <w:tcPr>
            <w:tcW w:type="dxa" w:w="6260"/>
            <w:shd w:fill="FFFFFF" w:val="clear"/>
          </w:tcPr>
          <w:p>
            <w:r>
              <w:rPr>
                <w:sz w:val="18"/>
                <w:szCs w:val="18"/>
              </w:rPr>
              <w:t xml:space="preserve">Appliquer automatiquement une politique (ALLOW/WARN/MASK/BLOCK) selon des règles configurables</w:t>
            </w:r>
          </w:p>
        </w:tc>
        <w:tc>
          <w:tcPr>
            <w:tcW w:type="dxa" w:w="2000"/>
            <w:shd w:fill="FFFFFF" w:val="clear"/>
          </w:tcPr>
          <w:p>
            <w:r>
              <w:rPr>
                <w:sz w:val="18"/>
                <w:szCs w:val="18"/>
              </w:rPr>
              <w:t xml:space="preserve">Objectif 5</w:t>
            </w:r>
          </w:p>
        </w:tc>
      </w:tr>
      <w:tr>
        <w:tc>
          <w:tcPr>
            <w:tcW w:type="dxa" w:w="1100"/>
            <w:shd w:fill="F2F2F2" w:val="clear"/>
          </w:tcPr>
          <w:p>
            <w:r>
              <w:rPr>
                <w:sz w:val="18"/>
                <w:szCs w:val="18"/>
              </w:rPr>
              <w:t xml:space="preserve">FR-07</w:t>
            </w:r>
          </w:p>
        </w:tc>
        <w:tc>
          <w:tcPr>
            <w:tcW w:type="dxa" w:w="6260"/>
            <w:shd w:fill="F2F2F2" w:val="clear"/>
          </w:tcPr>
          <w:p>
            <w:r>
              <w:rPr>
                <w:sz w:val="18"/>
                <w:szCs w:val="18"/>
              </w:rPr>
              <w:t xml:space="preserve">Anonymiser de façon réversible les entités sensibles avant transmission (action MASK)</w:t>
            </w:r>
          </w:p>
        </w:tc>
        <w:tc>
          <w:tcPr>
            <w:tcW w:type="dxa" w:w="2000"/>
            <w:shd w:fill="F2F2F2" w:val="clear"/>
          </w:tcPr>
          <w:p>
            <w:r>
              <w:rPr>
                <w:sz w:val="18"/>
                <w:szCs w:val="18"/>
              </w:rPr>
              <w:t xml:space="preserve">Objectif 5</w:t>
            </w:r>
          </w:p>
        </w:tc>
      </w:tr>
      <w:tr>
        <w:tc>
          <w:tcPr>
            <w:tcW w:type="dxa" w:w="1100"/>
            <w:shd w:fill="FFFFFF" w:val="clear"/>
          </w:tcPr>
          <w:p>
            <w:r>
              <w:rPr>
                <w:sz w:val="18"/>
                <w:szCs w:val="18"/>
              </w:rPr>
              <w:t xml:space="preserve">FR-08</w:t>
            </w:r>
          </w:p>
        </w:tc>
        <w:tc>
          <w:tcPr>
            <w:tcW w:type="dxa" w:w="6260"/>
            <w:shd w:fill="FFFFFF" w:val="clear"/>
          </w:tcPr>
          <w:p>
            <w:r>
              <w:rPr>
                <w:sz w:val="18"/>
                <w:szCs w:val="18"/>
              </w:rPr>
              <w:t xml:space="preserve">Journaliser chaque décision sans exposer le contenu sensible en clair</w:t>
            </w:r>
          </w:p>
        </w:tc>
        <w:tc>
          <w:tcPr>
            <w:tcW w:type="dxa" w:w="2000"/>
            <w:shd w:fill="FFFFFF" w:val="clear"/>
          </w:tcPr>
          <w:p>
            <w:r>
              <w:rPr>
                <w:sz w:val="18"/>
                <w:szCs w:val="18"/>
              </w:rPr>
              <w:t xml:space="preserve">Objectif 6</w:t>
            </w:r>
          </w:p>
        </w:tc>
      </w:tr>
      <w:tr>
        <w:tc>
          <w:tcPr>
            <w:tcW w:type="dxa" w:w="1100"/>
            <w:shd w:fill="F2F2F2" w:val="clear"/>
          </w:tcPr>
          <w:p>
            <w:r>
              <w:rPr>
                <w:sz w:val="18"/>
                <w:szCs w:val="18"/>
              </w:rPr>
              <w:t xml:space="preserve">FR-09</w:t>
            </w:r>
          </w:p>
        </w:tc>
        <w:tc>
          <w:tcPr>
            <w:tcW w:type="dxa" w:w="6260"/>
            <w:shd w:fill="F2F2F2" w:val="clear"/>
          </w:tcPr>
          <w:p>
            <w:r>
              <w:rPr>
                <w:sz w:val="18"/>
                <w:szCs w:val="18"/>
              </w:rPr>
              <w:t xml:space="preserve">Restituer des indicateurs de sécurité et de conformité via un tableau de bord</w:t>
            </w:r>
          </w:p>
        </w:tc>
        <w:tc>
          <w:tcPr>
            <w:tcW w:type="dxa" w:w="2000"/>
            <w:shd w:fill="F2F2F2" w:val="clear"/>
          </w:tcPr>
          <w:p>
            <w:r>
              <w:rPr>
                <w:sz w:val="18"/>
                <w:szCs w:val="18"/>
              </w:rPr>
              <w:t xml:space="preserve">Objectif 7</w:t>
            </w:r>
          </w:p>
        </w:tc>
      </w:tr>
      <w:tr>
        <w:tc>
          <w:tcPr>
            <w:tcW w:type="dxa" w:w="1100"/>
            <w:shd w:fill="FFFFFF" w:val="clear"/>
          </w:tcPr>
          <w:p>
            <w:r>
              <w:rPr>
                <w:sz w:val="18"/>
                <w:szCs w:val="18"/>
              </w:rPr>
              <w:t xml:space="preserve">FR-10</w:t>
            </w:r>
          </w:p>
        </w:tc>
        <w:tc>
          <w:tcPr>
            <w:tcW w:type="dxa" w:w="6260"/>
            <w:shd w:fill="FFFFFF" w:val="clear"/>
          </w:tcPr>
          <w:p>
            <w:r>
              <w:rPr>
                <w:sz w:val="18"/>
                <w:szCs w:val="18"/>
              </w:rPr>
              <w:t xml:space="preserve">Détecter la désactivation ou l'altération de l'agent (signal de présence signé)</w:t>
            </w:r>
          </w:p>
        </w:tc>
        <w:tc>
          <w:tcPr>
            <w:tcW w:type="dxa" w:w="2000"/>
            <w:shd w:fill="FFFFFF" w:val="clear"/>
          </w:tcPr>
          <w:p>
            <w:r>
              <w:rPr>
                <w:sz w:val="18"/>
                <w:szCs w:val="18"/>
              </w:rPr>
              <w:t xml:space="preserve">Objectif 8</w:t>
            </w:r>
          </w:p>
        </w:tc>
      </w:tr>
      <w:tr>
        <w:tc>
          <w:tcPr>
            <w:tcW w:type="dxa" w:w="1100"/>
            <w:shd w:fill="F2F2F2" w:val="clear"/>
          </w:tcPr>
          <w:p>
            <w:r>
              <w:rPr>
                <w:sz w:val="18"/>
                <w:szCs w:val="18"/>
              </w:rPr>
              <w:t xml:space="preserve">FR-11</w:t>
            </w:r>
          </w:p>
        </w:tc>
        <w:tc>
          <w:tcPr>
            <w:tcW w:type="dxa" w:w="6260"/>
            <w:shd w:fill="F2F2F2" w:val="clear"/>
          </w:tcPr>
          <w:p>
            <w:r>
              <w:rPr>
                <w:sz w:val="18"/>
                <w:szCs w:val="18"/>
              </w:rPr>
              <w:t xml:space="preserve">Appliquer une politique de disponibilité graduée (fail-open/fail-closed) en cas d'indisponibilité d'un composant d'analyse</w:t>
            </w:r>
          </w:p>
        </w:tc>
        <w:tc>
          <w:tcPr>
            <w:tcW w:type="dxa" w:w="2000"/>
            <w:shd w:fill="F2F2F2" w:val="clear"/>
          </w:tcPr>
          <w:p>
            <w:r>
              <w:rPr>
                <w:sz w:val="18"/>
                <w:szCs w:val="18"/>
              </w:rPr>
              <w:t xml:space="preserve">Objectif 8</w:t>
            </w:r>
          </w:p>
        </w:tc>
      </w:tr>
      <w:tr>
        <w:tc>
          <w:tcPr>
            <w:tcW w:type="dxa" w:w="1100"/>
            <w:shd w:fill="FFFFFF" w:val="clear"/>
          </w:tcPr>
          <w:p>
            <w:r>
              <w:rPr>
                <w:sz w:val="18"/>
                <w:szCs w:val="18"/>
              </w:rPr>
              <w:t xml:space="preserve">FR-12</w:t>
            </w:r>
          </w:p>
        </w:tc>
        <w:tc>
          <w:tcPr>
            <w:tcW w:type="dxa" w:w="6260"/>
            <w:shd w:fill="FFFFFF" w:val="clear"/>
          </w:tcPr>
          <w:p>
            <w:r>
              <w:rPr>
                <w:sz w:val="18"/>
                <w:szCs w:val="18"/>
              </w:rPr>
              <w:t xml:space="preserve">Permettre la configuration du référentiel réglementaire applicable selon la juridiction de déploiement</w:t>
            </w:r>
          </w:p>
        </w:tc>
        <w:tc>
          <w:tcPr>
            <w:tcW w:type="dxa" w:w="2000"/>
            <w:shd w:fill="FFFFFF" w:val="clear"/>
          </w:tcPr>
          <w:p>
            <w:r>
              <w:rPr>
                <w:sz w:val="18"/>
                <w:szCs w:val="18"/>
              </w:rPr>
              <w:t xml:space="preserve">Adaptabilité multi-juridictionnelle</w:t>
            </w:r>
          </w:p>
        </w:tc>
      </w:tr>
    </w:tbl>
    <w:p>
      <w:pPr>
        <w:pStyle w:val="Heading2"/>
        <w:spacing w:after="120" w:before="260"/>
      </w:pPr>
      <w:r>
        <w:t xml:space="preserve">3.2 Exigences non fonctionnelles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760"/>
        <w:gridCol w:w="3500"/>
      </w:tblGrid>
      <w:tr>
        <w:trPr>
          <w:tblHeader/>
        </w:trPr>
        <w:tc>
          <w:tcPr>
            <w:tcW w:type="dxa" w:w="1100"/>
            <w:shd w:fill="1F3864" w:val="clear"/>
          </w:tcPr>
          <w:p>
            <w:r>
              <w:rPr>
                <w:b/>
                <w:bCs/>
                <w:color w:val="FFFFFF"/>
                <w:sz w:val="18"/>
                <w:szCs w:val="18"/>
              </w:rPr>
              <w:t xml:space="preserve">ID</w:t>
            </w:r>
          </w:p>
        </w:tc>
        <w:tc>
          <w:tcPr>
            <w:tcW w:type="dxa" w:w="4760"/>
            <w:shd w:fill="1F3864" w:val="clear"/>
          </w:tcPr>
          <w:p>
            <w:r>
              <w:rPr>
                <w:b/>
                <w:bCs/>
                <w:color w:val="FFFFFF"/>
                <w:sz w:val="18"/>
                <w:szCs w:val="18"/>
              </w:rPr>
              <w:t xml:space="preserve">Exigence</w:t>
            </w:r>
          </w:p>
        </w:tc>
        <w:tc>
          <w:tcPr>
            <w:tcW w:type="dxa" w:w="3500"/>
            <w:shd w:fill="1F3864" w:val="clear"/>
          </w:tcPr>
          <w:p>
            <w:r>
              <w:rPr>
                <w:b/>
                <w:bCs/>
                <w:color w:val="FFFFFF"/>
                <w:sz w:val="18"/>
                <w:szCs w:val="18"/>
              </w:rPr>
              <w:t xml:space="preserve">Cible quantifiée</w:t>
            </w:r>
          </w:p>
        </w:tc>
      </w:tr>
      <w:tr>
        <w:tc>
          <w:tcPr>
            <w:tcW w:type="dxa" w:w="1100"/>
            <w:shd w:fill="F2F2F2" w:val="clear"/>
          </w:tcPr>
          <w:p>
            <w:r>
              <w:rPr>
                <w:sz w:val="18"/>
                <w:szCs w:val="18"/>
              </w:rPr>
              <w:t xml:space="preserve">NFR-01</w:t>
            </w:r>
          </w:p>
        </w:tc>
        <w:tc>
          <w:tcPr>
            <w:tcW w:type="dxa" w:w="4760"/>
            <w:shd w:fill="F2F2F2" w:val="clear"/>
          </w:tcPr>
          <w:p>
            <w:r>
              <w:rPr>
                <w:sz w:val="18"/>
                <w:szCs w:val="18"/>
              </w:rPr>
              <w:t xml:space="preserve">Latence de décision de bout en bout (détection + scoring + politique)</w:t>
            </w:r>
          </w:p>
        </w:tc>
        <w:tc>
          <w:tcPr>
            <w:tcW w:type="dxa" w:w="3500"/>
            <w:shd w:fill="F2F2F2" w:val="clear"/>
          </w:tcPr>
          <w:p>
            <w:r>
              <w:rPr>
                <w:sz w:val="18"/>
                <w:szCs w:val="18"/>
              </w:rPr>
              <w:t xml:space="preserve">&lt; 300 ms P95, interaction texte standard (H3)</w:t>
            </w:r>
          </w:p>
        </w:tc>
      </w:tr>
      <w:tr>
        <w:tc>
          <w:tcPr>
            <w:tcW w:type="dxa" w:w="1100"/>
            <w:shd w:fill="FFFFFF" w:val="clear"/>
          </w:tcPr>
          <w:p>
            <w:r>
              <w:rPr>
                <w:sz w:val="18"/>
                <w:szCs w:val="18"/>
              </w:rPr>
              <w:t xml:space="preserve">NFR-02</w:t>
            </w:r>
          </w:p>
        </w:tc>
        <w:tc>
          <w:tcPr>
            <w:tcW w:type="dxa" w:w="4760"/>
            <w:shd w:fill="FFFFFF" w:val="clear"/>
          </w:tcPr>
          <w:p>
            <w:r>
              <w:rPr>
                <w:sz w:val="18"/>
                <w:szCs w:val="18"/>
              </w:rPr>
              <w:t xml:space="preserve">Fonctionnement en mode déconnecté (détection locale règles + NER + LLM léger)</w:t>
            </w:r>
          </w:p>
        </w:tc>
        <w:tc>
          <w:tcPr>
            <w:tcW w:type="dxa" w:w="3500"/>
            <w:shd w:fill="FFFFFF" w:val="clear"/>
          </w:tcPr>
          <w:p>
            <w:r>
              <w:rPr>
                <w:sz w:val="18"/>
                <w:szCs w:val="18"/>
              </w:rPr>
              <w:t xml:space="preserve">100 % des décisions de politique disponibles sans réseau</w:t>
            </w:r>
          </w:p>
        </w:tc>
      </w:tr>
      <w:tr>
        <w:tc>
          <w:tcPr>
            <w:tcW w:type="dxa" w:w="1100"/>
            <w:shd w:fill="F2F2F2" w:val="clear"/>
          </w:tcPr>
          <w:p>
            <w:r>
              <w:rPr>
                <w:sz w:val="18"/>
                <w:szCs w:val="18"/>
              </w:rPr>
              <w:t xml:space="preserve">NFR-03</w:t>
            </w:r>
          </w:p>
        </w:tc>
        <w:tc>
          <w:tcPr>
            <w:tcW w:type="dxa" w:w="4760"/>
            <w:shd w:fill="F2F2F2" w:val="clear"/>
          </w:tcPr>
          <w:p>
            <w:r>
              <w:rPr>
                <w:sz w:val="18"/>
                <w:szCs w:val="18"/>
              </w:rPr>
              <w:t xml:space="preserve">Détection de désactivation de l'agent</w:t>
            </w:r>
          </w:p>
        </w:tc>
        <w:tc>
          <w:tcPr>
            <w:tcW w:type="dxa" w:w="3500"/>
            <w:shd w:fill="F2F2F2" w:val="clear"/>
          </w:tcPr>
          <w:p>
            <w:r>
              <w:rPr>
                <w:sz w:val="18"/>
                <w:szCs w:val="18"/>
              </w:rPr>
              <w:t xml:space="preserve">&lt; 5 minutes (H4)</w:t>
            </w:r>
          </w:p>
        </w:tc>
      </w:tr>
      <w:tr>
        <w:tc>
          <w:tcPr>
            <w:tcW w:type="dxa" w:w="1100"/>
            <w:shd w:fill="FFFFFF" w:val="clear"/>
          </w:tcPr>
          <w:p>
            <w:r>
              <w:rPr>
                <w:sz w:val="18"/>
                <w:szCs w:val="18"/>
              </w:rPr>
              <w:t xml:space="preserve">NFR-04</w:t>
            </w:r>
          </w:p>
        </w:tc>
        <w:tc>
          <w:tcPr>
            <w:tcW w:type="dxa" w:w="4760"/>
            <w:shd w:fill="FFFFFF" w:val="clear"/>
          </w:tcPr>
          <w:p>
            <w:r>
              <w:rPr>
                <w:sz w:val="18"/>
                <w:szCs w:val="18"/>
              </w:rPr>
              <w:t xml:space="preserve">Confidentialité — donnée sensible en clair persistée côté serveur</w:t>
            </w:r>
          </w:p>
        </w:tc>
        <w:tc>
          <w:tcPr>
            <w:tcW w:type="dxa" w:w="3500"/>
            <w:shd w:fill="FFFFFF" w:val="clear"/>
          </w:tcPr>
          <w:p>
            <w:r>
              <w:rPr>
                <w:sz w:val="18"/>
                <w:szCs w:val="18"/>
              </w:rPr>
              <w:t xml:space="preserve">0 occurrence au-delà de la durée de traitement en mémoire</w:t>
            </w:r>
          </w:p>
        </w:tc>
      </w:tr>
      <w:tr>
        <w:tc>
          <w:tcPr>
            <w:tcW w:type="dxa" w:w="1100"/>
            <w:shd w:fill="F2F2F2" w:val="clear"/>
          </w:tcPr>
          <w:p>
            <w:r>
              <w:rPr>
                <w:sz w:val="18"/>
                <w:szCs w:val="18"/>
              </w:rPr>
              <w:t xml:space="preserve">NFR-05</w:t>
            </w:r>
          </w:p>
        </w:tc>
        <w:tc>
          <w:tcPr>
            <w:tcW w:type="dxa" w:w="4760"/>
            <w:shd w:fill="F2F2F2" w:val="clear"/>
          </w:tcPr>
          <w:p>
            <w:r>
              <w:rPr>
                <w:sz w:val="18"/>
                <w:szCs w:val="18"/>
              </w:rPr>
              <w:t xml:space="preserve">Empreinte mémoire de l'agent endpoint (incl. modèles embarqués)</w:t>
            </w:r>
          </w:p>
        </w:tc>
        <w:tc>
          <w:tcPr>
            <w:tcW w:type="dxa" w:w="3500"/>
            <w:shd w:fill="F2F2F2" w:val="clear"/>
          </w:tcPr>
          <w:p>
            <w:r>
              <w:rPr>
                <w:sz w:val="18"/>
                <w:szCs w:val="18"/>
              </w:rPr>
              <w:t xml:space="preserve">&lt; 4 Go RAM, fonctionnement sans GPU dédié</w:t>
            </w:r>
          </w:p>
        </w:tc>
      </w:tr>
      <w:tr>
        <w:tc>
          <w:tcPr>
            <w:tcW w:type="dxa" w:w="1100"/>
            <w:shd w:fill="FFFFFF" w:val="clear"/>
          </w:tcPr>
          <w:p>
            <w:r>
              <w:rPr>
                <w:sz w:val="18"/>
                <w:szCs w:val="18"/>
              </w:rPr>
              <w:t xml:space="preserve">NFR-06</w:t>
            </w:r>
          </w:p>
        </w:tc>
        <w:tc>
          <w:tcPr>
            <w:tcW w:type="dxa" w:w="4760"/>
            <w:shd w:fill="FFFFFF" w:val="clear"/>
          </w:tcPr>
          <w:p>
            <w:r>
              <w:rPr>
                <w:sz w:val="18"/>
                <w:szCs w:val="18"/>
              </w:rPr>
              <w:t xml:space="preserve">Disponibilité de la plateforme centrale (pilote)</w:t>
            </w:r>
          </w:p>
        </w:tc>
        <w:tc>
          <w:tcPr>
            <w:tcW w:type="dxa" w:w="3500"/>
            <w:shd w:fill="FFFFFF" w:val="clear"/>
          </w:tcPr>
          <w:p>
            <w:r>
              <w:rPr>
                <w:sz w:val="18"/>
                <w:szCs w:val="18"/>
              </w:rPr>
              <w:t xml:space="preserve">Best effort documenté ; HA complète hors périmètre du prototype</w:t>
            </w:r>
          </w:p>
        </w:tc>
      </w:tr>
      <w:tr>
        <w:tc>
          <w:tcPr>
            <w:tcW w:type="dxa" w:w="1100"/>
            <w:shd w:fill="F2F2F2" w:val="clear"/>
          </w:tcPr>
          <w:p>
            <w:r>
              <w:rPr>
                <w:sz w:val="18"/>
                <w:szCs w:val="18"/>
              </w:rPr>
              <w:t xml:space="preserve">NFR-07</w:t>
            </w:r>
          </w:p>
        </w:tc>
        <w:tc>
          <w:tcPr>
            <w:tcW w:type="dxa" w:w="4760"/>
            <w:shd w:fill="F2F2F2" w:val="clear"/>
          </w:tcPr>
          <w:p>
            <w:r>
              <w:rPr>
                <w:sz w:val="18"/>
                <w:szCs w:val="18"/>
              </w:rPr>
              <w:t xml:space="preserve">Auditabilité d'une décision</w:t>
            </w:r>
          </w:p>
        </w:tc>
        <w:tc>
          <w:tcPr>
            <w:tcW w:type="dxa" w:w="3500"/>
            <w:shd w:fill="F2F2F2" w:val="clear"/>
          </w:tcPr>
          <w:p>
            <w:r>
              <w:rPr>
                <w:sz w:val="18"/>
                <w:szCs w:val="18"/>
              </w:rPr>
              <w:t xml:space="preserve">100 % des décisions rattachées à une règle, un score détaillé et un référentiel documenté</w:t>
            </w:r>
          </w:p>
        </w:tc>
      </w:tr>
      <w:tr>
        <w:tc>
          <w:tcPr>
            <w:tcW w:type="dxa" w:w="1100"/>
            <w:shd w:fill="FFFFFF" w:val="clear"/>
          </w:tcPr>
          <w:p>
            <w:r>
              <w:rPr>
                <w:sz w:val="18"/>
                <w:szCs w:val="18"/>
              </w:rPr>
              <w:t xml:space="preserve">NFR-08</w:t>
            </w:r>
          </w:p>
        </w:tc>
        <w:tc>
          <w:tcPr>
            <w:tcW w:type="dxa" w:w="4760"/>
            <w:shd w:fill="FFFFFF" w:val="clear"/>
          </w:tcPr>
          <w:p>
            <w:r>
              <w:rPr>
                <w:sz w:val="18"/>
                <w:szCs w:val="18"/>
              </w:rPr>
              <w:t xml:space="preserve">Portabilité</w:t>
            </w:r>
          </w:p>
        </w:tc>
        <w:tc>
          <w:tcPr>
            <w:tcW w:type="dxa" w:w="3500"/>
            <w:shd w:fill="FFFFFF" w:val="clear"/>
          </w:tcPr>
          <w:p>
            <w:r>
              <w:rPr>
                <w:sz w:val="18"/>
                <w:szCs w:val="18"/>
              </w:rPr>
              <w:t xml:space="preserve">Déploiement Docker Compose (pilote) et Kubernetes (production) sans changement de code</w:t>
            </w:r>
          </w:p>
        </w:tc>
      </w:tr>
    </w:tbl>
    <w:p>
      <w:pPr>
        <w:pStyle w:val="Heading1"/>
        <w:spacing w:after="180" w:before="380"/>
      </w:pPr>
      <w:r>
        <w:t xml:space="preserve">4. Méthodologie d'analyse et de conception</w:t>
      </w:r>
    </w:p>
    <w:p>
      <w:pPr>
        <w:pStyle w:val="Heading2"/>
        <w:spacing w:after="120" w:before="260"/>
      </w:pPr>
      <w:r>
        <w:t xml:space="preserve">4.1 Acteurs</w:t>
      </w:r>
    </w:p>
    <w:p>
      <w:pPr>
        <w:pStyle w:val="ListParagraph"/>
        <w:numPr>
          <w:ilvl w:val="0"/>
          <w:numId w:val="2"/>
        </w:numPr>
        <w:spacing w:after="90" w:line="280"/>
      </w:pPr>
      <w:r>
        <w:t xml:space="preserve">Utilisateur final — collaborateur de l'entreprise interagissant avec un service d'IA générative.</w:t>
      </w:r>
    </w:p>
    <w:p>
      <w:pPr>
        <w:pStyle w:val="ListParagraph"/>
        <w:numPr>
          <w:ilvl w:val="0"/>
          <w:numId w:val="2"/>
        </w:numPr>
        <w:spacing w:after="90" w:line="280"/>
      </w:pPr>
      <w:r>
        <w:t xml:space="preserve">Administrateur sécurité (RSSI) — définit et fait évoluer les politiques de sécurité.</w:t>
      </w:r>
    </w:p>
    <w:p>
      <w:pPr>
        <w:pStyle w:val="ListParagraph"/>
        <w:numPr>
          <w:ilvl w:val="0"/>
          <w:numId w:val="2"/>
        </w:numPr>
        <w:spacing w:after="90" w:line="280"/>
      </w:pPr>
      <w:r>
        <w:t xml:space="preserve">Administrateur conformité (DPO) — consulte les journaux et indicateurs de conformité.</w:t>
      </w:r>
    </w:p>
    <w:p>
      <w:pPr>
        <w:pStyle w:val="ListParagraph"/>
        <w:numPr>
          <w:ilvl w:val="0"/>
          <w:numId w:val="2"/>
        </w:numPr>
        <w:spacing w:after="90" w:line="280"/>
      </w:pPr>
      <w:r>
        <w:t xml:space="preserve">Service d'IA générative (acteur externe) — destinataire final d'une interaction autorisée ou transformée.</w:t>
      </w:r>
    </w:p>
    <w:p>
      <w:pPr>
        <w:pStyle w:val="ListParagraph"/>
        <w:numPr>
          <w:ilvl w:val="0"/>
          <w:numId w:val="2"/>
        </w:numPr>
        <w:spacing w:after="90" w:line="280"/>
      </w:pPr>
      <w:r>
        <w:t xml:space="preserve">Fournisseur d'identité d'entreprise (SSO/IdP) — authentifie les utilisateurs et porte leurs attributs organisationnels.</w:t>
      </w:r>
    </w:p>
    <w:p>
      <w:pPr>
        <w:pStyle w:val="Heading2"/>
        <w:spacing w:after="120" w:before="260"/>
      </w:pPr>
      <w:r>
        <w:t xml:space="preserve">4.2 Cas d'utilisation principaux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260"/>
        <w:gridCol w:w="2000"/>
      </w:tblGrid>
      <w:tr>
        <w:trPr>
          <w:tblHeader/>
        </w:trPr>
        <w:tc>
          <w:tcPr>
            <w:tcW w:type="dxa" w:w="1100"/>
            <w:shd w:fill="1F3864" w:val="clear"/>
          </w:tcPr>
          <w:p>
            <w:r>
              <w:rPr>
                <w:b/>
                <w:bCs/>
                <w:color w:val="FFFFFF"/>
                <w:sz w:val="18"/>
                <w:szCs w:val="18"/>
              </w:rPr>
              <w:t xml:space="preserve">ID</w:t>
            </w:r>
          </w:p>
        </w:tc>
        <w:tc>
          <w:tcPr>
            <w:tcW w:type="dxa" w:w="6260"/>
            <w:shd w:fill="1F3864" w:val="clear"/>
          </w:tcPr>
          <w:p>
            <w:r>
              <w:rPr>
                <w:b/>
                <w:bCs/>
                <w:color w:val="FFFFFF"/>
                <w:sz w:val="18"/>
                <w:szCs w:val="18"/>
              </w:rPr>
              <w:t xml:space="preserve">Cas d'utilisation</w:t>
            </w:r>
          </w:p>
        </w:tc>
        <w:tc>
          <w:tcPr>
            <w:tcW w:type="dxa" w:w="2000"/>
            <w:shd w:fill="1F3864" w:val="clear"/>
          </w:tcPr>
          <w:p>
            <w:r>
              <w:rPr>
                <w:b/>
                <w:bCs/>
                <w:color w:val="FFFFFF"/>
                <w:sz w:val="18"/>
                <w:szCs w:val="18"/>
              </w:rPr>
              <w:t xml:space="preserve">Acteur principal</w:t>
            </w:r>
          </w:p>
        </w:tc>
      </w:tr>
      <w:tr>
        <w:tc>
          <w:tcPr>
            <w:tcW w:type="dxa" w:w="1100"/>
            <w:shd w:fill="F2F2F2" w:val="clear"/>
          </w:tcPr>
          <w:p>
            <w:r>
              <w:rPr>
                <w:sz w:val="18"/>
                <w:szCs w:val="18"/>
              </w:rPr>
              <w:t xml:space="preserve">UC-01</w:t>
            </w:r>
          </w:p>
        </w:tc>
        <w:tc>
          <w:tcPr>
            <w:tcW w:type="dxa" w:w="6260"/>
            <w:shd w:fill="F2F2F2" w:val="clear"/>
          </w:tcPr>
          <w:p>
            <w:r>
              <w:rPr>
                <w:sz w:val="18"/>
                <w:szCs w:val="18"/>
              </w:rPr>
              <w:t xml:space="preserve">Soumettre une interaction à un service d'IA depuis le navigateur</w:t>
            </w:r>
          </w:p>
        </w:tc>
        <w:tc>
          <w:tcPr>
            <w:tcW w:type="dxa" w:w="2000"/>
            <w:shd w:fill="F2F2F2" w:val="clear"/>
          </w:tcPr>
          <w:p>
            <w:r>
              <w:rPr>
                <w:sz w:val="18"/>
                <w:szCs w:val="18"/>
              </w:rPr>
              <w:t xml:space="preserve">Utilisateur final</w:t>
            </w:r>
          </w:p>
        </w:tc>
      </w:tr>
      <w:tr>
        <w:tc>
          <w:tcPr>
            <w:tcW w:type="dxa" w:w="1100"/>
            <w:shd w:fill="FFFFFF" w:val="clear"/>
          </w:tcPr>
          <w:p>
            <w:r>
              <w:rPr>
                <w:sz w:val="18"/>
                <w:szCs w:val="18"/>
              </w:rPr>
              <w:t xml:space="preserve">UC-02</w:t>
            </w:r>
          </w:p>
        </w:tc>
        <w:tc>
          <w:tcPr>
            <w:tcW w:type="dxa" w:w="6260"/>
            <w:shd w:fill="FFFFFF" w:val="clear"/>
          </w:tcPr>
          <w:p>
            <w:r>
              <w:rPr>
                <w:sz w:val="18"/>
                <w:szCs w:val="18"/>
              </w:rPr>
              <w:t xml:space="preserve">Soumettre une interaction à un outil d'IA en ligne de commande</w:t>
            </w:r>
          </w:p>
        </w:tc>
        <w:tc>
          <w:tcPr>
            <w:tcW w:type="dxa" w:w="2000"/>
            <w:shd w:fill="FFFFFF" w:val="clear"/>
          </w:tcPr>
          <w:p>
            <w:r>
              <w:rPr>
                <w:sz w:val="18"/>
                <w:szCs w:val="18"/>
              </w:rPr>
              <w:t xml:space="preserve">Utilisateur final</w:t>
            </w:r>
          </w:p>
        </w:tc>
      </w:tr>
      <w:tr>
        <w:tc>
          <w:tcPr>
            <w:tcW w:type="dxa" w:w="1100"/>
            <w:shd w:fill="F2F2F2" w:val="clear"/>
          </w:tcPr>
          <w:p>
            <w:r>
              <w:rPr>
                <w:sz w:val="18"/>
                <w:szCs w:val="18"/>
              </w:rPr>
              <w:t xml:space="preserve">UC-03</w:t>
            </w:r>
          </w:p>
        </w:tc>
        <w:tc>
          <w:tcPr>
            <w:tcW w:type="dxa" w:w="6260"/>
            <w:shd w:fill="F2F2F2" w:val="clear"/>
          </w:tcPr>
          <w:p>
            <w:r>
              <w:rPr>
                <w:sz w:val="18"/>
                <w:szCs w:val="18"/>
              </w:rPr>
              <w:t xml:space="preserve">Consulter le tableau de bord de sécurité</w:t>
            </w:r>
          </w:p>
        </w:tc>
        <w:tc>
          <w:tcPr>
            <w:tcW w:type="dxa" w:w="2000"/>
            <w:shd w:fill="F2F2F2" w:val="clear"/>
          </w:tcPr>
          <w:p>
            <w:r>
              <w:rPr>
                <w:sz w:val="18"/>
                <w:szCs w:val="18"/>
              </w:rPr>
              <w:t xml:space="preserve">RSSI / DPO</w:t>
            </w:r>
          </w:p>
        </w:tc>
      </w:tr>
      <w:tr>
        <w:tc>
          <w:tcPr>
            <w:tcW w:type="dxa" w:w="1100"/>
            <w:shd w:fill="FFFFFF" w:val="clear"/>
          </w:tcPr>
          <w:p>
            <w:r>
              <w:rPr>
                <w:sz w:val="18"/>
                <w:szCs w:val="18"/>
              </w:rPr>
              <w:t xml:space="preserve">UC-04</w:t>
            </w:r>
          </w:p>
        </w:tc>
        <w:tc>
          <w:tcPr>
            <w:tcW w:type="dxa" w:w="6260"/>
            <w:shd w:fill="FFFFFF" w:val="clear"/>
          </w:tcPr>
          <w:p>
            <w:r>
              <w:rPr>
                <w:sz w:val="18"/>
                <w:szCs w:val="18"/>
              </w:rPr>
              <w:t xml:space="preserve">Définir ou modifier une politique de sécurité</w:t>
            </w:r>
          </w:p>
        </w:tc>
        <w:tc>
          <w:tcPr>
            <w:tcW w:type="dxa" w:w="2000"/>
            <w:shd w:fill="FFFFFF" w:val="clear"/>
          </w:tcPr>
          <w:p>
            <w:r>
              <w:rPr>
                <w:sz w:val="18"/>
                <w:szCs w:val="18"/>
              </w:rPr>
              <w:t xml:space="preserve">RSSI</w:t>
            </w:r>
          </w:p>
        </w:tc>
      </w:tr>
      <w:tr>
        <w:tc>
          <w:tcPr>
            <w:tcW w:type="dxa" w:w="1100"/>
            <w:shd w:fill="F2F2F2" w:val="clear"/>
          </w:tcPr>
          <w:p>
            <w:r>
              <w:rPr>
                <w:sz w:val="18"/>
                <w:szCs w:val="18"/>
              </w:rPr>
              <w:t xml:space="preserve">UC-05</w:t>
            </w:r>
          </w:p>
        </w:tc>
        <w:tc>
          <w:tcPr>
            <w:tcW w:type="dxa" w:w="6260"/>
            <w:shd w:fill="F2F2F2" w:val="clear"/>
          </w:tcPr>
          <w:p>
            <w:r>
              <w:rPr>
                <w:sz w:val="18"/>
                <w:szCs w:val="18"/>
              </w:rPr>
              <w:t xml:space="preserve">Consulter le journal d'audit d'un événement</w:t>
            </w:r>
          </w:p>
        </w:tc>
        <w:tc>
          <w:tcPr>
            <w:tcW w:type="dxa" w:w="2000"/>
            <w:shd w:fill="F2F2F2" w:val="clear"/>
          </w:tcPr>
          <w:p>
            <w:r>
              <w:rPr>
                <w:sz w:val="18"/>
                <w:szCs w:val="18"/>
              </w:rPr>
              <w:t xml:space="preserve">DPO</w:t>
            </w:r>
          </w:p>
        </w:tc>
      </w:tr>
      <w:tr>
        <w:tc>
          <w:tcPr>
            <w:tcW w:type="dxa" w:w="1100"/>
            <w:shd w:fill="FFFFFF" w:val="clear"/>
          </w:tcPr>
          <w:p>
            <w:r>
              <w:rPr>
                <w:sz w:val="18"/>
                <w:szCs w:val="18"/>
              </w:rPr>
              <w:t xml:space="preserve">UC-06</w:t>
            </w:r>
          </w:p>
        </w:tc>
        <w:tc>
          <w:tcPr>
            <w:tcW w:type="dxa" w:w="6260"/>
            <w:shd w:fill="FFFFFF" w:val="clear"/>
          </w:tcPr>
          <w:p>
            <w:r>
              <w:rPr>
                <w:sz w:val="18"/>
                <w:szCs w:val="18"/>
              </w:rPr>
              <w:t xml:space="preserve">Recevoir une alerte de perte de signal de présence d'un agent</w:t>
            </w:r>
          </w:p>
        </w:tc>
        <w:tc>
          <w:tcPr>
            <w:tcW w:type="dxa" w:w="2000"/>
            <w:shd w:fill="FFFFFF" w:val="clear"/>
          </w:tcPr>
          <w:p>
            <w:r>
              <w:rPr>
                <w:sz w:val="18"/>
                <w:szCs w:val="18"/>
              </w:rPr>
              <w:t xml:space="preserve">RSSI</w:t>
            </w:r>
          </w:p>
        </w:tc>
      </w:tr>
      <w:tr>
        <w:tc>
          <w:tcPr>
            <w:tcW w:type="dxa" w:w="1100"/>
            <w:shd w:fill="F2F2F2" w:val="clear"/>
          </w:tcPr>
          <w:p>
            <w:r>
              <w:rPr>
                <w:sz w:val="18"/>
                <w:szCs w:val="18"/>
              </w:rPr>
              <w:t xml:space="preserve">UC-07</w:t>
            </w:r>
          </w:p>
        </w:tc>
        <w:tc>
          <w:tcPr>
            <w:tcW w:type="dxa" w:w="6260"/>
            <w:shd w:fill="F2F2F2" w:val="clear"/>
          </w:tcPr>
          <w:p>
            <w:r>
              <w:rPr>
                <w:sz w:val="18"/>
                <w:szCs w:val="18"/>
              </w:rPr>
              <w:t xml:space="preserve">Configurer le référentiel réglementaire applicable à un déploiement</w:t>
            </w:r>
          </w:p>
        </w:tc>
        <w:tc>
          <w:tcPr>
            <w:tcW w:type="dxa" w:w="2000"/>
            <w:shd w:fill="F2F2F2" w:val="clear"/>
          </w:tcPr>
          <w:p>
            <w:r>
              <w:rPr>
                <w:sz w:val="18"/>
                <w:szCs w:val="18"/>
              </w:rPr>
              <w:t xml:space="preserve">RSSI / Administrateur système</w:t>
            </w:r>
          </w:p>
        </w:tc>
      </w:tr>
    </w:tbl>
    <w:p>
      <w:pPr>
        <w:pStyle w:val="Heading2"/>
        <w:spacing w:after="120" w:before="260"/>
      </w:pPr>
      <w:r>
        <w:t xml:space="preserve">4.3 Modèle de domaine (classes principales)</w:t>
      </w:r>
    </w:p>
    <w:p>
      <w:pPr>
        <w:spacing w:after="150" w:line="300"/>
        <w:jc w:val="both"/>
      </w:pPr>
      <w:r>
        <w:rPr>
          <w:b w:val="false"/>
          <w:bCs w:val="false"/>
          <w:i w:val="false"/>
          <w:iCs w:val="false"/>
        </w:rPr>
        <w:t xml:space="preserve">Le modèle de domaine ci-dessous précède le modèle de données relationnel (section 14) et fixe le vocabulaire commun à l'ensemble du système, conformément au glossaire du kit d'implémentation.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shd w:fill="1F3864" w:val="clear"/>
          </w:tcPr>
          <w:p>
            <w:r>
              <w:rPr>
                <w:b/>
                <w:bCs/>
                <w:color w:val="FFFFFF"/>
                <w:sz w:val="18"/>
                <w:szCs w:val="18"/>
              </w:rPr>
              <w:t xml:space="preserve">Classe</w:t>
            </w:r>
          </w:p>
        </w:tc>
        <w:tc>
          <w:tcPr>
            <w:tcW w:type="dxa" w:w="3600"/>
            <w:shd w:fill="1F3864" w:val="clear"/>
          </w:tcPr>
          <w:p>
            <w:r>
              <w:rPr>
                <w:b/>
                <w:bCs/>
                <w:color w:val="FFFFFF"/>
                <w:sz w:val="18"/>
                <w:szCs w:val="18"/>
              </w:rPr>
              <w:t xml:space="preserve">Attributs clés</w:t>
            </w:r>
          </w:p>
        </w:tc>
        <w:tc>
          <w:tcPr>
            <w:tcW w:type="dxa" w:w="3560"/>
            <w:shd w:fill="1F3864" w:val="clear"/>
          </w:tcPr>
          <w:p>
            <w:r>
              <w:rPr>
                <w:b/>
                <w:bCs/>
                <w:color w:val="FFFFFF"/>
                <w:sz w:val="18"/>
                <w:szCs w:val="18"/>
              </w:rPr>
              <w:t xml:space="preserve">Responsabilité</w:t>
            </w:r>
          </w:p>
        </w:tc>
      </w:tr>
      <w:tr>
        <w:tc>
          <w:tcPr>
            <w:tcW w:type="dxa" w:w="2200"/>
            <w:shd w:fill="F2F2F2" w:val="clear"/>
          </w:tcPr>
          <w:p>
            <w:r>
              <w:rPr>
                <w:sz w:val="18"/>
                <w:szCs w:val="18"/>
              </w:rPr>
              <w:t xml:space="preserve">Interaction</w:t>
            </w:r>
          </w:p>
        </w:tc>
        <w:tc>
          <w:tcPr>
            <w:tcW w:type="dxa" w:w="3600"/>
            <w:shd w:fill="F2F2F2" w:val="clear"/>
          </w:tcPr>
          <w:p>
            <w:r>
              <w:rPr>
                <w:sz w:val="18"/>
                <w:szCs w:val="18"/>
              </w:rPr>
              <w:t xml:space="preserve">id, userId, aiServiceId, channel (browser|cli), timestamp</w:t>
            </w:r>
          </w:p>
        </w:tc>
        <w:tc>
          <w:tcPr>
            <w:tcW w:type="dxa" w:w="3560"/>
            <w:shd w:fill="F2F2F2" w:val="clear"/>
          </w:tcPr>
          <w:p>
            <w:r>
              <w:rPr>
                <w:sz w:val="18"/>
                <w:szCs w:val="18"/>
              </w:rPr>
              <w:t xml:space="preserve">Représente un échange unique soumis à analyse</w:t>
            </w:r>
          </w:p>
        </w:tc>
      </w:tr>
      <w:tr>
        <w:tc>
          <w:tcPr>
            <w:tcW w:type="dxa" w:w="2200"/>
            <w:shd w:fill="FFFFFF" w:val="clear"/>
          </w:tcPr>
          <w:p>
            <w:r>
              <w:rPr>
                <w:sz w:val="18"/>
                <w:szCs w:val="18"/>
              </w:rPr>
              <w:t xml:space="preserve">DetectionResult</w:t>
            </w:r>
          </w:p>
        </w:tc>
        <w:tc>
          <w:tcPr>
            <w:tcW w:type="dxa" w:w="3600"/>
            <w:shd w:fill="FFFFFF" w:val="clear"/>
          </w:tcPr>
          <w:p>
            <w:r>
              <w:rPr>
                <w:sz w:val="18"/>
                <w:szCs w:val="18"/>
              </w:rPr>
              <w:t xml:space="preserve">layer, entities[], processingTimeMs, modelVersion</w:t>
            </w:r>
          </w:p>
        </w:tc>
        <w:tc>
          <w:tcPr>
            <w:tcW w:type="dxa" w:w="3560"/>
            <w:shd w:fill="FFFFFF" w:val="clear"/>
          </w:tcPr>
          <w:p>
            <w:r>
              <w:rPr>
                <w:sz w:val="18"/>
                <w:szCs w:val="18"/>
              </w:rPr>
              <w:t xml:space="preserve">Sortie normalisée d'une couche de détection</w:t>
            </w:r>
          </w:p>
        </w:tc>
      </w:tr>
      <w:tr>
        <w:tc>
          <w:tcPr>
            <w:tcW w:type="dxa" w:w="2200"/>
            <w:shd w:fill="F2F2F2" w:val="clear"/>
          </w:tcPr>
          <w:p>
            <w:r>
              <w:rPr>
                <w:sz w:val="18"/>
                <w:szCs w:val="18"/>
              </w:rPr>
              <w:t xml:space="preserve">SensitiveEntity</w:t>
            </w:r>
          </w:p>
        </w:tc>
        <w:tc>
          <w:tcPr>
            <w:tcW w:type="dxa" w:w="3600"/>
            <w:shd w:fill="F2F2F2" w:val="clear"/>
          </w:tcPr>
          <w:p>
            <w:r>
              <w:rPr>
                <w:sz w:val="18"/>
                <w:szCs w:val="18"/>
              </w:rPr>
              <w:t xml:space="preserve">entityType, confidence, span</w:t>
            </w:r>
          </w:p>
        </w:tc>
        <w:tc>
          <w:tcPr>
            <w:tcW w:type="dxa" w:w="3560"/>
            <w:shd w:fill="F2F2F2" w:val="clear"/>
          </w:tcPr>
          <w:p>
            <w:r>
              <w:rPr>
                <w:sz w:val="18"/>
                <w:szCs w:val="18"/>
              </w:rPr>
              <w:t xml:space="preserve">Fragment de donnée détecté comme sensible</w:t>
            </w:r>
          </w:p>
        </w:tc>
      </w:tr>
      <w:tr>
        <w:tc>
          <w:tcPr>
            <w:tcW w:type="dxa" w:w="2200"/>
            <w:shd w:fill="FFFFFF" w:val="clear"/>
          </w:tcPr>
          <w:p>
            <w:r>
              <w:rPr>
                <w:sz w:val="18"/>
                <w:szCs w:val="18"/>
              </w:rPr>
              <w:t xml:space="preserve">RiskScore</w:t>
            </w:r>
          </w:p>
        </w:tc>
        <w:tc>
          <w:tcPr>
            <w:tcW w:type="dxa" w:w="3600"/>
            <w:shd w:fill="FFFFFF" w:val="clear"/>
          </w:tcPr>
          <w:p>
            <w:r>
              <w:rPr>
                <w:sz w:val="18"/>
                <w:szCs w:val="18"/>
              </w:rPr>
              <w:t xml:space="preserve">value, band, factorBreakdown[]</w:t>
            </w:r>
          </w:p>
        </w:tc>
        <w:tc>
          <w:tcPr>
            <w:tcW w:type="dxa" w:w="3560"/>
            <w:shd w:fill="FFFFFF" w:val="clear"/>
          </w:tcPr>
          <w:p>
            <w:r>
              <w:rPr>
                <w:sz w:val="18"/>
                <w:szCs w:val="18"/>
              </w:rPr>
              <w:t xml:space="preserve">Résultat explicable du Risk Scoring Engine</w:t>
            </w:r>
          </w:p>
        </w:tc>
      </w:tr>
      <w:tr>
        <w:tc>
          <w:tcPr>
            <w:tcW w:type="dxa" w:w="2200"/>
            <w:shd w:fill="F2F2F2" w:val="clear"/>
          </w:tcPr>
          <w:p>
            <w:r>
              <w:rPr>
                <w:sz w:val="18"/>
                <w:szCs w:val="18"/>
              </w:rPr>
              <w:t xml:space="preserve">Policy</w:t>
            </w:r>
          </w:p>
        </w:tc>
        <w:tc>
          <w:tcPr>
            <w:tcW w:type="dxa" w:w="3600"/>
            <w:shd w:fill="F2F2F2" w:val="clear"/>
          </w:tcPr>
          <w:p>
            <w:r>
              <w:rPr>
                <w:sz w:val="18"/>
                <w:szCs w:val="18"/>
              </w:rPr>
              <w:t xml:space="preserve">id, conditionExpr, action, version, referenceFrameworks[]</w:t>
            </w:r>
          </w:p>
        </w:tc>
        <w:tc>
          <w:tcPr>
            <w:tcW w:type="dxa" w:w="3560"/>
            <w:shd w:fill="F2F2F2" w:val="clear"/>
          </w:tcPr>
          <w:p>
            <w:r>
              <w:rPr>
                <w:sz w:val="18"/>
                <w:szCs w:val="18"/>
              </w:rPr>
              <w:t xml:space="preserve">Règle déclarative condition → action</w:t>
            </w:r>
          </w:p>
        </w:tc>
      </w:tr>
      <w:tr>
        <w:tc>
          <w:tcPr>
            <w:tcW w:type="dxa" w:w="2200"/>
            <w:shd w:fill="FFFFFF" w:val="clear"/>
          </w:tcPr>
          <w:p>
            <w:r>
              <w:rPr>
                <w:sz w:val="18"/>
                <w:szCs w:val="18"/>
              </w:rPr>
              <w:t xml:space="preserve">PolicyDecision</w:t>
            </w:r>
          </w:p>
        </w:tc>
        <w:tc>
          <w:tcPr>
            <w:tcW w:type="dxa" w:w="3600"/>
            <w:shd w:fill="FFFFFF" w:val="clear"/>
          </w:tcPr>
          <w:p>
            <w:r>
              <w:rPr>
                <w:sz w:val="18"/>
                <w:szCs w:val="18"/>
              </w:rPr>
              <w:t xml:space="preserve">action, policyId, riskScore, maskedTokens[]</w:t>
            </w:r>
          </w:p>
        </w:tc>
        <w:tc>
          <w:tcPr>
            <w:tcW w:type="dxa" w:w="3560"/>
            <w:shd w:fill="FFFFFF" w:val="clear"/>
          </w:tcPr>
          <w:p>
            <w:r>
              <w:rPr>
                <w:sz w:val="18"/>
                <w:szCs w:val="18"/>
              </w:rPr>
              <w:t xml:space="preserve">Décision effective appliquée à une interaction</w:t>
            </w:r>
          </w:p>
        </w:tc>
      </w:tr>
      <w:tr>
        <w:tc>
          <w:tcPr>
            <w:tcW w:type="dxa" w:w="2200"/>
            <w:shd w:fill="F2F2F2" w:val="clear"/>
          </w:tcPr>
          <w:p>
            <w:r>
              <w:rPr>
                <w:sz w:val="18"/>
                <w:szCs w:val="18"/>
              </w:rPr>
              <w:t xml:space="preserve">AnonymizationMapping</w:t>
            </w:r>
          </w:p>
        </w:tc>
        <w:tc>
          <w:tcPr>
            <w:tcW w:type="dxa" w:w="3600"/>
            <w:shd w:fill="F2F2F2" w:val="clear"/>
          </w:tcPr>
          <w:p>
            <w:r>
              <w:rPr>
                <w:sz w:val="18"/>
                <w:szCs w:val="18"/>
              </w:rPr>
              <w:t xml:space="preserve">tokenId, originalValueEncrypted, expiresAt</w:t>
            </w:r>
          </w:p>
        </w:tc>
        <w:tc>
          <w:tcPr>
            <w:tcW w:type="dxa" w:w="3560"/>
            <w:shd w:fill="F2F2F2" w:val="clear"/>
          </w:tcPr>
          <w:p>
            <w:r>
              <w:rPr>
                <w:sz w:val="18"/>
                <w:szCs w:val="18"/>
              </w:rPr>
              <w:t xml:space="preserve">Correspondance réversible chiffrée (Vault)</w:t>
            </w:r>
          </w:p>
        </w:tc>
      </w:tr>
      <w:tr>
        <w:tc>
          <w:tcPr>
            <w:tcW w:type="dxa" w:w="2200"/>
            <w:shd w:fill="FFFFFF" w:val="clear"/>
          </w:tcPr>
          <w:p>
            <w:r>
              <w:rPr>
                <w:sz w:val="18"/>
                <w:szCs w:val="18"/>
              </w:rPr>
              <w:t xml:space="preserve">SecurityEvent</w:t>
            </w:r>
          </w:p>
        </w:tc>
        <w:tc>
          <w:tcPr>
            <w:tcW w:type="dxa" w:w="3600"/>
            <w:shd w:fill="FFFFFF" w:val="clear"/>
          </w:tcPr>
          <w:p>
            <w:r>
              <w:rPr>
                <w:sz w:val="18"/>
                <w:szCs w:val="18"/>
              </w:rPr>
              <w:t xml:space="preserve">eventId, entitiesDetected[], action, hashChain</w:t>
            </w:r>
          </w:p>
        </w:tc>
        <w:tc>
          <w:tcPr>
            <w:tcW w:type="dxa" w:w="3560"/>
            <w:shd w:fill="FFFFFF" w:val="clear"/>
          </w:tcPr>
          <w:p>
            <w:r>
              <w:rPr>
                <w:sz w:val="18"/>
                <w:szCs w:val="18"/>
              </w:rPr>
              <w:t xml:space="preserve">Trace journalisée d'une décision, sans contenu en clair</w:t>
            </w:r>
          </w:p>
        </w:tc>
      </w:tr>
      <w:tr>
        <w:tc>
          <w:tcPr>
            <w:tcW w:type="dxa" w:w="2200"/>
            <w:shd w:fill="F2F2F2" w:val="clear"/>
          </w:tcPr>
          <w:p>
            <w:r>
              <w:rPr>
                <w:sz w:val="18"/>
                <w:szCs w:val="18"/>
              </w:rPr>
              <w:t xml:space="preserve">Agent</w:t>
            </w:r>
          </w:p>
        </w:tc>
        <w:tc>
          <w:tcPr>
            <w:tcW w:type="dxa" w:w="3600"/>
            <w:shd w:fill="F2F2F2" w:val="clear"/>
          </w:tcPr>
          <w:p>
            <w:r>
              <w:rPr>
                <w:sz w:val="18"/>
                <w:szCs w:val="18"/>
              </w:rPr>
              <w:t xml:space="preserve">agentId, module (A1|A2), lastHeartbeatAt, integrityStatus</w:t>
            </w:r>
          </w:p>
        </w:tc>
        <w:tc>
          <w:tcPr>
            <w:tcW w:type="dxa" w:w="3560"/>
            <w:shd w:fill="F2F2F2" w:val="clear"/>
          </w:tcPr>
          <w:p>
            <w:r>
              <w:rPr>
                <w:sz w:val="18"/>
                <w:szCs w:val="18"/>
              </w:rPr>
              <w:t xml:space="preserve">Instance d'agent endpoint déployée</w:t>
            </w:r>
          </w:p>
        </w:tc>
      </w:tr>
      <w:tr>
        <w:tc>
          <w:tcPr>
            <w:tcW w:type="dxa" w:w="2200"/>
            <w:shd w:fill="FFFFFF" w:val="clear"/>
          </w:tcPr>
          <w:p>
            <w:r>
              <w:rPr>
                <w:sz w:val="18"/>
                <w:szCs w:val="18"/>
              </w:rPr>
              <w:t xml:space="preserve">AIService</w:t>
            </w:r>
          </w:p>
        </w:tc>
        <w:tc>
          <w:tcPr>
            <w:tcW w:type="dxa" w:w="3600"/>
            <w:shd w:fill="FFFFFF" w:val="clear"/>
          </w:tcPr>
          <w:p>
            <w:r>
              <w:rPr>
                <w:sz w:val="18"/>
                <w:szCs w:val="18"/>
              </w:rPr>
              <w:t xml:space="preserve">id, hostingRegion, riskBaseline, freeAccess</w:t>
            </w:r>
          </w:p>
        </w:tc>
        <w:tc>
          <w:tcPr>
            <w:tcW w:type="dxa" w:w="3560"/>
            <w:shd w:fill="FFFFFF" w:val="clear"/>
          </w:tcPr>
          <w:p>
            <w:r>
              <w:rPr>
                <w:sz w:val="18"/>
                <w:szCs w:val="18"/>
              </w:rPr>
              <w:t xml:space="preserve">Service d'IA générative externe surveillé</w:t>
            </w:r>
          </w:p>
        </w:tc>
      </w:tr>
    </w:tbl>
    <w:p>
      <w:pPr>
        <w:pStyle w:val="Heading2"/>
        <w:spacing w:after="120" w:before="260"/>
      </w:pPr>
      <w:r>
        <w:t xml:space="preserve">4.4 Diagramme de séquence — flux nominal (action MASK)</w:t>
      </w:r>
    </w:p>
    <w:p>
      <w:pPr>
        <w:pBdr>
          <w:top w:val="single" w:color="CCCCCC" w:sz="2"/>
          <w:bottom w:val="single" w:color="CCCCCC" w:sz="2"/>
          <w:left w:val="single" w:color="CCCCCC" w:sz="2"/>
          <w:right w:val="single" w:color="CCCCCC" w:sz="2"/>
        </w:pBdr>
        <w:shd w:fill="F4F5F8" w:val="clear"/>
        <w:spacing w:after="150" w:before="100"/>
      </w:pPr>
      <w:r>
        <w:rPr>
          <w:rFonts w:ascii="Consolas" w:cs="Consolas" w:eastAsia="Consolas" w:hAnsi="Consolas"/>
          <w:sz w:val="17"/>
          <w:szCs w:val="17"/>
        </w:rPr>
        <w:t xml:space="preserve">Utilisateur      Agent(A1/A2)     Detection      Risk Scoring    Policy      Vault        Audit Store
    |                |                |               |             |           |               |
    |--prompt-------&gt;|                |               |             |           |               |
    |                |--analyse texte-&gt;|              |             |           |               |
    |                |                |--DetectionResult[]----------&gt;|          |               |
    |                |                |               |--RiskScore--&gt;|          |               |
    |                |                |               |             |--MASK?--&gt;|                |
    |                |                |               |             |          |--tokens-------&gt; |
    |                |&lt;--texte masqué + décision------------------------------|                  |
    |&lt;--envoi vers IA (texte anonymisé)                                                           |
    |                |----------------------------------------------------------journalisation---&gt;|
    |                |                                                                    (sans contenu en clair)</w:t>
      </w:r>
    </w:p>
    <w:p>
      <w:pPr>
        <w:pStyle w:val="Heading2"/>
        <w:spacing w:after="120" w:before="260"/>
      </w:pPr>
      <w:r>
        <w:t xml:space="preserve">4.5 Diagramme de séquence — mode déconnecté (fail-closed gradué)</w:t>
      </w:r>
    </w:p>
    <w:p>
      <w:pPr>
        <w:pBdr>
          <w:top w:val="single" w:color="CCCCCC" w:sz="2"/>
          <w:bottom w:val="single" w:color="CCCCCC" w:sz="2"/>
          <w:left w:val="single" w:color="CCCCCC" w:sz="2"/>
          <w:right w:val="single" w:color="CCCCCC" w:sz="2"/>
        </w:pBdr>
        <w:shd w:fill="F4F5F8" w:val="clear"/>
        <w:spacing w:after="150" w:before="100"/>
      </w:pPr>
      <w:r>
        <w:rPr>
          <w:rFonts w:ascii="Consolas" w:cs="Consolas" w:eastAsia="Consolas" w:hAnsi="Consolas"/>
          <w:sz w:val="17"/>
          <w:szCs w:val="17"/>
        </w:rPr>
        <w:t xml:space="preserve">Agent(A1/A2)         Detection locale        Risk local        Decision Cache        Central API
     |                      |                     |                    |                    X (injoignable)
     |--texte--------------&gt;|                     |                    |
     |                      |--entités-----------&gt;|                    |
     |                      |                     |--score+bande------&gt;|
     |                      |                                          |--politique déjà synchronisée (S-1)
     |&lt;--décision locale (fail-closed si département à risque élevé)---|
     |--mise en file d'attente locale de l'événement------------------&gt;|
     |                          (retransmission dès reconnexion, avec backoff exponentiel)</w:t>
      </w:r>
    </w:p>
    <w:p>
      <w:pPr>
        <w:pStyle w:val="Heading1"/>
        <w:spacing w:after="180" w:before="380"/>
      </w:pPr>
      <w:r>
        <w:t xml:space="preserve">5. Vue de contexte (C4 — Niveau 1)</w:t>
      </w:r>
    </w:p>
    <w:p>
      <w:pPr>
        <w:spacing w:after="150" w:line="300"/>
        <w:jc w:val="both"/>
      </w:pPr>
      <w:r>
        <w:rPr>
          <w:b w:val="false"/>
          <w:bCs w:val="false"/>
          <w:i w:val="false"/>
          <w:iCs w:val="false"/>
        </w:rPr>
        <w:t xml:space="preserve">Le système s'interpose entre l'utilisateur final et les services d'IA générative externes, sans jamais devenir lui-même un service de génération de contenu.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F3864" w:val="clear"/>
          </w:tcPr>
          <w:p>
            <w:r>
              <w:rPr>
                <w:b/>
                <w:bCs/>
                <w:color w:val="FFFFFF"/>
                <w:sz w:val="18"/>
                <w:szCs w:val="18"/>
              </w:rPr>
              <w:t xml:space="preserve">Acteur / Système externe</w:t>
            </w:r>
          </w:p>
        </w:tc>
        <w:tc>
          <w:tcPr>
            <w:tcW w:type="dxa" w:w="5760"/>
            <w:shd w:fill="1F3864" w:val="clear"/>
          </w:tcPr>
          <w:p>
            <w:r>
              <w:rPr>
                <w:b/>
                <w:bCs/>
                <w:color w:val="FFFFFF"/>
                <w:sz w:val="18"/>
                <w:szCs w:val="18"/>
              </w:rPr>
              <w:t xml:space="preserve">Nature de l'interaction</w:t>
            </w:r>
          </w:p>
        </w:tc>
      </w:tr>
      <w:tr>
        <w:tc>
          <w:tcPr>
            <w:tcW w:type="dxa" w:w="3600"/>
            <w:shd w:fill="F2F2F2" w:val="clear"/>
          </w:tcPr>
          <w:p>
            <w:r>
              <w:rPr>
                <w:sz w:val="18"/>
                <w:szCs w:val="18"/>
              </w:rPr>
              <w:t xml:space="preserve">Collaborateur</w:t>
            </w:r>
          </w:p>
        </w:tc>
        <w:tc>
          <w:tcPr>
            <w:tcW w:type="dxa" w:w="5760"/>
            <w:shd w:fill="F2F2F2" w:val="clear"/>
          </w:tcPr>
          <w:p>
            <w:r>
              <w:rPr>
                <w:sz w:val="18"/>
                <w:szCs w:val="18"/>
              </w:rPr>
              <w:t xml:space="preserve">Interagit avec les IA génératives ; ses requêtes sont interceptées localement par l'agent</w:t>
            </w:r>
          </w:p>
        </w:tc>
      </w:tr>
      <w:tr>
        <w:tc>
          <w:tcPr>
            <w:tcW w:type="dxa" w:w="3600"/>
            <w:shd w:fill="FFFFFF" w:val="clear"/>
          </w:tcPr>
          <w:p>
            <w:r>
              <w:rPr>
                <w:sz w:val="18"/>
                <w:szCs w:val="18"/>
              </w:rPr>
              <w:t xml:space="preserve">RSSI</w:t>
            </w:r>
          </w:p>
        </w:tc>
        <w:tc>
          <w:tcPr>
            <w:tcW w:type="dxa" w:w="5760"/>
            <w:shd w:fill="FFFFFF" w:val="clear"/>
          </w:tcPr>
          <w:p>
            <w:r>
              <w:rPr>
                <w:sz w:val="18"/>
                <w:szCs w:val="18"/>
              </w:rPr>
              <w:t xml:space="preserve">Définit les politiques, consulte le Dashboard, reçoit les alertes</w:t>
            </w:r>
          </w:p>
        </w:tc>
      </w:tr>
      <w:tr>
        <w:tc>
          <w:tcPr>
            <w:tcW w:type="dxa" w:w="3600"/>
            <w:shd w:fill="F2F2F2" w:val="clear"/>
          </w:tcPr>
          <w:p>
            <w:r>
              <w:rPr>
                <w:sz w:val="18"/>
                <w:szCs w:val="18"/>
              </w:rPr>
              <w:t xml:space="preserve">DPO</w:t>
            </w:r>
          </w:p>
        </w:tc>
        <w:tc>
          <w:tcPr>
            <w:tcW w:type="dxa" w:w="5760"/>
            <w:shd w:fill="F2F2F2" w:val="clear"/>
          </w:tcPr>
          <w:p>
            <w:r>
              <w:rPr>
                <w:sz w:val="18"/>
                <w:szCs w:val="18"/>
              </w:rPr>
              <w:t xml:space="preserve">Consulte les journaux d'audit et indicateurs de conformité</w:t>
            </w:r>
          </w:p>
        </w:tc>
      </w:tr>
      <w:tr>
        <w:tc>
          <w:tcPr>
            <w:tcW w:type="dxa" w:w="3600"/>
            <w:shd w:fill="FFFFFF" w:val="clear"/>
          </w:tcPr>
          <w:p>
            <w:r>
              <w:rPr>
                <w:sz w:val="18"/>
                <w:szCs w:val="18"/>
              </w:rPr>
              <w:t xml:space="preserve">Services d'IA générative externes</w:t>
            </w:r>
          </w:p>
        </w:tc>
        <w:tc>
          <w:tcPr>
            <w:tcW w:type="dxa" w:w="5760"/>
            <w:shd w:fill="FFFFFF" w:val="clear"/>
          </w:tcPr>
          <w:p>
            <w:r>
              <w:rPr>
                <w:sz w:val="18"/>
                <w:szCs w:val="18"/>
              </w:rPr>
              <w:t xml:space="preserve">Destinataires finaux, non maîtrisés, potentiellement hébergés hors juridiction</w:t>
            </w:r>
          </w:p>
        </w:tc>
      </w:tr>
      <w:tr>
        <w:tc>
          <w:tcPr>
            <w:tcW w:type="dxa" w:w="3600"/>
            <w:shd w:fill="F2F2F2" w:val="clear"/>
          </w:tcPr>
          <w:p>
            <w:r>
              <w:rPr>
                <w:sz w:val="18"/>
                <w:szCs w:val="18"/>
              </w:rPr>
              <w:t xml:space="preserve">IdP d'entreprise (SSO)</w:t>
            </w:r>
          </w:p>
        </w:tc>
        <w:tc>
          <w:tcPr>
            <w:tcW w:type="dxa" w:w="5760"/>
            <w:shd w:fill="F2F2F2" w:val="clear"/>
          </w:tcPr>
          <w:p>
            <w:r>
              <w:rPr>
                <w:sz w:val="18"/>
                <w:szCs w:val="18"/>
              </w:rPr>
              <w:t xml:space="preserve">Authentification et attributs organisationnels</w:t>
            </w:r>
          </w:p>
        </w:tc>
      </w:tr>
    </w:tbl>
    <w:p>
      <w:pPr>
        <w:pStyle w:val="Heading1"/>
        <w:spacing w:after="180" w:before="380"/>
      </w:pPr>
      <w:r>
        <w:t xml:space="preserve">6. Vue des conteneurs (C4 — Niveau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shd w:fill="1F3864" w:val="clear"/>
          </w:tcPr>
          <w:p>
            <w:r>
              <w:rPr>
                <w:b/>
                <w:bCs/>
                <w:color w:val="FFFFFF"/>
                <w:sz w:val="18"/>
                <w:szCs w:val="18"/>
              </w:rPr>
              <w:t xml:space="preserve">Conteneur</w:t>
            </w:r>
          </w:p>
        </w:tc>
        <w:tc>
          <w:tcPr>
            <w:tcW w:type="dxa" w:w="4160"/>
            <w:shd w:fill="1F3864" w:val="clear"/>
          </w:tcPr>
          <w:p>
            <w:r>
              <w:rPr>
                <w:b/>
                <w:bCs/>
                <w:color w:val="FFFFFF"/>
                <w:sz w:val="18"/>
                <w:szCs w:val="18"/>
              </w:rPr>
              <w:t xml:space="preserve">Responsabilité</w:t>
            </w:r>
          </w:p>
        </w:tc>
        <w:tc>
          <w:tcPr>
            <w:tcW w:type="dxa" w:w="2600"/>
            <w:shd w:fill="1F3864" w:val="clear"/>
          </w:tcPr>
          <w:p>
            <w:r>
              <w:rPr>
                <w:b/>
                <w:bCs/>
                <w:color w:val="FFFFFF"/>
                <w:sz w:val="18"/>
                <w:szCs w:val="18"/>
              </w:rPr>
              <w:t xml:space="preserve">Technologie retenue</w:t>
            </w:r>
          </w:p>
        </w:tc>
      </w:tr>
      <w:tr>
        <w:tc>
          <w:tcPr>
            <w:tcW w:type="dxa" w:w="2600"/>
            <w:shd w:fill="F2F2F2" w:val="clear"/>
          </w:tcPr>
          <w:p>
            <w:r>
              <w:rPr>
                <w:sz w:val="18"/>
                <w:szCs w:val="18"/>
              </w:rPr>
              <w:t xml:space="preserve">AI Security Agent (A1 + A2)</w:t>
            </w:r>
          </w:p>
        </w:tc>
        <w:tc>
          <w:tcPr>
            <w:tcW w:type="dxa" w:w="4160"/>
            <w:shd w:fill="F2F2F2" w:val="clear"/>
          </w:tcPr>
          <w:p>
            <w:r>
              <w:rPr>
                <w:sz w:val="18"/>
                <w:szCs w:val="18"/>
              </w:rPr>
              <w:t xml:space="preserve">Interception, détection locale, application temps réel des politiques</w:t>
            </w:r>
          </w:p>
        </w:tc>
        <w:tc>
          <w:tcPr>
            <w:tcW w:type="dxa" w:w="2600"/>
            <w:shd w:fill="F2F2F2" w:val="clear"/>
          </w:tcPr>
          <w:p>
            <w:r>
              <w:rPr>
                <w:sz w:val="18"/>
                <w:szCs w:val="18"/>
              </w:rPr>
              <w:t xml:space="preserve">Extension Manifest V3 (TypeScript) + binaire natif Rust</w:t>
            </w:r>
          </w:p>
        </w:tc>
      </w:tr>
      <w:tr>
        <w:tc>
          <w:tcPr>
            <w:tcW w:type="dxa" w:w="2600"/>
            <w:shd w:fill="FFFFFF" w:val="clear"/>
          </w:tcPr>
          <w:p>
            <w:r>
              <w:rPr>
                <w:sz w:val="18"/>
                <w:szCs w:val="18"/>
              </w:rPr>
              <w:t xml:space="preserve">Detection Engine</w:t>
            </w:r>
          </w:p>
        </w:tc>
        <w:tc>
          <w:tcPr>
            <w:tcW w:type="dxa" w:w="4160"/>
            <w:shd w:fill="FFFFFF" w:val="clear"/>
          </w:tcPr>
          <w:p>
            <w:r>
              <w:rPr>
                <w:sz w:val="18"/>
                <w:szCs w:val="18"/>
              </w:rPr>
              <w:t xml:space="preserve">Détection hybride 3 couches (règles, NER, LLM contextuel)</w:t>
            </w:r>
          </w:p>
        </w:tc>
        <w:tc>
          <w:tcPr>
            <w:tcW w:type="dxa" w:w="2600"/>
            <w:shd w:fill="FFFFFF" w:val="clear"/>
          </w:tcPr>
          <w:p>
            <w:r>
              <w:rPr>
                <w:sz w:val="18"/>
                <w:szCs w:val="18"/>
              </w:rPr>
              <w:t xml:space="preserve">Python — ONNX Runtime + llama.cpp</w:t>
            </w:r>
          </w:p>
        </w:tc>
      </w:tr>
      <w:tr>
        <w:tc>
          <w:tcPr>
            <w:tcW w:type="dxa" w:w="2600"/>
            <w:shd w:fill="F2F2F2" w:val="clear"/>
          </w:tcPr>
          <w:p>
            <w:r>
              <w:rPr>
                <w:sz w:val="18"/>
                <w:szCs w:val="18"/>
              </w:rPr>
              <w:t xml:space="preserve">Risk Scoring Engine</w:t>
            </w:r>
          </w:p>
        </w:tc>
        <w:tc>
          <w:tcPr>
            <w:tcW w:type="dxa" w:w="4160"/>
            <w:shd w:fill="F2F2F2" w:val="clear"/>
          </w:tcPr>
          <w:p>
            <w:r>
              <w:rPr>
                <w:sz w:val="18"/>
                <w:szCs w:val="18"/>
              </w:rPr>
              <w:t xml:space="preserve">Calcul du score de risque (4 facteurs)</w:t>
            </w:r>
          </w:p>
        </w:tc>
        <w:tc>
          <w:tcPr>
            <w:tcW w:type="dxa" w:w="2600"/>
            <w:shd w:fill="F2F2F2" w:val="clear"/>
          </w:tcPr>
          <w:p>
            <w:r>
              <w:rPr>
                <w:sz w:val="18"/>
                <w:szCs w:val="18"/>
              </w:rPr>
              <w:t xml:space="preserve">Service Python stateless</w:t>
            </w:r>
          </w:p>
        </w:tc>
      </w:tr>
      <w:tr>
        <w:tc>
          <w:tcPr>
            <w:tcW w:type="dxa" w:w="2600"/>
            <w:shd w:fill="FFFFFF" w:val="clear"/>
          </w:tcPr>
          <w:p>
            <w:r>
              <w:rPr>
                <w:sz w:val="18"/>
                <w:szCs w:val="18"/>
              </w:rPr>
              <w:t xml:space="preserve">Policy Engine</w:t>
            </w:r>
          </w:p>
        </w:tc>
        <w:tc>
          <w:tcPr>
            <w:tcW w:type="dxa" w:w="4160"/>
            <w:shd w:fill="FFFFFF" w:val="clear"/>
          </w:tcPr>
          <w:p>
            <w:r>
              <w:rPr>
                <w:sz w:val="18"/>
                <w:szCs w:val="18"/>
              </w:rPr>
              <w:t xml:space="preserve">Évaluation des règles, décision ALLOW/WARN/MASK/BLOCK</w:t>
            </w:r>
          </w:p>
        </w:tc>
        <w:tc>
          <w:tcPr>
            <w:tcW w:type="dxa" w:w="2600"/>
            <w:shd w:fill="FFFFFF" w:val="clear"/>
          </w:tcPr>
          <w:p>
            <w:r>
              <w:rPr>
                <w:sz w:val="18"/>
                <w:szCs w:val="18"/>
              </w:rPr>
              <w:t xml:space="preserve">Service TypeScript (NestJS)</w:t>
            </w:r>
          </w:p>
        </w:tc>
      </w:tr>
      <w:tr>
        <w:tc>
          <w:tcPr>
            <w:tcW w:type="dxa" w:w="2600"/>
            <w:shd w:fill="F2F2F2" w:val="clear"/>
          </w:tcPr>
          <w:p>
            <w:r>
              <w:rPr>
                <w:sz w:val="18"/>
                <w:szCs w:val="18"/>
              </w:rPr>
              <w:t xml:space="preserve">Anonymization Vault</w:t>
            </w:r>
          </w:p>
        </w:tc>
        <w:tc>
          <w:tcPr>
            <w:tcW w:type="dxa" w:w="4160"/>
            <w:shd w:fill="F2F2F2" w:val="clear"/>
          </w:tcPr>
          <w:p>
            <w:r>
              <w:rPr>
                <w:sz w:val="18"/>
                <w:szCs w:val="18"/>
              </w:rPr>
              <w:t xml:space="preserve">Substitution réversible, gestion chiffrée des clés</w:t>
            </w:r>
          </w:p>
        </w:tc>
        <w:tc>
          <w:tcPr>
            <w:tcW w:type="dxa" w:w="2600"/>
            <w:shd w:fill="F2F2F2" w:val="clear"/>
          </w:tcPr>
          <w:p>
            <w:r>
              <w:rPr>
                <w:sz w:val="18"/>
                <w:szCs w:val="18"/>
              </w:rPr>
              <w:t xml:space="preserve">Service isolé, TypeScript + KMS logiciel</w:t>
            </w:r>
          </w:p>
        </w:tc>
      </w:tr>
      <w:tr>
        <w:tc>
          <w:tcPr>
            <w:tcW w:type="dxa" w:w="2600"/>
            <w:shd w:fill="FFFFFF" w:val="clear"/>
          </w:tcPr>
          <w:p>
            <w:r>
              <w:rPr>
                <w:sz w:val="18"/>
                <w:szCs w:val="18"/>
              </w:rPr>
              <w:t xml:space="preserve">Central API &amp; Orchestration</w:t>
            </w:r>
          </w:p>
        </w:tc>
        <w:tc>
          <w:tcPr>
            <w:tcW w:type="dxa" w:w="4160"/>
            <w:shd w:fill="FFFFFF" w:val="clear"/>
          </w:tcPr>
          <w:p>
            <w:r>
              <w:rPr>
                <w:sz w:val="18"/>
                <w:szCs w:val="18"/>
              </w:rPr>
              <w:t xml:space="preserve">Point d'entrée unique, auth, orchestration</w:t>
            </w:r>
          </w:p>
        </w:tc>
        <w:tc>
          <w:tcPr>
            <w:tcW w:type="dxa" w:w="2600"/>
            <w:shd w:fill="FFFFFF" w:val="clear"/>
          </w:tcPr>
          <w:p>
            <w:r>
              <w:rPr>
                <w:sz w:val="18"/>
                <w:szCs w:val="18"/>
              </w:rPr>
              <w:t xml:space="preserve">NestJS (REST)</w:t>
            </w:r>
          </w:p>
        </w:tc>
      </w:tr>
      <w:tr>
        <w:tc>
          <w:tcPr>
            <w:tcW w:type="dxa" w:w="2600"/>
            <w:shd w:fill="F2F2F2" w:val="clear"/>
          </w:tcPr>
          <w:p>
            <w:r>
              <w:rPr>
                <w:sz w:val="18"/>
                <w:szCs w:val="18"/>
              </w:rPr>
              <w:t xml:space="preserve">Audit &amp; Telemetry Store</w:t>
            </w:r>
          </w:p>
        </w:tc>
        <w:tc>
          <w:tcPr>
            <w:tcW w:type="dxa" w:w="4160"/>
            <w:shd w:fill="F2F2F2" w:val="clear"/>
          </w:tcPr>
          <w:p>
            <w:r>
              <w:rPr>
                <w:sz w:val="18"/>
                <w:szCs w:val="18"/>
              </w:rPr>
              <w:t xml:space="preserve">Stockage des événements, alimentation du Dashboard</w:t>
            </w:r>
          </w:p>
        </w:tc>
        <w:tc>
          <w:tcPr>
            <w:tcW w:type="dxa" w:w="2600"/>
            <w:shd w:fill="F2F2F2" w:val="clear"/>
          </w:tcPr>
          <w:p>
            <w:r>
              <w:rPr>
                <w:sz w:val="18"/>
                <w:szCs w:val="18"/>
              </w:rPr>
              <w:t xml:space="preserve">PostgreSQL + TimescaleDB</w:t>
            </w:r>
          </w:p>
        </w:tc>
      </w:tr>
      <w:tr>
        <w:tc>
          <w:tcPr>
            <w:tcW w:type="dxa" w:w="2600"/>
            <w:shd w:fill="FFFFFF" w:val="clear"/>
          </w:tcPr>
          <w:p>
            <w:r>
              <w:rPr>
                <w:sz w:val="18"/>
                <w:szCs w:val="18"/>
              </w:rPr>
              <w:t xml:space="preserve">Dashboard BI</w:t>
            </w:r>
          </w:p>
        </w:tc>
        <w:tc>
          <w:tcPr>
            <w:tcW w:type="dxa" w:w="4160"/>
            <w:shd w:fill="FFFFFF" w:val="clear"/>
          </w:tcPr>
          <w:p>
            <w:r>
              <w:rPr>
                <w:sz w:val="18"/>
                <w:szCs w:val="18"/>
              </w:rPr>
              <w:t xml:space="preserve">Restitution décisionnelle</w:t>
            </w:r>
          </w:p>
        </w:tc>
        <w:tc>
          <w:tcPr>
            <w:tcW w:type="dxa" w:w="2600"/>
            <w:shd w:fill="FFFFFF" w:val="clear"/>
          </w:tcPr>
          <w:p>
            <w:r>
              <w:rPr>
                <w:sz w:val="18"/>
                <w:szCs w:val="18"/>
              </w:rPr>
              <w:t xml:space="preserve">Next.js + TypeScript + Tailwind</w:t>
            </w:r>
          </w:p>
        </w:tc>
      </w:tr>
    </w:tbl>
    <w:p>
      <w:pPr>
        <w:pBdr>
          <w:top w:val="single" w:color="CCCCCC" w:sz="2"/>
          <w:bottom w:val="single" w:color="CCCCCC" w:sz="2"/>
          <w:left w:val="single" w:color="CCCCCC" w:sz="2"/>
          <w:right w:val="single" w:color="CCCCCC" w:sz="2"/>
        </w:pBdr>
        <w:shd w:fill="F4F5F8" w:val="clear"/>
        <w:spacing w:after="150" w:before="100"/>
      </w:pPr>
      <w:r>
        <w:rPr>
          <w:rFonts w:ascii="Consolas" w:cs="Consolas" w:eastAsia="Consolas" w:hAnsi="Consolas"/>
          <w:sz w:val="17"/>
          <w:szCs w:val="17"/>
        </w:rPr>
        <w:t xml:space="preserve">[Poste utilisateur]
  Navigateur/Terminal ─▶ AI Security Agent ──(local)──▶ Detection Engine (règles+NER+LLM)
        │                                                     │
        │ (si connecté)                                       ▼
        └────────────▶ Central API ◀──── Risk Scoring Engine
                              │                 │
                              ▼                 ▼
                        Policy Engine ──▶ Anonymization Vault
                              │
                              ▼
                    Audit &amp; Telemetry Store ──▶ Dashboard BI</w:t>
      </w:r>
    </w:p>
    <w:p>
      <w:pPr>
        <w:pStyle w:val="Heading1"/>
        <w:spacing w:after="180" w:before="380"/>
      </w:pPr>
      <w:r>
        <w:t xml:space="preserve">7. Vue des composants (C4 — Niveau 3)</w:t>
      </w:r>
    </w:p>
    <w:p>
      <w:pPr>
        <w:pStyle w:val="Heading2"/>
        <w:spacing w:after="120" w:before="260"/>
      </w:pPr>
      <w:r>
        <w:t xml:space="preserve">7.1 AI Security Agent</w:t>
      </w:r>
    </w:p>
    <w:p>
      <w:pPr>
        <w:pStyle w:val="ListParagraph"/>
        <w:numPr>
          <w:ilvl w:val="0"/>
          <w:numId w:val="2"/>
        </w:numPr>
        <w:spacing w:after="90" w:line="280"/>
      </w:pPr>
      <w:r>
        <w:t xml:space="preserve">Interceptor (A1) : hook DOM / requêtes réseau sortantes vers les domaines d'IA connus, y compris services à forte pénétration locale (ex. DeepSeek).</w:t>
      </w:r>
    </w:p>
    <w:p>
      <w:pPr>
        <w:pStyle w:val="ListParagraph"/>
        <w:numPr>
          <w:ilvl w:val="0"/>
          <w:numId w:val="2"/>
        </w:numPr>
        <w:spacing w:after="90" w:line="280"/>
      </w:pPr>
      <w:r>
        <w:t xml:space="preserve">Shim binaire (A2) : interposition dans le PATH système pour les outils IA en ligne de commande.</w:t>
      </w:r>
    </w:p>
    <w:p>
      <w:pPr>
        <w:pStyle w:val="ListParagraph"/>
        <w:numPr>
          <w:ilvl w:val="0"/>
          <w:numId w:val="2"/>
        </w:numPr>
        <w:spacing w:after="90" w:line="280"/>
      </w:pPr>
      <w:r>
        <w:t xml:space="preserve">Local Inference Runtime : exécute règles, modèle NER quantifié et LLM contextuel quantifié, sans appel réseau.</w:t>
      </w:r>
    </w:p>
    <w:p>
      <w:pPr>
        <w:pStyle w:val="ListParagraph"/>
        <w:numPr>
          <w:ilvl w:val="0"/>
          <w:numId w:val="2"/>
        </w:numPr>
        <w:spacing w:after="90" w:line="280"/>
      </w:pPr>
      <w:r>
        <w:t xml:space="preserve">Decision Cache : politiques synchronisées localement pour le mode déconnecté.</w:t>
      </w:r>
    </w:p>
    <w:p>
      <w:pPr>
        <w:pStyle w:val="ListParagraph"/>
        <w:numPr>
          <w:ilvl w:val="0"/>
          <w:numId w:val="2"/>
        </w:numPr>
        <w:spacing w:after="90" w:line="280"/>
      </w:pPr>
      <w:r>
        <w:t xml:space="preserve">Heartbeat Emitter : signal de présence périodique signé vers la plateforme centrale (voir section 11).</w:t>
      </w:r>
    </w:p>
    <w:p>
      <w:pPr>
        <w:pStyle w:val="ListParagraph"/>
        <w:numPr>
          <w:ilvl w:val="0"/>
          <w:numId w:val="2"/>
        </w:numPr>
        <w:spacing w:after="90" w:line="280"/>
      </w:pPr>
      <w:r>
        <w:t xml:space="preserve">Secure Messenger : file d'attente chiffrée, retransmission avec backoff exponentiel.</w:t>
      </w:r>
    </w:p>
    <w:p>
      <w:pPr>
        <w:pStyle w:val="Heading2"/>
        <w:spacing w:after="120" w:before="260"/>
      </w:pPr>
      <w:r>
        <w:t xml:space="preserve">7.2 Central API &amp; Orchestration</w:t>
      </w:r>
    </w:p>
    <w:p>
      <w:pPr>
        <w:pStyle w:val="ListParagraph"/>
        <w:numPr>
          <w:ilvl w:val="0"/>
          <w:numId w:val="2"/>
        </w:numPr>
        <w:spacing w:after="90" w:line="280"/>
      </w:pPr>
      <w:r>
        <w:t xml:space="preserve">Auth Gateway : validation SSO/OAuth2 (utilisateurs) et mTLS (agents).</w:t>
      </w:r>
    </w:p>
    <w:p>
      <w:pPr>
        <w:pStyle w:val="ListParagraph"/>
        <w:numPr>
          <w:ilvl w:val="0"/>
          <w:numId w:val="2"/>
        </w:numPr>
        <w:spacing w:after="90" w:line="280"/>
      </w:pPr>
      <w:r>
        <w:t xml:space="preserve">Policy Manager : CRUD des politiques, versionnement, validation renforcée pour toute règle à action BLOCK.</w:t>
      </w:r>
    </w:p>
    <w:p>
      <w:pPr>
        <w:pStyle w:val="ListParagraph"/>
        <w:numPr>
          <w:ilvl w:val="0"/>
          <w:numId w:val="2"/>
        </w:numPr>
        <w:spacing w:after="90" w:line="280"/>
      </w:pPr>
      <w:r>
        <w:t xml:space="preserve">Orchestrator : coordonne Detection → Risk Scoring → Policy Engine pour les requêtes traitées côté serveur.</w:t>
      </w:r>
    </w:p>
    <w:p>
      <w:pPr>
        <w:pStyle w:val="ListParagraph"/>
        <w:numPr>
          <w:ilvl w:val="0"/>
          <w:numId w:val="2"/>
        </w:numPr>
        <w:spacing w:after="90" w:line="280"/>
      </w:pPr>
      <w:r>
        <w:t xml:space="preserve">Heartbeat Monitor : détecte l'absence prolongée de signal d'un agent et déclenche une alerte.</w:t>
      </w:r>
    </w:p>
    <w:p>
      <w:pPr>
        <w:pStyle w:val="Heading2"/>
        <w:spacing w:after="120" w:before="260"/>
      </w:pPr>
      <w:r>
        <w:t xml:space="preserve">7.3 Dashboard BI</w:t>
      </w:r>
    </w:p>
    <w:p>
      <w:pPr>
        <w:pStyle w:val="ListParagraph"/>
        <w:numPr>
          <w:ilvl w:val="0"/>
          <w:numId w:val="2"/>
        </w:numPr>
        <w:spacing w:after="90" w:line="280"/>
      </w:pPr>
      <w:r>
        <w:t xml:space="preserve">Analytics API Layer : agrège les données de l'Audit Store sans exposer le détail brut.</w:t>
      </w:r>
    </w:p>
    <w:p>
      <w:pPr>
        <w:pStyle w:val="ListParagraph"/>
        <w:numPr>
          <w:ilvl w:val="0"/>
          <w:numId w:val="2"/>
        </w:numPr>
        <w:spacing w:after="90" w:line="280"/>
      </w:pPr>
      <w:r>
        <w:t xml:space="preserve">Policy Studio : construction assistée des règles, aperçu en langage naturel.</w:t>
      </w:r>
    </w:p>
    <w:p>
      <w:pPr>
        <w:pStyle w:val="ListParagraph"/>
        <w:numPr>
          <w:ilvl w:val="0"/>
          <w:numId w:val="2"/>
        </w:numPr>
        <w:spacing w:after="90" w:line="280"/>
      </w:pPr>
      <w:r>
        <w:t xml:space="preserve">Real-time Alerting Panel : abonnement aux événements critiques et aux pertes de signal d'agent.</w:t>
      </w:r>
    </w:p>
    <w:p>
      <w:pPr>
        <w:pStyle w:val="Heading1"/>
        <w:spacing w:after="180" w:before="380"/>
      </w:pPr>
      <w:r>
        <w:t xml:space="preserve">8. Moteur de détection hybride</w:t>
      </w:r>
    </w:p>
    <w:p>
      <w:pPr>
        <w:spacing w:after="150" w:line="300"/>
        <w:jc w:val="both"/>
      </w:pPr>
      <w:r>
        <w:rPr>
          <w:b w:val="false"/>
          <w:bCs w:val="false"/>
          <w:i w:val="false"/>
          <w:iCs w:val="false"/>
        </w:rPr>
        <w:t xml:space="preserve">Le Detection Engine combine trois couches complémentaires, chacune exposant le même contrat de sortie (DetectionResult), condition nécessaire à l'évaluation comparative de l'Objectif 4.</w:t>
      </w:r>
    </w:p>
    <w:p>
      <w:pPr>
        <w:pStyle w:val="Heading2"/>
        <w:spacing w:after="120" w:before="260"/>
      </w:pPr>
      <w:r>
        <w:t xml:space="preserve">8.1 Couche 1 — Règles et expressions régulières</w:t>
      </w:r>
    </w:p>
    <w:p>
      <w:pPr>
        <w:spacing w:after="150" w:line="300"/>
        <w:jc w:val="both"/>
      </w:pPr>
      <w:r>
        <w:rPr>
          <w:b w:val="false"/>
          <w:bCs w:val="false"/>
          <w:i w:val="false"/>
          <w:iCs w:val="false"/>
        </w:rPr>
        <w:t xml:space="preserve">Détection de motifs structurés : IBAN, e-mail, numéros de mobile money, identifiants internes, numéros d'assuré CNSS. Rapide (quelques millisecondes), explicable, fonctionne intégralement hors ligne.</w:t>
      </w:r>
    </w:p>
    <w:p>
      <w:pPr>
        <w:pStyle w:val="Heading2"/>
        <w:spacing w:after="120" w:before="260"/>
      </w:pPr>
      <w:r>
        <w:t xml:space="preserve">8.2 Couche 2 — Modèle NER quantifié</w:t>
      </w:r>
    </w:p>
    <w:p>
      <w:pPr>
        <w:spacing w:after="150" w:line="300"/>
        <w:jc w:val="both"/>
      </w:pPr>
      <w:r>
        <w:rPr>
          <w:b w:val="false"/>
          <w:bCs w:val="false"/>
          <w:i w:val="false"/>
          <w:iCs w:val="false"/>
        </w:rPr>
        <w:t xml:space="preserve">Détection des entités non structurées (noms, organisations, fonctions) via un modèle NER pré-entraîné, quantifié pour l'inférence locale (ex. CamemBERT-NER distillé pour le français, exécuté via ONNX Runtime). Chargé une seule fois au démarrage du service, avec dégradation propre vers la couche 1 seule en cas d'indisponibilité du modèle.</w:t>
      </w:r>
    </w:p>
    <w:p>
      <w:pPr>
        <w:pStyle w:val="Heading2"/>
        <w:spacing w:after="120" w:before="260"/>
      </w:pPr>
      <w:r>
        <w:t xml:space="preserve">8.3 Couche 3 — Classificateur contextuel (LLM local, open-weight, quantifié)</w:t>
      </w:r>
    </w:p>
    <w:p>
      <w:pPr>
        <w:spacing w:after="150" w:line="300"/>
        <w:jc w:val="both"/>
      </w:pPr>
      <w:r>
        <w:rPr>
          <w:b w:val="false"/>
          <w:bCs w:val="false"/>
          <w:i w:val="false"/>
          <w:iCs w:val="false"/>
        </w:rPr>
        <w:t xml:space="preserve">Cette couche évalue le document ou le prompt dans son ensemble, au-delà des entités isolées, pour des signaux que les couches 1 et 2 ne couvrent pas (intention stratégique, contexte métier diffus sans entité nommée explicite).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3800"/>
      </w:tblGrid>
      <w:tr>
        <w:trPr>
          <w:tblHeader/>
        </w:trPr>
        <w:tc>
          <w:tcPr>
            <w:tcW w:type="dxa" w:w="2000"/>
            <w:shd w:fill="1F3864" w:val="clear"/>
          </w:tcPr>
          <w:p>
            <w:r>
              <w:rPr>
                <w:b/>
                <w:bCs/>
                <w:color w:val="FFFFFF"/>
                <w:sz w:val="18"/>
                <w:szCs w:val="18"/>
              </w:rPr>
              <w:t xml:space="preserve">Paramètre</w:t>
            </w:r>
          </w:p>
        </w:tc>
        <w:tc>
          <w:tcPr>
            <w:tcW w:type="dxa" w:w="3560"/>
            <w:shd w:fill="1F3864" w:val="clear"/>
          </w:tcPr>
          <w:p>
            <w:r>
              <w:rPr>
                <w:b/>
                <w:bCs/>
                <w:color w:val="FFFFFF"/>
                <w:sz w:val="18"/>
                <w:szCs w:val="18"/>
              </w:rPr>
              <w:t xml:space="preserve">Choix retenu</w:t>
            </w:r>
          </w:p>
        </w:tc>
        <w:tc>
          <w:tcPr>
            <w:tcW w:type="dxa" w:w="3800"/>
            <w:shd w:fill="1F3864" w:val="clear"/>
          </w:tcPr>
          <w:p>
            <w:r>
              <w:rPr>
                <w:b/>
                <w:bCs/>
                <w:color w:val="FFFFFF"/>
                <w:sz w:val="18"/>
                <w:szCs w:val="18"/>
              </w:rPr>
              <w:t xml:space="preserve">Justification</w:t>
            </w:r>
          </w:p>
        </w:tc>
      </w:tr>
      <w:tr>
        <w:tc>
          <w:tcPr>
            <w:tcW w:type="dxa" w:w="2000"/>
            <w:shd w:fill="F2F2F2" w:val="clear"/>
          </w:tcPr>
          <w:p>
            <w:r>
              <w:rPr>
                <w:sz w:val="18"/>
                <w:szCs w:val="18"/>
              </w:rPr>
              <w:t xml:space="preserve">Modèle</w:t>
            </w:r>
          </w:p>
        </w:tc>
        <w:tc>
          <w:tcPr>
            <w:tcW w:type="dxa" w:w="3560"/>
            <w:shd w:fill="F2F2F2" w:val="clear"/>
          </w:tcPr>
          <w:p>
            <w:r>
              <w:rPr>
                <w:sz w:val="18"/>
                <w:szCs w:val="18"/>
              </w:rPr>
              <w:t xml:space="preserve">Phi-3.5-mini-instruct (3,8 Md de paramètres)</w:t>
            </w:r>
          </w:p>
        </w:tc>
        <w:tc>
          <w:tcPr>
            <w:tcW w:type="dxa" w:w="3800"/>
            <w:shd w:fill="F2F2F2" w:val="clear"/>
          </w:tcPr>
          <w:p>
            <w:r>
              <w:rPr>
                <w:sz w:val="18"/>
                <w:szCs w:val="18"/>
              </w:rPr>
              <w:t xml:space="preserve">Licence MIT, bon compromis qualité/taille pour une tâche de classification, support multilingue FR/EN correct</w:t>
            </w:r>
          </w:p>
        </w:tc>
      </w:tr>
      <w:tr>
        <w:tc>
          <w:tcPr>
            <w:tcW w:type="dxa" w:w="2000"/>
            <w:shd w:fill="FFFFFF" w:val="clear"/>
          </w:tcPr>
          <w:p>
            <w:r>
              <w:rPr>
                <w:sz w:val="18"/>
                <w:szCs w:val="18"/>
              </w:rPr>
              <w:t xml:space="preserve">Alternatives évaluées</w:t>
            </w:r>
          </w:p>
        </w:tc>
        <w:tc>
          <w:tcPr>
            <w:tcW w:type="dxa" w:w="3560"/>
            <w:shd w:fill="FFFFFF" w:val="clear"/>
          </w:tcPr>
          <w:p>
            <w:r>
              <w:rPr>
                <w:sz w:val="18"/>
                <w:szCs w:val="18"/>
              </w:rPr>
              <w:t xml:space="preserve">Llama 3.2 3B Instruct, Gemma 2 2B</w:t>
            </w:r>
          </w:p>
        </w:tc>
        <w:tc>
          <w:tcPr>
            <w:tcW w:type="dxa" w:w="3800"/>
            <w:shd w:fill="FFFFFF" w:val="clear"/>
          </w:tcPr>
          <w:p>
            <w:r>
              <w:rPr>
                <w:sz w:val="18"/>
                <w:szCs w:val="18"/>
              </w:rPr>
              <w:t xml:space="preserve">Retenues comme options de repli selon contraintes de licence ou de performance observées en Objectif 4</w:t>
            </w:r>
          </w:p>
        </w:tc>
      </w:tr>
      <w:tr>
        <w:tc>
          <w:tcPr>
            <w:tcW w:type="dxa" w:w="2000"/>
            <w:shd w:fill="F2F2F2" w:val="clear"/>
          </w:tcPr>
          <w:p>
            <w:r>
              <w:rPr>
                <w:sz w:val="18"/>
                <w:szCs w:val="18"/>
              </w:rPr>
              <w:t xml:space="preserve">Quantification</w:t>
            </w:r>
          </w:p>
        </w:tc>
        <w:tc>
          <w:tcPr>
            <w:tcW w:type="dxa" w:w="3560"/>
            <w:shd w:fill="F2F2F2" w:val="clear"/>
          </w:tcPr>
          <w:p>
            <w:r>
              <w:rPr>
                <w:sz w:val="18"/>
                <w:szCs w:val="18"/>
              </w:rPr>
              <w:t xml:space="preserve">GGUF Q4_K_M (≈ 2,2 Go)</w:t>
            </w:r>
          </w:p>
        </w:tc>
        <w:tc>
          <w:tcPr>
            <w:tcW w:type="dxa" w:w="3800"/>
            <w:shd w:fill="F2F2F2" w:val="clear"/>
          </w:tcPr>
          <w:p>
            <w:r>
              <w:rPr>
                <w:sz w:val="18"/>
                <w:szCs w:val="18"/>
              </w:rPr>
              <w:t xml:space="preserve">Réduit l'empreinte mémoire pour respecter NFR-05 (&lt; 4 Go RAM, sans GPU)</w:t>
            </w:r>
          </w:p>
        </w:tc>
      </w:tr>
      <w:tr>
        <w:tc>
          <w:tcPr>
            <w:tcW w:type="dxa" w:w="2000"/>
            <w:shd w:fill="FFFFFF" w:val="clear"/>
          </w:tcPr>
          <w:p>
            <w:r>
              <w:rPr>
                <w:sz w:val="18"/>
                <w:szCs w:val="18"/>
              </w:rPr>
              <w:t xml:space="preserve">Runtime d'inférence</w:t>
            </w:r>
          </w:p>
        </w:tc>
        <w:tc>
          <w:tcPr>
            <w:tcW w:type="dxa" w:w="3560"/>
            <w:shd w:fill="FFFFFF" w:val="clear"/>
          </w:tcPr>
          <w:p>
            <w:r>
              <w:rPr>
                <w:sz w:val="18"/>
                <w:szCs w:val="18"/>
              </w:rPr>
              <w:t xml:space="preserve">llama.cpp (local, aucun appel réseau)</w:t>
            </w:r>
          </w:p>
        </w:tc>
        <w:tc>
          <w:tcPr>
            <w:tcW w:type="dxa" w:w="3800"/>
            <w:shd w:fill="FFFFFF" w:val="clear"/>
          </w:tcPr>
          <w:p>
            <w:r>
              <w:rPr>
                <w:sz w:val="18"/>
                <w:szCs w:val="18"/>
              </w:rPr>
              <w:t xml:space="preserve">Cohérent avec le principe local-first (NFR-02) ; pas de dépendance à une API LLM externe</w:t>
            </w:r>
          </w:p>
        </w:tc>
      </w:tr>
      <w:tr>
        <w:tc>
          <w:tcPr>
            <w:tcW w:type="dxa" w:w="2000"/>
            <w:shd w:fill="F2F2F2" w:val="clear"/>
          </w:tcPr>
          <w:p>
            <w:r>
              <w:rPr>
                <w:sz w:val="18"/>
                <w:szCs w:val="18"/>
              </w:rPr>
              <w:t xml:space="preserve">Décodage</w:t>
            </w:r>
          </w:p>
        </w:tc>
        <w:tc>
          <w:tcPr>
            <w:tcW w:type="dxa" w:w="3560"/>
            <w:shd w:fill="F2F2F2" w:val="clear"/>
          </w:tcPr>
          <w:p>
            <w:r>
              <w:rPr>
                <w:sz w:val="18"/>
                <w:szCs w:val="18"/>
              </w:rPr>
              <w:t xml:space="preserve">Température 0, sortie contrainte par schéma JSON fixe</w:t>
            </w:r>
          </w:p>
        </w:tc>
        <w:tc>
          <w:tcPr>
            <w:tcW w:type="dxa" w:w="3800"/>
            <w:shd w:fill="F2F2F2" w:val="clear"/>
          </w:tcPr>
          <w:p>
            <w:r>
              <w:rPr>
                <w:sz w:val="18"/>
                <w:szCs w:val="18"/>
              </w:rPr>
              <w:t xml:space="preserve">Reproductibilité et auditabilité de la classification (NFR-07)</w:t>
            </w:r>
          </w:p>
        </w:tc>
      </w:tr>
      <w:tr>
        <w:tc>
          <w:tcPr>
            <w:tcW w:type="dxa" w:w="2000"/>
            <w:shd w:fill="FFFFFF" w:val="clear"/>
          </w:tcPr>
          <w:p>
            <w:r>
              <w:rPr>
                <w:sz w:val="18"/>
                <w:szCs w:val="18"/>
              </w:rPr>
              <w:t xml:space="preserve">Schéma de sortie</w:t>
            </w:r>
          </w:p>
        </w:tc>
        <w:tc>
          <w:tcPr>
            <w:tcW w:type="dxa" w:w="3560"/>
            <w:shd w:fill="FFFFFF" w:val="clear"/>
          </w:tcPr>
          <w:p>
            <w:r>
              <w:rPr>
                <w:sz w:val="18"/>
                <w:szCs w:val="18"/>
              </w:rPr>
              <w:t xml:space="preserve">{ context_category, confidence, rationale (≤ 20 mots) }</w:t>
            </w:r>
          </w:p>
        </w:tc>
        <w:tc>
          <w:tcPr>
            <w:tcW w:type="dxa" w:w="3800"/>
            <w:shd w:fill="FFFFFF" w:val="clear"/>
          </w:tcPr>
          <w:p>
            <w:r>
              <w:rPr>
                <w:sz w:val="18"/>
                <w:szCs w:val="18"/>
              </w:rPr>
              <w:t xml:space="preserve">Catégories fermées : RH, Finance, Juridique, Technique, Générique</w:t>
            </w:r>
          </w:p>
        </w:tc>
      </w:tr>
      <w:tr>
        <w:tc>
          <w:tcPr>
            <w:tcW w:type="dxa" w:w="2000"/>
            <w:shd w:fill="F2F2F2" w:val="clear"/>
          </w:tcPr>
          <w:p>
            <w:r>
              <w:rPr>
                <w:sz w:val="18"/>
                <w:szCs w:val="18"/>
              </w:rPr>
              <w:t xml:space="preserve">Budget de latence cible</w:t>
            </w:r>
          </w:p>
        </w:tc>
        <w:tc>
          <w:tcPr>
            <w:tcW w:type="dxa" w:w="3560"/>
            <w:shd w:fill="F2F2F2" w:val="clear"/>
          </w:tcPr>
          <w:p>
            <w:r>
              <w:rPr>
                <w:sz w:val="18"/>
                <w:szCs w:val="18"/>
              </w:rPr>
              <w:t xml:space="preserve">&lt; 150 ms P95 pour un prompt &lt; 500 tokens, CPU 4 cœurs</w:t>
            </w:r>
          </w:p>
        </w:tc>
        <w:tc>
          <w:tcPr>
            <w:tcW w:type="dxa" w:w="3800"/>
            <w:shd w:fill="F2F2F2" w:val="clear"/>
          </w:tcPr>
          <w:p>
            <w:r>
              <w:rPr>
                <w:sz w:val="18"/>
                <w:szCs w:val="18"/>
              </w:rPr>
              <w:t xml:space="preserve">À valider empiriquement dans le protocole d'évaluation comparative (Objectif 4)</w:t>
            </w:r>
          </w:p>
        </w:tc>
      </w:tr>
      <w:tr>
        <w:tc>
          <w:tcPr>
            <w:tcW w:type="dxa" w:w="2000"/>
            <w:shd w:fill="FFFFFF" w:val="clear"/>
          </w:tcPr>
          <w:p>
            <w:r>
              <w:rPr>
                <w:sz w:val="18"/>
                <w:szCs w:val="18"/>
              </w:rPr>
              <w:t xml:space="preserve">Intégrité du modèle</w:t>
            </w:r>
          </w:p>
        </w:tc>
        <w:tc>
          <w:tcPr>
            <w:tcW w:type="dxa" w:w="3560"/>
            <w:shd w:fill="FFFFFF" w:val="clear"/>
          </w:tcPr>
          <w:p>
            <w:r>
              <w:rPr>
                <w:sz w:val="18"/>
                <w:szCs w:val="18"/>
              </w:rPr>
              <w:t xml:space="preserve">Vérification de checksum/signature du fichier de poids au chargement</w:t>
            </w:r>
          </w:p>
        </w:tc>
        <w:tc>
          <w:tcPr>
            <w:tcW w:type="dxa" w:w="3800"/>
            <w:shd w:fill="FFFFFF" w:val="clear"/>
          </w:tcPr>
          <w:p>
            <w:r>
              <w:rPr>
                <w:sz w:val="18"/>
                <w:szCs w:val="18"/>
              </w:rPr>
              <w:t xml:space="preserve">Lien direct avec l'Objectif 8 (intégrité du dispositif)</w:t>
            </w:r>
          </w:p>
        </w:tc>
      </w:tr>
      <w:tr>
        <w:tc>
          <w:tcPr>
            <w:tcW w:type="dxa" w:w="2000"/>
            <w:shd w:fill="F2F2F2" w:val="clear"/>
          </w:tcPr>
          <w:p>
            <w:r>
              <w:rPr>
                <w:sz w:val="18"/>
                <w:szCs w:val="18"/>
              </w:rPr>
              <w:t xml:space="preserve">Stratégie de repli</w:t>
            </w:r>
          </w:p>
        </w:tc>
        <w:tc>
          <w:tcPr>
            <w:tcW w:type="dxa" w:w="3560"/>
            <w:shd w:fill="F2F2F2" w:val="clear"/>
          </w:tcPr>
          <w:p>
            <w:r>
              <w:rPr>
                <w:sz w:val="18"/>
                <w:szCs w:val="18"/>
              </w:rPr>
              <w:t xml:space="preserve">Classification par mots-clés pondérés si le modèle ne peut être chargé</w:t>
            </w:r>
          </w:p>
        </w:tc>
        <w:tc>
          <w:tcPr>
            <w:tcW w:type="dxa" w:w="3800"/>
            <w:shd w:fill="F2F2F2" w:val="clear"/>
          </w:tcPr>
          <w:p>
            <w:r>
              <w:rPr>
                <w:sz w:val="18"/>
                <w:szCs w:val="18"/>
              </w:rPr>
              <w:t xml:space="preserve">Aucune dépendance bloquante de la couche 3 sur les couches 1-2</w:t>
            </w:r>
          </w:p>
        </w:tc>
      </w:tr>
    </w:tbl>
    <w:p>
      <w:pPr>
        <w:spacing w:after="150" w:line="300"/>
        <w:jc w:val="both"/>
      </w:pPr>
      <w:r>
        <w:rPr>
          <w:b w:val="false"/>
          <w:bCs w:val="false"/>
          <w:i w:val="false"/>
          <w:iCs w:val="false"/>
        </w:rPr>
        <w:t xml:space="preserve">Point de conception non négociable : ce modèle est exécuté exclusivement en local, sur le poste ou le service embarqué de l'agent. Aucune donnée à classifier n'est envoyée à un fournisseur de LLM externe à cette étape — une telle dépendance reproduirait exactement le risque que le système a pour objet de réduire (voir ADR-002, section 21).</w:t>
      </w:r>
    </w:p>
    <w:p>
      <w:pPr>
        <w:spacing w:after="150" w:line="300"/>
        <w:jc w:val="both"/>
      </w:pPr>
      <w:r>
        <w:rPr>
          <w:b w:val="false"/>
          <w:bCs w:val="false"/>
          <w:i w:val="false"/>
          <w:iCs w:val="false"/>
        </w:rPr>
        <w:t xml:space="preserve">Le rôle du LLM local est strictement borné : il alimente le facteur « contexte organisationnel » du Risk Scoring (section 9) à titre de signal parmi d'autres. Il n'intervient jamais dans le calcul final du score, ni dans la décision de politique, ni dans l'anonymisation, qui restent des traitements déterministes (voir section 9 et 10).</w:t>
      </w:r>
    </w:p>
    <w:p>
      <w:pPr>
        <w:pStyle w:val="Heading2"/>
        <w:spacing w:after="120" w:before="260"/>
      </w:pPr>
      <w:r>
        <w:t xml:space="preserve">8.4 Agrégation hybride et évaluation</w:t>
      </w:r>
    </w:p>
    <w:p>
      <w:pPr>
        <w:spacing w:after="150" w:line="300"/>
        <w:jc w:val="both"/>
      </w:pPr>
      <w:r>
        <w:rPr>
          <w:b w:val="false"/>
          <w:bCs w:val="false"/>
          <w:i w:val="false"/>
          <w:iCs w:val="false"/>
        </w:rPr>
        <w:t xml:space="preserve">Le score de détection final agrège les résultats des trois couches selon une pondération configurable. Le protocole d'évaluation (Objectif 4, hypothèse H1) mesure précision, rappel, F1-score et temps de traitement pour chaque couche isolée puis pour la combinaison hybride, sur le jeu de données synthétique constitué (RH, finance, cotisations sociales/mobile money).</w:t>
      </w:r>
    </w:p>
    <w:p>
      <w:pPr>
        <w:pStyle w:val="Heading1"/>
        <w:spacing w:after="180" w:before="380"/>
      </w:pPr>
      <w:r>
        <w:t xml:space="preserve">9. Moteur de Risk Scoring</w:t>
      </w:r>
    </w:p>
    <w:p>
      <w:pPr>
        <w:spacing w:after="150" w:line="300"/>
        <w:jc w:val="both"/>
      </w:pPr>
      <w:r>
        <w:rPr>
          <w:b w:val="false"/>
          <w:bCs w:val="false"/>
          <w:i w:val="false"/>
          <w:iCs w:val="false"/>
        </w:rPr>
        <w:t xml:space="preserve">Le score de risque (0-100) résulte de la pondération de quatre facteurs, avec restitution systématique du détail par facteur (exigence NFR-07 d'explicabilité).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200"/>
        <w:gridCol w:w="1960"/>
      </w:tblGrid>
      <w:tr>
        <w:trPr>
          <w:tblHeader/>
        </w:trPr>
        <w:tc>
          <w:tcPr>
            <w:tcW w:type="dxa" w:w="3200"/>
            <w:shd w:fill="1F3864" w:val="clear"/>
          </w:tcPr>
          <w:p>
            <w:r>
              <w:rPr>
                <w:b/>
                <w:bCs/>
                <w:color w:val="FFFFFF"/>
                <w:sz w:val="18"/>
                <w:szCs w:val="18"/>
              </w:rPr>
              <w:t xml:space="preserve">Facteur</w:t>
            </w:r>
          </w:p>
        </w:tc>
        <w:tc>
          <w:tcPr>
            <w:tcW w:type="dxa" w:w="4200"/>
            <w:shd w:fill="1F3864" w:val="clear"/>
          </w:tcPr>
          <w:p>
            <w:r>
              <w:rPr>
                <w:b/>
                <w:bCs/>
                <w:color w:val="FFFFFF"/>
                <w:sz w:val="18"/>
                <w:szCs w:val="18"/>
              </w:rPr>
              <w:t xml:space="preserve">Description</w:t>
            </w:r>
          </w:p>
        </w:tc>
        <w:tc>
          <w:tcPr>
            <w:tcW w:type="dxa" w:w="1960"/>
            <w:shd w:fill="1F3864" w:val="clear"/>
          </w:tcPr>
          <w:p>
            <w:r>
              <w:rPr>
                <w:b/>
                <w:bCs/>
                <w:color w:val="FFFFFF"/>
                <w:sz w:val="18"/>
                <w:szCs w:val="18"/>
              </w:rPr>
              <w:t xml:space="preserve">Poids par défaut</w:t>
            </w:r>
          </w:p>
        </w:tc>
      </w:tr>
      <w:tr>
        <w:tc>
          <w:tcPr>
            <w:tcW w:type="dxa" w:w="3200"/>
            <w:shd w:fill="F2F2F2" w:val="clear"/>
          </w:tcPr>
          <w:p>
            <w:r>
              <w:rPr>
                <w:sz w:val="18"/>
                <w:szCs w:val="18"/>
              </w:rPr>
              <w:t xml:space="preserve">Sensibilité des entités détectées</w:t>
            </w:r>
          </w:p>
        </w:tc>
        <w:tc>
          <w:tcPr>
            <w:tcW w:type="dxa" w:w="4200"/>
            <w:shd w:fill="F2F2F2" w:val="clear"/>
          </w:tcPr>
          <w:p>
            <w:r>
              <w:rPr>
                <w:sz w:val="18"/>
                <w:szCs w:val="18"/>
              </w:rPr>
              <w:t xml:space="preserve">Type et nombre d'entités sensibles identifiées par le Detection Engine</w:t>
            </w:r>
          </w:p>
        </w:tc>
        <w:tc>
          <w:tcPr>
            <w:tcW w:type="dxa" w:w="1960"/>
            <w:shd w:fill="F2F2F2" w:val="clear"/>
          </w:tcPr>
          <w:p>
            <w:r>
              <w:rPr>
                <w:sz w:val="18"/>
                <w:szCs w:val="18"/>
              </w:rPr>
              <w:t xml:space="preserve">40 %</w:t>
            </w:r>
          </w:p>
        </w:tc>
      </w:tr>
      <w:tr>
        <w:tc>
          <w:tcPr>
            <w:tcW w:type="dxa" w:w="3200"/>
            <w:shd w:fill="FFFFFF" w:val="clear"/>
          </w:tcPr>
          <w:p>
            <w:r>
              <w:rPr>
                <w:sz w:val="18"/>
                <w:szCs w:val="18"/>
              </w:rPr>
              <w:t xml:space="preserve">Combinaison de quasi-identifiants</w:t>
            </w:r>
          </w:p>
        </w:tc>
        <w:tc>
          <w:tcPr>
            <w:tcW w:type="dxa" w:w="4200"/>
            <w:shd w:fill="FFFFFF" w:val="clear"/>
          </w:tcPr>
          <w:p>
            <w:r>
              <w:rPr>
                <w:sz w:val="18"/>
                <w:szCs w:val="18"/>
              </w:rPr>
              <w:t xml:space="preserve">Présence simultanée de plusieurs quasi-identifiants (risque de ré-identification, H2)</w:t>
            </w:r>
          </w:p>
        </w:tc>
        <w:tc>
          <w:tcPr>
            <w:tcW w:type="dxa" w:w="1960"/>
            <w:shd w:fill="FFFFFF" w:val="clear"/>
          </w:tcPr>
          <w:p>
            <w:r>
              <w:rPr>
                <w:sz w:val="18"/>
                <w:szCs w:val="18"/>
              </w:rPr>
              <w:t xml:space="preserve">25 %</w:t>
            </w:r>
          </w:p>
        </w:tc>
      </w:tr>
      <w:tr>
        <w:tc>
          <w:tcPr>
            <w:tcW w:type="dxa" w:w="3200"/>
            <w:shd w:fill="F2F2F2" w:val="clear"/>
          </w:tcPr>
          <w:p>
            <w:r>
              <w:rPr>
                <w:sz w:val="18"/>
                <w:szCs w:val="18"/>
              </w:rPr>
              <w:t xml:space="preserve">Localisation d'hébergement du service d'IA</w:t>
            </w:r>
          </w:p>
        </w:tc>
        <w:tc>
          <w:tcPr>
            <w:tcW w:type="dxa" w:w="4200"/>
            <w:shd w:fill="F2F2F2" w:val="clear"/>
          </w:tcPr>
          <w:p>
            <w:r>
              <w:rPr>
                <w:sz w:val="18"/>
                <w:szCs w:val="18"/>
              </w:rPr>
              <w:t xml:space="preserve">Transfert vers une juridiction différente de celle de l'entreprise utilisatrice</w:t>
            </w:r>
          </w:p>
        </w:tc>
        <w:tc>
          <w:tcPr>
            <w:tcW w:type="dxa" w:w="1960"/>
            <w:shd w:fill="F2F2F2" w:val="clear"/>
          </w:tcPr>
          <w:p>
            <w:r>
              <w:rPr>
                <w:sz w:val="18"/>
                <w:szCs w:val="18"/>
              </w:rPr>
              <w:t xml:space="preserve">20 %</w:t>
            </w:r>
          </w:p>
        </w:tc>
      </w:tr>
      <w:tr>
        <w:tc>
          <w:tcPr>
            <w:tcW w:type="dxa" w:w="3200"/>
            <w:shd w:fill="FFFFFF" w:val="clear"/>
          </w:tcPr>
          <w:p>
            <w:r>
              <w:rPr>
                <w:sz w:val="18"/>
                <w:szCs w:val="18"/>
              </w:rPr>
              <w:t xml:space="preserve">Contexte organisationnel</w:t>
            </w:r>
          </w:p>
        </w:tc>
        <w:tc>
          <w:tcPr>
            <w:tcW w:type="dxa" w:w="4200"/>
            <w:shd w:fill="FFFFFF" w:val="clear"/>
          </w:tcPr>
          <w:p>
            <w:r>
              <w:rPr>
                <w:sz w:val="18"/>
                <w:szCs w:val="18"/>
              </w:rPr>
              <w:t xml:space="preserve">Département, catégorie contextuelle (issue de la couche 3), historique utilisateur</w:t>
            </w:r>
          </w:p>
        </w:tc>
        <w:tc>
          <w:tcPr>
            <w:tcW w:type="dxa" w:w="1960"/>
            <w:shd w:fill="FFFFFF" w:val="clear"/>
          </w:tcPr>
          <w:p>
            <w:r>
              <w:rPr>
                <w:sz w:val="18"/>
                <w:szCs w:val="18"/>
              </w:rPr>
              <w:t xml:space="preserve">15 %</w:t>
            </w:r>
          </w:p>
        </w:tc>
      </w:tr>
    </w:tbl>
    <w:p>
      <w:pPr>
        <w:spacing w:after="150" w:line="300"/>
        <w:jc w:val="both"/>
      </w:pPr>
      <w:r>
        <w:rPr>
          <w:b w:val="false"/>
          <w:bCs w:val="false"/>
          <w:i w:val="false"/>
          <w:iCs w:val="false"/>
        </w:rPr>
        <w:t xml:space="preserve">Classification en bandes : low (0-24), moderate (25-49), high (50-74), critical (75-100), seuils configurables par entreprise via l'entité RiskFactorWeight, avec journalisation de toute modification.</w:t>
      </w:r>
    </w:p>
    <w:p>
      <w:pPr>
        <w:pStyle w:val="Heading1"/>
        <w:spacing w:after="180" w:before="380"/>
      </w:pPr>
      <w:r>
        <w:t xml:space="preserve">10. Moteur de politiques et Anonymization Vault</w:t>
      </w:r>
    </w:p>
    <w:p>
      <w:pPr>
        <w:pStyle w:val="Heading2"/>
        <w:spacing w:after="120" w:before="260"/>
      </w:pPr>
      <w:r>
        <w:t xml:space="preserve">10.1 Policy Engine</w:t>
      </w:r>
    </w:p>
    <w:p>
      <w:pPr>
        <w:spacing w:after="150" w:line="300"/>
        <w:jc w:val="both"/>
      </w:pPr>
      <w:r>
        <w:rPr>
          <w:b w:val="false"/>
          <w:bCs w:val="false"/>
          <w:i w:val="false"/>
          <w:iCs w:val="false"/>
        </w:rPr>
        <w:t xml:space="preserve">Évalue, pour chaque interaction, un ensemble de règles déclaratives condition → action, où condition combine bande de risque, type d'entité, département, service d'IA et juridiction cible.</w:t>
      </w:r>
    </w:p>
    <w:p>
      <w:pPr>
        <w:pBdr>
          <w:top w:val="single" w:color="CCCCCC" w:sz="2"/>
          <w:bottom w:val="single" w:color="CCCCCC" w:sz="2"/>
          <w:left w:val="single" w:color="CCCCCC" w:sz="2"/>
          <w:right w:val="single" w:color="CCCCCC" w:sz="2"/>
        </w:pBdr>
        <w:shd w:fill="F4F5F8" w:val="clear"/>
        <w:spacing w:after="150" w:before="100"/>
      </w:pPr>
      <w:r>
        <w:rPr>
          <w:rFonts w:ascii="Consolas" w:cs="Consolas" w:eastAsia="Consolas" w:hAnsi="Consolas"/>
          <w:sz w:val="17"/>
          <w:szCs w:val="17"/>
        </w:rPr>
        <w:t xml:space="preserve">RULE "Donnée financière + service hébergé hors juridiction"
  WHEN risk_band &gt;= "high"
   AND contains(entity_type, "FINANCIAL_AMOUNT")
   AND ai_service.hosting_region != user.jurisdiction
  THEN action = MASK
  LOG reference_frameworks = ["OWASP-LLM02", "NIST-MEASURE", "MALABO-ART14"]</w:t>
      </w:r>
    </w:p>
    <w:p>
      <w:pPr>
        <w:pStyle w:val="Heading2"/>
        <w:spacing w:after="120" w:before="260"/>
      </w:pPr>
      <w:r>
        <w:t xml:space="preserve">10.2 Anonymization Vault</w:t>
      </w:r>
    </w:p>
    <w:p>
      <w:pPr>
        <w:spacing w:after="150" w:line="300"/>
        <w:jc w:val="both"/>
      </w:pPr>
      <w:r>
        <w:rPr>
          <w:b w:val="false"/>
          <w:bCs w:val="false"/>
          <w:i w:val="false"/>
          <w:iCs w:val="false"/>
        </w:rPr>
        <w:t xml:space="preserve">Sur déclenchement de l'action MASK, substitution réversible (jeton ↔ valeur), table de correspondance chiffrée (AES-256-GCM) et isolée, accès restreint aux rôles élevés et journalisé. Avant validation, un contrôle de risque résiduel est exécuté : si la combinaison des entités restantes dans le texte anonymisé dépasse le seuil de ré-identification défini, le système escalade automatiquement l'action vers BLOCK plutôt que MASK.</w:t>
      </w:r>
    </w:p>
    <w:p>
      <w:pPr>
        <w:pStyle w:val="Heading1"/>
        <w:spacing w:after="180" w:before="380"/>
      </w:pPr>
      <w:r>
        <w:t xml:space="preserve">11. Agent Endpoint : intégrité et disponibilité</w:t>
      </w:r>
    </w:p>
    <w:p>
      <w:pPr>
        <w:spacing w:after="150" w:line="300"/>
        <w:jc w:val="both"/>
      </w:pPr>
      <w:r>
        <w:rPr>
          <w:b w:val="false"/>
          <w:bCs w:val="false"/>
          <w:i w:val="false"/>
          <w:iCs w:val="false"/>
        </w:rPr>
        <w:t xml:space="preserve">Conformément à l'Objectif 8 et à l'alignement explicite avec la triade Confidentialité / Intégrité / Disponibilité, l'agent intègre deux mécanismes spécifiques, au-delà de la seule détection.</w:t>
      </w:r>
    </w:p>
    <w:p>
      <w:pPr>
        <w:pStyle w:val="Heading2"/>
        <w:spacing w:after="120" w:before="260"/>
      </w:pPr>
      <w:r>
        <w:t xml:space="preserve">11.1 Intégrité — signal de présence signé</w:t>
      </w:r>
    </w:p>
    <w:p>
      <w:pPr>
        <w:spacing w:after="150" w:line="300"/>
        <w:jc w:val="both"/>
      </w:pPr>
      <w:r>
        <w:rPr>
          <w:b w:val="false"/>
          <w:bCs w:val="false"/>
          <w:i w:val="false"/>
          <w:iCs w:val="false"/>
        </w:rPr>
        <w:t xml:space="preserve">Chaque module (A1, A2) émet un signal de présence périodique signé cryptographiquement vers la plateforme centrale. L'absence de signal au-delà d'un délai configuré (cible NFR-03 : 5 minutes) déclenche une alerte de sécurité journalisée (« agent potentiellement désactivé »), consultable dans le Dashboard (UC-06). Le module de détection local vérifie également, à son démarrage, la signature du fichier de poids du modèle NER et du modèle LLM contextuel, afin de détecter une substitution silencieuse.</w:t>
      </w:r>
    </w:p>
    <w:p>
      <w:pPr>
        <w:pStyle w:val="Heading2"/>
        <w:spacing w:after="120" w:before="260"/>
      </w:pPr>
      <w:r>
        <w:t xml:space="preserve">11.2 Disponibilité — politique fail-open / fail-closed graduée</w:t>
      </w:r>
    </w:p>
    <w:p>
      <w:pPr>
        <w:spacing w:after="150" w:line="300"/>
        <w:jc w:val="both"/>
      </w:pPr>
      <w:r>
        <w:rPr>
          <w:b w:val="false"/>
          <w:bCs w:val="false"/>
          <w:i w:val="false"/>
          <w:iCs w:val="false"/>
        </w:rPr>
        <w:t xml:space="preserve">En cas d'indisponibilité d'un composant d'analyse (serveur central injoignable, modèle non chargé), le comportement par défaut n'est pas binaire mais gradué selon le niveau de risque historique du contexte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1F3864" w:val="clear"/>
          </w:tcPr>
          <w:p>
            <w:r>
              <w:rPr>
                <w:b/>
                <w:bCs/>
                <w:color w:val="FFFFFF"/>
                <w:sz w:val="18"/>
                <w:szCs w:val="18"/>
              </w:rPr>
              <w:t xml:space="preserve">Contexte</w:t>
            </w:r>
          </w:p>
        </w:tc>
        <w:tc>
          <w:tcPr>
            <w:tcW w:type="dxa" w:w="5160"/>
            <w:shd w:fill="1F3864" w:val="clear"/>
          </w:tcPr>
          <w:p>
            <w:r>
              <w:rPr>
                <w:b/>
                <w:bCs/>
                <w:color w:val="FFFFFF"/>
                <w:sz w:val="18"/>
                <w:szCs w:val="18"/>
              </w:rPr>
              <w:t xml:space="preserve">Comportement par défaut en cas d'indisponibilité</w:t>
            </w:r>
          </w:p>
        </w:tc>
      </w:tr>
      <w:tr>
        <w:tc>
          <w:tcPr>
            <w:tcW w:type="dxa" w:w="4200"/>
            <w:shd w:fill="F2F2F2" w:val="clear"/>
          </w:tcPr>
          <w:p>
            <w:r>
              <w:rPr>
                <w:sz w:val="18"/>
                <w:szCs w:val="18"/>
              </w:rPr>
              <w:t xml:space="preserve">Département à historique de risque élevé (ex. finance, cotisations)</w:t>
            </w:r>
          </w:p>
        </w:tc>
        <w:tc>
          <w:tcPr>
            <w:tcW w:type="dxa" w:w="5160"/>
            <w:shd w:fill="F2F2F2" w:val="clear"/>
          </w:tcPr>
          <w:p>
            <w:r>
              <w:rPr>
                <w:sz w:val="18"/>
                <w:szCs w:val="18"/>
              </w:rPr>
              <w:t xml:space="preserve">Fail-closed : interaction bloquée par défaut, avec message explicite à l'utilisateur</w:t>
            </w:r>
          </w:p>
        </w:tc>
      </w:tr>
      <w:tr>
        <w:tc>
          <w:tcPr>
            <w:tcW w:type="dxa" w:w="4200"/>
            <w:shd w:fill="FFFFFF" w:val="clear"/>
          </w:tcPr>
          <w:p>
            <w:r>
              <w:rPr>
                <w:sz w:val="18"/>
                <w:szCs w:val="18"/>
              </w:rPr>
              <w:t xml:space="preserve">Département à historique de risque faible ou modéré</w:t>
            </w:r>
          </w:p>
        </w:tc>
        <w:tc>
          <w:tcPr>
            <w:tcW w:type="dxa" w:w="5160"/>
            <w:shd w:fill="FFFFFF" w:val="clear"/>
          </w:tcPr>
          <w:p>
            <w:r>
              <w:rPr>
                <w:sz w:val="18"/>
                <w:szCs w:val="18"/>
              </w:rPr>
              <w:t xml:space="preserve">Fail-open avec avertissement : interaction autorisée, journalisée comme dégradée</w:t>
            </w:r>
          </w:p>
        </w:tc>
      </w:tr>
      <w:tr>
        <w:tc>
          <w:tcPr>
            <w:tcW w:type="dxa" w:w="4200"/>
            <w:shd w:fill="F2F2F2" w:val="clear"/>
          </w:tcPr>
          <w:p>
            <w:r>
              <w:rPr>
                <w:sz w:val="18"/>
                <w:szCs w:val="18"/>
              </w:rPr>
              <w:t xml:space="preserve">Détection locale disponible (règles + NER + LLM embarqués)</w:t>
            </w:r>
          </w:p>
        </w:tc>
        <w:tc>
          <w:tcPr>
            <w:tcW w:type="dxa" w:w="5160"/>
            <w:shd w:fill="F2F2F2" w:val="clear"/>
          </w:tcPr>
          <w:p>
            <w:r>
              <w:rPr>
                <w:sz w:val="18"/>
                <w:szCs w:val="18"/>
              </w:rPr>
              <w:t xml:space="preserve">Décision rendue normalement, sans dégradation, indépendamment de la disponibilité du serveur central</w:t>
            </w:r>
          </w:p>
        </w:tc>
      </w:tr>
    </w:tbl>
    <w:p>
      <w:pPr>
        <w:pStyle w:val="Heading1"/>
        <w:spacing w:after="180" w:before="380"/>
      </w:pPr>
      <w:r>
        <w:t xml:space="preserve">12. Journalisation, audit et conformité</w:t>
      </w:r>
    </w:p>
    <w:p>
      <w:pPr>
        <w:spacing w:after="150" w:line="300"/>
        <w:jc w:val="both"/>
      </w:pPr>
      <w:r>
        <w:rPr>
          <w:b w:val="false"/>
          <w:bCs w:val="false"/>
          <w:i w:val="false"/>
          <w:iCs w:val="false"/>
        </w:rPr>
        <w:t xml:space="preserve">Chaque décision produit un événement structuré, sans contenu sensible en clair :</w:t>
      </w:r>
    </w:p>
    <w:p>
      <w:pPr>
        <w:pBdr>
          <w:top w:val="single" w:color="CCCCCC" w:sz="2"/>
          <w:bottom w:val="single" w:color="CCCCCC" w:sz="2"/>
          <w:left w:val="single" w:color="CCCCCC" w:sz="2"/>
          <w:right w:val="single" w:color="CCCCCC" w:sz="2"/>
        </w:pBdr>
        <w:shd w:fill="F4F5F8" w:val="clear"/>
        <w:spacing w:after="150" w:before="100"/>
      </w:pPr>
      <w:r>
        <w:rPr>
          <w:rFonts w:ascii="Consolas" w:cs="Consolas" w:eastAsia="Consolas" w:hAnsi="Consolas"/>
          <w:sz w:val="17"/>
          <w:szCs w:val="17"/>
        </w:rPr>
        <w:t xml:space="preserve">{
  "event_id": "uuid",
  "timestamp": "ISO-8601",
  "user_id_hash": "sha256(...)",
  "department": "Cotisations",
  "ai_service": "chatgpt.com",
  "hosting_region": "us",
  "entities_detected": ["PERSON", "FINANCIAL_AMOUNT"],
  "context_category": "Finance",
  "risk_score": 78,
  "risk_band": "high",
  "policy_id": "pol-042",
  "action": "MASK",
  "reference_frameworks": ["OWASP-LLM02", "NIST-MEASURE", "MALABO-ART14"],
  "prev_event_hash": "sha256(...)",
  "event_hash": "sha256(...)"
}</w:t>
      </w:r>
    </w:p>
    <w:p>
      <w:pPr>
        <w:spacing w:after="150" w:line="300"/>
        <w:jc w:val="both"/>
      </w:pPr>
      <w:r>
        <w:rPr>
          <w:b w:val="false"/>
          <w:bCs w:val="false"/>
          <w:i w:val="false"/>
          <w:iCs w:val="false"/>
        </w:rPr>
        <w:t xml:space="preserve">Le chaînage prev_event_hash / event_hash confère au journal une intégrité vérifiable (résistance à une falsification a posteriori), répondant directement à l'exigence NFR-07 et à l'Objectif 8.</w:t>
      </w:r>
    </w:p>
    <w:p>
      <w:pPr>
        <w:pStyle w:val="Heading1"/>
        <w:spacing w:after="180" w:before="380"/>
      </w:pPr>
      <w:r>
        <w:t xml:space="preserve">13. Sécurité de l'architecture et modélisation des menaces</w:t>
      </w:r>
    </w:p>
    <w:p>
      <w:pPr>
        <w:spacing w:after="150" w:line="300"/>
        <w:jc w:val="both"/>
      </w:pPr>
      <w:r>
        <w:rPr>
          <w:b w:val="false"/>
          <w:bCs w:val="false"/>
          <w:i w:val="false"/>
          <w:iCs w:val="false"/>
        </w:rPr>
        <w:t xml:space="preserve">Une modélisation des menaces selon le cadre STRIDE est appliquée aux composants les plus critiques, en complément du rattachement OWASP LLM Top 10 / NIST AI RMF (section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shd w:fill="1F3864" w:val="clear"/>
          </w:tcPr>
          <w:p>
            <w:r>
              <w:rPr>
                <w:b/>
                <w:bCs/>
                <w:color w:val="FFFFFF"/>
                <w:sz w:val="18"/>
                <w:szCs w:val="18"/>
              </w:rPr>
              <w:t xml:space="preserve">Composant</w:t>
            </w:r>
          </w:p>
        </w:tc>
        <w:tc>
          <w:tcPr>
            <w:tcW w:type="dxa" w:w="3200"/>
            <w:shd w:fill="1F3864" w:val="clear"/>
          </w:tcPr>
          <w:p>
            <w:r>
              <w:rPr>
                <w:b/>
                <w:bCs/>
                <w:color w:val="FFFFFF"/>
                <w:sz w:val="18"/>
                <w:szCs w:val="18"/>
              </w:rPr>
              <w:t xml:space="preserve">Menace STRIDE principale</w:t>
            </w:r>
          </w:p>
        </w:tc>
        <w:tc>
          <w:tcPr>
            <w:tcW w:type="dxa" w:w="3960"/>
            <w:shd w:fill="1F3864" w:val="clear"/>
          </w:tcPr>
          <w:p>
            <w:r>
              <w:rPr>
                <w:b/>
                <w:bCs/>
                <w:color w:val="FFFFFF"/>
                <w:sz w:val="18"/>
                <w:szCs w:val="18"/>
              </w:rPr>
              <w:t xml:space="preserve">Contre-mesure</w:t>
            </w:r>
          </w:p>
        </w:tc>
      </w:tr>
      <w:tr>
        <w:tc>
          <w:tcPr>
            <w:tcW w:type="dxa" w:w="2200"/>
            <w:shd w:fill="F2F2F2" w:val="clear"/>
          </w:tcPr>
          <w:p>
            <w:r>
              <w:rPr>
                <w:sz w:val="18"/>
                <w:szCs w:val="18"/>
              </w:rPr>
              <w:t xml:space="preserve">Agent endpoint</w:t>
            </w:r>
          </w:p>
        </w:tc>
        <w:tc>
          <w:tcPr>
            <w:tcW w:type="dxa" w:w="3200"/>
            <w:shd w:fill="F2F2F2" w:val="clear"/>
          </w:tcPr>
          <w:p>
            <w:r>
              <w:rPr>
                <w:sz w:val="18"/>
                <w:szCs w:val="18"/>
              </w:rPr>
              <w:t xml:space="preserve">Tampering (altération), Spoofing</w:t>
            </w:r>
          </w:p>
        </w:tc>
        <w:tc>
          <w:tcPr>
            <w:tcW w:type="dxa" w:w="3960"/>
            <w:shd w:fill="F2F2F2" w:val="clear"/>
          </w:tcPr>
          <w:p>
            <w:r>
              <w:rPr>
                <w:sz w:val="18"/>
                <w:szCs w:val="18"/>
              </w:rPr>
              <w:t xml:space="preserve">Signature du binaire, signal de présence signé, vérification d'intégrité du modèle au démarrage</w:t>
            </w:r>
          </w:p>
        </w:tc>
      </w:tr>
      <w:tr>
        <w:tc>
          <w:tcPr>
            <w:tcW w:type="dxa" w:w="2200"/>
            <w:shd w:fill="FFFFFF" w:val="clear"/>
          </w:tcPr>
          <w:p>
            <w:r>
              <w:rPr>
                <w:sz w:val="18"/>
                <w:szCs w:val="18"/>
              </w:rPr>
              <w:t xml:space="preserve">Central API</w:t>
            </w:r>
          </w:p>
        </w:tc>
        <w:tc>
          <w:tcPr>
            <w:tcW w:type="dxa" w:w="3200"/>
            <w:shd w:fill="FFFFFF" w:val="clear"/>
          </w:tcPr>
          <w:p>
            <w:r>
              <w:rPr>
                <w:sz w:val="18"/>
                <w:szCs w:val="18"/>
              </w:rPr>
              <w:t xml:space="preserve">Elevation of Privilege, Denial of Service</w:t>
            </w:r>
          </w:p>
        </w:tc>
        <w:tc>
          <w:tcPr>
            <w:tcW w:type="dxa" w:w="3960"/>
            <w:shd w:fill="FFFFFF" w:val="clear"/>
          </w:tcPr>
          <w:p>
            <w:r>
              <w:rPr>
                <w:sz w:val="18"/>
                <w:szCs w:val="18"/>
              </w:rPr>
              <w:t xml:space="preserve">RBAC strict, rate limiting, circuit breaker, mTLS agent↔serveur</w:t>
            </w:r>
          </w:p>
        </w:tc>
      </w:tr>
      <w:tr>
        <w:tc>
          <w:tcPr>
            <w:tcW w:type="dxa" w:w="2200"/>
            <w:shd w:fill="F2F2F2" w:val="clear"/>
          </w:tcPr>
          <w:p>
            <w:r>
              <w:rPr>
                <w:sz w:val="18"/>
                <w:szCs w:val="18"/>
              </w:rPr>
              <w:t xml:space="preserve">Anonymization Vault</w:t>
            </w:r>
          </w:p>
        </w:tc>
        <w:tc>
          <w:tcPr>
            <w:tcW w:type="dxa" w:w="3200"/>
            <w:shd w:fill="F2F2F2" w:val="clear"/>
          </w:tcPr>
          <w:p>
            <w:r>
              <w:rPr>
                <w:sz w:val="18"/>
                <w:szCs w:val="18"/>
              </w:rPr>
              <w:t xml:space="preserve">Information Disclosure, Tampering</w:t>
            </w:r>
          </w:p>
        </w:tc>
        <w:tc>
          <w:tcPr>
            <w:tcW w:type="dxa" w:w="3960"/>
            <w:shd w:fill="F2F2F2" w:val="clear"/>
          </w:tcPr>
          <w:p>
            <w:r>
              <w:rPr>
                <w:sz w:val="18"/>
                <w:szCs w:val="18"/>
              </w:rPr>
              <w:t xml:space="preserve">Isolation réseau, chiffrement AES-256-GCM, accès à validation renforcée</w:t>
            </w:r>
          </w:p>
        </w:tc>
      </w:tr>
      <w:tr>
        <w:tc>
          <w:tcPr>
            <w:tcW w:type="dxa" w:w="2200"/>
            <w:shd w:fill="FFFFFF" w:val="clear"/>
          </w:tcPr>
          <w:p>
            <w:r>
              <w:rPr>
                <w:sz w:val="18"/>
                <w:szCs w:val="18"/>
              </w:rPr>
              <w:t xml:space="preserve">Audit &amp; Telemetry Store</w:t>
            </w:r>
          </w:p>
        </w:tc>
        <w:tc>
          <w:tcPr>
            <w:tcW w:type="dxa" w:w="3200"/>
            <w:shd w:fill="FFFFFF" w:val="clear"/>
          </w:tcPr>
          <w:p>
            <w:r>
              <w:rPr>
                <w:sz w:val="18"/>
                <w:szCs w:val="18"/>
              </w:rPr>
              <w:t xml:space="preserve">Repudiation, Tampering</w:t>
            </w:r>
          </w:p>
        </w:tc>
        <w:tc>
          <w:tcPr>
            <w:tcW w:type="dxa" w:w="3960"/>
            <w:shd w:fill="FFFFFF" w:val="clear"/>
          </w:tcPr>
          <w:p>
            <w:r>
              <w:rPr>
                <w:sz w:val="18"/>
                <w:szCs w:val="18"/>
              </w:rPr>
              <w:t xml:space="preserve">Journal en écriture seule (append-only), hachage chaîné</w:t>
            </w:r>
          </w:p>
        </w:tc>
      </w:tr>
      <w:tr>
        <w:tc>
          <w:tcPr>
            <w:tcW w:type="dxa" w:w="2200"/>
            <w:shd w:fill="F2F2F2" w:val="clear"/>
          </w:tcPr>
          <w:p>
            <w:r>
              <w:rPr>
                <w:sz w:val="18"/>
                <w:szCs w:val="18"/>
              </w:rPr>
              <w:t xml:space="preserve">Detection Engine (LLM local)</w:t>
            </w:r>
          </w:p>
        </w:tc>
        <w:tc>
          <w:tcPr>
            <w:tcW w:type="dxa" w:w="3200"/>
            <w:shd w:fill="F2F2F2" w:val="clear"/>
          </w:tcPr>
          <w:p>
            <w:r>
              <w:rPr>
                <w:sz w:val="18"/>
                <w:szCs w:val="18"/>
              </w:rPr>
              <w:t xml:space="preserve">Tampering (substitution de modèle), injection de prompt indirecte</w:t>
            </w:r>
          </w:p>
        </w:tc>
        <w:tc>
          <w:tcPr>
            <w:tcW w:type="dxa" w:w="3960"/>
            <w:shd w:fill="F2F2F2" w:val="clear"/>
          </w:tcPr>
          <w:p>
            <w:r>
              <w:rPr>
                <w:sz w:val="18"/>
                <w:szCs w:val="18"/>
              </w:rPr>
              <w:t xml:space="preserve">Vérification de checksum du modèle, sortie contrainte par schéma JSON, température 0</w:t>
            </w:r>
          </w:p>
        </w:tc>
      </w:tr>
      <w:tr>
        <w:tc>
          <w:tcPr>
            <w:tcW w:type="dxa" w:w="2200"/>
            <w:shd w:fill="FFFFFF" w:val="clear"/>
          </w:tcPr>
          <w:p>
            <w:r>
              <w:rPr>
                <w:sz w:val="18"/>
                <w:szCs w:val="18"/>
              </w:rPr>
              <w:t xml:space="preserve">Dashboard BI</w:t>
            </w:r>
          </w:p>
        </w:tc>
        <w:tc>
          <w:tcPr>
            <w:tcW w:type="dxa" w:w="3200"/>
            <w:shd w:fill="FFFFFF" w:val="clear"/>
          </w:tcPr>
          <w:p>
            <w:r>
              <w:rPr>
                <w:sz w:val="18"/>
                <w:szCs w:val="18"/>
              </w:rPr>
              <w:t xml:space="preserve">Information Disclosure</w:t>
            </w:r>
          </w:p>
        </w:tc>
        <w:tc>
          <w:tcPr>
            <w:tcW w:type="dxa" w:w="3960"/>
            <w:shd w:fill="FFFFFF" w:val="clear"/>
          </w:tcPr>
          <w:p>
            <w:r>
              <w:rPr>
                <w:sz w:val="18"/>
                <w:szCs w:val="18"/>
              </w:rPr>
              <w:t xml:space="preserve">Aucune valeur sensible en clair affichée, y compris pour les rôles élevés (jetons/catégories uniquement)</w:t>
            </w:r>
          </w:p>
        </w:tc>
      </w:tr>
    </w:tbl>
    <w:p>
      <w:pPr>
        <w:spacing w:after="150" w:line="300"/>
        <w:jc w:val="both"/>
      </w:pPr>
      <w:r>
        <w:rPr>
          <w:b w:val="false"/>
          <w:bCs w:val="false"/>
          <w:i w:val="false"/>
          <w:iCs w:val="false"/>
        </w:rPr>
        <w:t xml:space="preserve">Contrôles transverses : chiffrement TLS 1.3 en transit et AES-256 au repos pour l'ensemble des composants ; authentification mTLS agent↔serveur avec rotation automatique ; authentification utilisateur SSO/OAuth2 avec MFA obligatoire pour les rôles RSSI/DPO ; principe de moindre privilège appliqué à chaque service.</w:t>
      </w:r>
    </w:p>
    <w:p>
      <w:pPr>
        <w:pStyle w:val="Heading1"/>
        <w:spacing w:after="180" w:before="380"/>
      </w:pPr>
      <w:r>
        <w:t xml:space="preserve">14. Modèle de données</w:t>
      </w:r>
    </w:p>
    <w:p>
      <w:pPr>
        <w:spacing w:after="150" w:line="300"/>
        <w:jc w:val="both"/>
      </w:pPr>
      <w:r>
        <w:rPr>
          <w:b w:val="false"/>
          <w:bCs w:val="false"/>
          <w:i w:val="false"/>
          <w:iCs w:val="false"/>
        </w:rPr>
        <w:t xml:space="preserve">Le modèle est séparé en trois domaines afin d'isoler les données les plus sensibles : transactionnel, analytique, et référentiel.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shd w:fill="1F3864" w:val="clear"/>
          </w:tcPr>
          <w:p>
            <w:r>
              <w:rPr>
                <w:b/>
                <w:bCs/>
                <w:color w:val="FFFFFF"/>
                <w:sz w:val="18"/>
                <w:szCs w:val="18"/>
              </w:rPr>
              <w:t xml:space="preserve">Entité</w:t>
            </w:r>
          </w:p>
        </w:tc>
        <w:tc>
          <w:tcPr>
            <w:tcW w:type="dxa" w:w="2400"/>
            <w:shd w:fill="1F3864" w:val="clear"/>
          </w:tcPr>
          <w:p>
            <w:r>
              <w:rPr>
                <w:b/>
                <w:bCs/>
                <w:color w:val="FFFFFF"/>
                <w:sz w:val="18"/>
                <w:szCs w:val="18"/>
              </w:rPr>
              <w:t xml:space="preserve">Domaine</w:t>
            </w:r>
          </w:p>
        </w:tc>
        <w:tc>
          <w:tcPr>
            <w:tcW w:type="dxa" w:w="4560"/>
            <w:shd w:fill="1F3864" w:val="clear"/>
          </w:tcPr>
          <w:p>
            <w:r>
              <w:rPr>
                <w:b/>
                <w:bCs/>
                <w:color w:val="FFFFFF"/>
                <w:sz w:val="18"/>
                <w:szCs w:val="18"/>
              </w:rPr>
              <w:t xml:space="preserve">Champs clés</w:t>
            </w:r>
          </w:p>
        </w:tc>
      </w:tr>
      <w:tr>
        <w:tc>
          <w:tcPr>
            <w:tcW w:type="dxa" w:w="2400"/>
            <w:shd w:fill="F2F2F2" w:val="clear"/>
          </w:tcPr>
          <w:p>
            <w:r>
              <w:rPr>
                <w:sz w:val="18"/>
                <w:szCs w:val="18"/>
              </w:rPr>
              <w:t xml:space="preserve">User</w:t>
            </w:r>
          </w:p>
        </w:tc>
        <w:tc>
          <w:tcPr>
            <w:tcW w:type="dxa" w:w="2400"/>
            <w:shd w:fill="F2F2F2" w:val="clear"/>
          </w:tcPr>
          <w:p>
            <w:r>
              <w:rPr>
                <w:sz w:val="18"/>
                <w:szCs w:val="18"/>
              </w:rPr>
              <w:t xml:space="preserve">Transactionnel</w:t>
            </w:r>
          </w:p>
        </w:tc>
        <w:tc>
          <w:tcPr>
            <w:tcW w:type="dxa" w:w="4560"/>
            <w:shd w:fill="F2F2F2" w:val="clear"/>
          </w:tcPr>
          <w:p>
            <w:r>
              <w:rPr>
                <w:sz w:val="18"/>
                <w:szCs w:val="18"/>
              </w:rPr>
              <w:t xml:space="preserve">id, ssoRef, department, role, jurisdiction</w:t>
            </w:r>
          </w:p>
        </w:tc>
      </w:tr>
      <w:tr>
        <w:tc>
          <w:tcPr>
            <w:tcW w:type="dxa" w:w="2400"/>
            <w:shd w:fill="FFFFFF" w:val="clear"/>
          </w:tcPr>
          <w:p>
            <w:r>
              <w:rPr>
                <w:sz w:val="18"/>
                <w:szCs w:val="18"/>
              </w:rPr>
              <w:t xml:space="preserve">Policy</w:t>
            </w:r>
          </w:p>
        </w:tc>
        <w:tc>
          <w:tcPr>
            <w:tcW w:type="dxa" w:w="2400"/>
            <w:shd w:fill="FFFFFF" w:val="clear"/>
          </w:tcPr>
          <w:p>
            <w:r>
              <w:rPr>
                <w:sz w:val="18"/>
                <w:szCs w:val="18"/>
              </w:rPr>
              <w:t xml:space="preserve">Transactionnel</w:t>
            </w:r>
          </w:p>
        </w:tc>
        <w:tc>
          <w:tcPr>
            <w:tcW w:type="dxa" w:w="4560"/>
            <w:shd w:fill="FFFFFF" w:val="clear"/>
          </w:tcPr>
          <w:p>
            <w:r>
              <w:rPr>
                <w:sz w:val="18"/>
                <w:szCs w:val="18"/>
              </w:rPr>
              <w:t xml:space="preserve">id, conditionExpr, action, version, referenceFrameworks[]</w:t>
            </w:r>
          </w:p>
        </w:tc>
      </w:tr>
      <w:tr>
        <w:tc>
          <w:tcPr>
            <w:tcW w:type="dxa" w:w="2400"/>
            <w:shd w:fill="F2F2F2" w:val="clear"/>
          </w:tcPr>
          <w:p>
            <w:r>
              <w:rPr>
                <w:sz w:val="18"/>
                <w:szCs w:val="18"/>
              </w:rPr>
              <w:t xml:space="preserve">AnonymizationMapping</w:t>
            </w:r>
          </w:p>
        </w:tc>
        <w:tc>
          <w:tcPr>
            <w:tcW w:type="dxa" w:w="2400"/>
            <w:shd w:fill="F2F2F2" w:val="clear"/>
          </w:tcPr>
          <w:p>
            <w:r>
              <w:rPr>
                <w:sz w:val="18"/>
                <w:szCs w:val="18"/>
              </w:rPr>
              <w:t xml:space="preserve">Transactionnel (chiffré, isolé)</w:t>
            </w:r>
          </w:p>
        </w:tc>
        <w:tc>
          <w:tcPr>
            <w:tcW w:type="dxa" w:w="4560"/>
            <w:shd w:fill="F2F2F2" w:val="clear"/>
          </w:tcPr>
          <w:p>
            <w:r>
              <w:rPr>
                <w:sz w:val="18"/>
                <w:szCs w:val="18"/>
              </w:rPr>
              <w:t xml:space="preserve">tokenId, originalValueEncrypted, entityType, expiresAt</w:t>
            </w:r>
          </w:p>
        </w:tc>
      </w:tr>
      <w:tr>
        <w:tc>
          <w:tcPr>
            <w:tcW w:type="dxa" w:w="2400"/>
            <w:shd w:fill="FFFFFF" w:val="clear"/>
          </w:tcPr>
          <w:p>
            <w:r>
              <w:rPr>
                <w:sz w:val="18"/>
                <w:szCs w:val="18"/>
              </w:rPr>
              <w:t xml:space="preserve">RiskFactorWeight</w:t>
            </w:r>
          </w:p>
        </w:tc>
        <w:tc>
          <w:tcPr>
            <w:tcW w:type="dxa" w:w="2400"/>
            <w:shd w:fill="FFFFFF" w:val="clear"/>
          </w:tcPr>
          <w:p>
            <w:r>
              <w:rPr>
                <w:sz w:val="18"/>
                <w:szCs w:val="18"/>
              </w:rPr>
              <w:t xml:space="preserve">Transactionnel</w:t>
            </w:r>
          </w:p>
        </w:tc>
        <w:tc>
          <w:tcPr>
            <w:tcW w:type="dxa" w:w="4560"/>
            <w:shd w:fill="FFFFFF" w:val="clear"/>
          </w:tcPr>
          <w:p>
            <w:r>
              <w:rPr>
                <w:sz w:val="18"/>
                <w:szCs w:val="18"/>
              </w:rPr>
              <w:t xml:space="preserve">factorName, weight, effectiveDate</w:t>
            </w:r>
          </w:p>
        </w:tc>
      </w:tr>
      <w:tr>
        <w:tc>
          <w:tcPr>
            <w:tcW w:type="dxa" w:w="2400"/>
            <w:shd w:fill="F2F2F2" w:val="clear"/>
          </w:tcPr>
          <w:p>
            <w:r>
              <w:rPr>
                <w:sz w:val="18"/>
                <w:szCs w:val="18"/>
              </w:rPr>
              <w:t xml:space="preserve">SecurityEvent</w:t>
            </w:r>
          </w:p>
        </w:tc>
        <w:tc>
          <w:tcPr>
            <w:tcW w:type="dxa" w:w="2400"/>
            <w:shd w:fill="F2F2F2" w:val="clear"/>
          </w:tcPr>
          <w:p>
            <w:r>
              <w:rPr>
                <w:sz w:val="18"/>
                <w:szCs w:val="18"/>
              </w:rPr>
              <w:t xml:space="preserve">Analytique</w:t>
            </w:r>
          </w:p>
        </w:tc>
        <w:tc>
          <w:tcPr>
            <w:tcW w:type="dxa" w:w="4560"/>
            <w:shd w:fill="F2F2F2" w:val="clear"/>
          </w:tcPr>
          <w:p>
            <w:r>
              <w:rPr>
                <w:sz w:val="18"/>
                <w:szCs w:val="18"/>
              </w:rPr>
              <w:t xml:space="preserve">eventId, entitiesDetected[], riskScore, action, eventHash</w:t>
            </w:r>
          </w:p>
        </w:tc>
      </w:tr>
      <w:tr>
        <w:tc>
          <w:tcPr>
            <w:tcW w:type="dxa" w:w="2400"/>
            <w:shd w:fill="FFFFFF" w:val="clear"/>
          </w:tcPr>
          <w:p>
            <w:r>
              <w:rPr>
                <w:sz w:val="18"/>
                <w:szCs w:val="18"/>
              </w:rPr>
              <w:t xml:space="preserve">AIService</w:t>
            </w:r>
          </w:p>
        </w:tc>
        <w:tc>
          <w:tcPr>
            <w:tcW w:type="dxa" w:w="2400"/>
            <w:shd w:fill="FFFFFF" w:val="clear"/>
          </w:tcPr>
          <w:p>
            <w:r>
              <w:rPr>
                <w:sz w:val="18"/>
                <w:szCs w:val="18"/>
              </w:rPr>
              <w:t xml:space="preserve">Référentiel</w:t>
            </w:r>
          </w:p>
        </w:tc>
        <w:tc>
          <w:tcPr>
            <w:tcW w:type="dxa" w:w="4560"/>
            <w:shd w:fill="FFFFFF" w:val="clear"/>
          </w:tcPr>
          <w:p>
            <w:r>
              <w:rPr>
                <w:sz w:val="18"/>
                <w:szCs w:val="18"/>
              </w:rPr>
              <w:t xml:space="preserve">id, name, hostingRegion, riskBaseline, freeAccess</w:t>
            </w:r>
          </w:p>
        </w:tc>
      </w:tr>
      <w:tr>
        <w:tc>
          <w:tcPr>
            <w:tcW w:type="dxa" w:w="2400"/>
            <w:shd w:fill="F2F2F2" w:val="clear"/>
          </w:tcPr>
          <w:p>
            <w:r>
              <w:rPr>
                <w:sz w:val="18"/>
                <w:szCs w:val="18"/>
              </w:rPr>
              <w:t xml:space="preserve">RegulatoryFramework</w:t>
            </w:r>
          </w:p>
        </w:tc>
        <w:tc>
          <w:tcPr>
            <w:tcW w:type="dxa" w:w="2400"/>
            <w:shd w:fill="F2F2F2" w:val="clear"/>
          </w:tcPr>
          <w:p>
            <w:r>
              <w:rPr>
                <w:sz w:val="18"/>
                <w:szCs w:val="18"/>
              </w:rPr>
              <w:t xml:space="preserve">Référentiel</w:t>
            </w:r>
          </w:p>
        </w:tc>
        <w:tc>
          <w:tcPr>
            <w:tcW w:type="dxa" w:w="4560"/>
            <w:shd w:fill="F2F2F2" w:val="clear"/>
          </w:tcPr>
          <w:p>
            <w:r>
              <w:rPr>
                <w:sz w:val="18"/>
                <w:szCs w:val="18"/>
              </w:rPr>
              <w:t xml:space="preserve">id, name (RGPD, EU AI Act, Malabo...), applicableJurisdictions[]</w:t>
            </w:r>
          </w:p>
        </w:tc>
      </w:tr>
    </w:tbl>
    <w:p>
      <w:pPr>
        <w:pBdr>
          <w:top w:val="single" w:color="CCCCCC" w:sz="2"/>
          <w:bottom w:val="single" w:color="CCCCCC" w:sz="2"/>
          <w:left w:val="single" w:color="CCCCCC" w:sz="2"/>
          <w:right w:val="single" w:color="CCCCCC" w:sz="2"/>
        </w:pBdr>
        <w:shd w:fill="F4F5F8" w:val="clear"/>
        <w:spacing w:after="150" w:before="100"/>
      </w:pPr>
      <w:r>
        <w:rPr>
          <w:rFonts w:ascii="Consolas" w:cs="Consolas" w:eastAsia="Consolas" w:hAnsi="Consolas"/>
          <w:sz w:val="17"/>
          <w:szCs w:val="17"/>
        </w:rPr>
        <w:t xml:space="preserve">-- Extrait DDL simplifié (PostgreSQL)
CREATE TABLE security_event (
  event_id UUID PRIMARY KEY,
  occurred_at TIMESTAMPTZ NOT NULL,
  user_id_hash CHAR(64) NOT NULL,
  department TEXT NOT NULL,
  ai_service_id TEXT REFERENCES ai_service(id),
  entities_detected TEXT[] NOT NULL,
  context_category TEXT,
  risk_score SMALLINT NOT NULL CHECK (risk_score BETWEEN 0 AND 100),
  risk_band TEXT NOT NULL,
  policy_id UUID REFERENCES policy(id),
  action TEXT NOT NULL CHECK (action IN ('ALLOW','WARN','MASK','BLOCK')),
  reference_frameworks TEXT[] NOT NULL,
  prev_event_hash CHAR(64),
  event_hash CHAR(64) NOT NULL
);</w:t>
      </w:r>
    </w:p>
    <w:p>
      <w:pPr>
        <w:pStyle w:val="Heading1"/>
        <w:spacing w:after="180" w:before="380"/>
      </w:pPr>
      <w:r>
        <w:t xml:space="preserve">15. API et contrats d'interface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shd w:fill="1F3864" w:val="clear"/>
          </w:tcPr>
          <w:p>
            <w:r>
              <w:rPr>
                <w:b/>
                <w:bCs/>
                <w:color w:val="FFFFFF"/>
                <w:sz w:val="18"/>
                <w:szCs w:val="18"/>
              </w:rPr>
              <w:t xml:space="preserve">Endpoint</w:t>
            </w:r>
          </w:p>
        </w:tc>
        <w:tc>
          <w:tcPr>
            <w:tcW w:type="dxa" w:w="1600"/>
            <w:shd w:fill="1F3864" w:val="clear"/>
          </w:tcPr>
          <w:p>
            <w:r>
              <w:rPr>
                <w:b/>
                <w:bCs/>
                <w:color w:val="FFFFFF"/>
                <w:sz w:val="18"/>
                <w:szCs w:val="18"/>
              </w:rPr>
              <w:t xml:space="preserve">Méthode</w:t>
            </w:r>
          </w:p>
        </w:tc>
        <w:tc>
          <w:tcPr>
            <w:tcW w:type="dxa" w:w="5160"/>
            <w:shd w:fill="1F3864" w:val="clear"/>
          </w:tcPr>
          <w:p>
            <w:r>
              <w:rPr>
                <w:b/>
                <w:bCs/>
                <w:color w:val="FFFFFF"/>
                <w:sz w:val="18"/>
                <w:szCs w:val="18"/>
              </w:rPr>
              <w:t xml:space="preserve">Description</w:t>
            </w:r>
          </w:p>
        </w:tc>
      </w:tr>
      <w:tr>
        <w:tc>
          <w:tcPr>
            <w:tcW w:type="dxa" w:w="2600"/>
            <w:shd w:fill="F2F2F2" w:val="clear"/>
          </w:tcPr>
          <w:p>
            <w:r>
              <w:rPr>
                <w:sz w:val="18"/>
                <w:szCs w:val="18"/>
              </w:rPr>
              <w:t xml:space="preserve">/v1/interactions/evaluate</w:t>
            </w:r>
          </w:p>
        </w:tc>
        <w:tc>
          <w:tcPr>
            <w:tcW w:type="dxa" w:w="1600"/>
            <w:shd w:fill="F2F2F2" w:val="clear"/>
          </w:tcPr>
          <w:p>
            <w:r>
              <w:rPr>
                <w:sz w:val="18"/>
                <w:szCs w:val="18"/>
              </w:rPr>
              <w:t xml:space="preserve">POST</w:t>
            </w:r>
          </w:p>
        </w:tc>
        <w:tc>
          <w:tcPr>
            <w:tcW w:type="dxa" w:w="5160"/>
            <w:shd w:fill="F2F2F2" w:val="clear"/>
          </w:tcPr>
          <w:p>
            <w:r>
              <w:rPr>
                <w:sz w:val="18"/>
                <w:szCs w:val="18"/>
              </w:rPr>
              <w:t xml:space="preserve">Soumet le contexte d'une interaction et reçoit la décision de politique</w:t>
            </w:r>
          </w:p>
        </w:tc>
      </w:tr>
      <w:tr>
        <w:tc>
          <w:tcPr>
            <w:tcW w:type="dxa" w:w="2600"/>
            <w:shd w:fill="FFFFFF" w:val="clear"/>
          </w:tcPr>
          <w:p>
            <w:r>
              <w:rPr>
                <w:sz w:val="18"/>
                <w:szCs w:val="18"/>
              </w:rPr>
              <w:t xml:space="preserve">/v1/policies</w:t>
            </w:r>
          </w:p>
        </w:tc>
        <w:tc>
          <w:tcPr>
            <w:tcW w:type="dxa" w:w="1600"/>
            <w:shd w:fill="FFFFFF" w:val="clear"/>
          </w:tcPr>
          <w:p>
            <w:r>
              <w:rPr>
                <w:sz w:val="18"/>
                <w:szCs w:val="18"/>
              </w:rPr>
              <w:t xml:space="preserve">GET / POST / PUT</w:t>
            </w:r>
          </w:p>
        </w:tc>
        <w:tc>
          <w:tcPr>
            <w:tcW w:type="dxa" w:w="5160"/>
            <w:shd w:fill="FFFFFF" w:val="clear"/>
          </w:tcPr>
          <w:p>
            <w:r>
              <w:rPr>
                <w:sz w:val="18"/>
                <w:szCs w:val="18"/>
              </w:rPr>
              <w:t xml:space="preserve">Gestion des politiques de sécurité (rôle RSSI/admin)</w:t>
            </w:r>
          </w:p>
        </w:tc>
      </w:tr>
      <w:tr>
        <w:tc>
          <w:tcPr>
            <w:tcW w:type="dxa" w:w="2600"/>
            <w:shd w:fill="F2F2F2" w:val="clear"/>
          </w:tcPr>
          <w:p>
            <w:r>
              <w:rPr>
                <w:sz w:val="18"/>
                <w:szCs w:val="18"/>
              </w:rPr>
              <w:t xml:space="preserve">/v1/events</w:t>
            </w:r>
          </w:p>
        </w:tc>
        <w:tc>
          <w:tcPr>
            <w:tcW w:type="dxa" w:w="1600"/>
            <w:shd w:fill="F2F2F2" w:val="clear"/>
          </w:tcPr>
          <w:p>
            <w:r>
              <w:rPr>
                <w:sz w:val="18"/>
                <w:szCs w:val="18"/>
              </w:rPr>
              <w:t xml:space="preserve">GET</w:t>
            </w:r>
          </w:p>
        </w:tc>
        <w:tc>
          <w:tcPr>
            <w:tcW w:type="dxa" w:w="5160"/>
            <w:shd w:fill="F2F2F2" w:val="clear"/>
          </w:tcPr>
          <w:p>
            <w:r>
              <w:rPr>
                <w:sz w:val="18"/>
                <w:szCs w:val="18"/>
              </w:rPr>
              <w:t xml:space="preserve">Consultation paginée des événements de sécurité (rôle RSSI/DPO)</w:t>
            </w:r>
          </w:p>
        </w:tc>
      </w:tr>
      <w:tr>
        <w:tc>
          <w:tcPr>
            <w:tcW w:type="dxa" w:w="2600"/>
            <w:shd w:fill="FFFFFF" w:val="clear"/>
          </w:tcPr>
          <w:p>
            <w:r>
              <w:rPr>
                <w:sz w:val="18"/>
                <w:szCs w:val="18"/>
              </w:rPr>
              <w:t xml:space="preserve">/v1/analytics/summary</w:t>
            </w:r>
          </w:p>
        </w:tc>
        <w:tc>
          <w:tcPr>
            <w:tcW w:type="dxa" w:w="1600"/>
            <w:shd w:fill="FFFFFF" w:val="clear"/>
          </w:tcPr>
          <w:p>
            <w:r>
              <w:rPr>
                <w:sz w:val="18"/>
                <w:szCs w:val="18"/>
              </w:rPr>
              <w:t xml:space="preserve">GET</w:t>
            </w:r>
          </w:p>
        </w:tc>
        <w:tc>
          <w:tcPr>
            <w:tcW w:type="dxa" w:w="5160"/>
            <w:shd w:fill="FFFFFF" w:val="clear"/>
          </w:tcPr>
          <w:p>
            <w:r>
              <w:rPr>
                <w:sz w:val="18"/>
                <w:szCs w:val="18"/>
              </w:rPr>
              <w:t xml:space="preserve">Indicateurs agrégés pour le Dashboard</w:t>
            </w:r>
          </w:p>
        </w:tc>
      </w:tr>
      <w:tr>
        <w:tc>
          <w:tcPr>
            <w:tcW w:type="dxa" w:w="2600"/>
            <w:shd w:fill="F2F2F2" w:val="clear"/>
          </w:tcPr>
          <w:p>
            <w:r>
              <w:rPr>
                <w:sz w:val="18"/>
                <w:szCs w:val="18"/>
              </w:rPr>
              <w:t xml:space="preserve">/v1/agents/sync</w:t>
            </w:r>
          </w:p>
        </w:tc>
        <w:tc>
          <w:tcPr>
            <w:tcW w:type="dxa" w:w="1600"/>
            <w:shd w:fill="F2F2F2" w:val="clear"/>
          </w:tcPr>
          <w:p>
            <w:r>
              <w:rPr>
                <w:sz w:val="18"/>
                <w:szCs w:val="18"/>
              </w:rPr>
              <w:t xml:space="preserve">GET</w:t>
            </w:r>
          </w:p>
        </w:tc>
        <w:tc>
          <w:tcPr>
            <w:tcW w:type="dxa" w:w="5160"/>
            <w:shd w:fill="F2F2F2" w:val="clear"/>
          </w:tcPr>
          <w:p>
            <w:r>
              <w:rPr>
                <w:sz w:val="18"/>
                <w:szCs w:val="18"/>
              </w:rPr>
              <w:t xml:space="preserve">Synchronisation des politiques et services IA surveillés</w:t>
            </w:r>
          </w:p>
        </w:tc>
      </w:tr>
      <w:tr>
        <w:tc>
          <w:tcPr>
            <w:tcW w:type="dxa" w:w="2600"/>
            <w:shd w:fill="FFFFFF" w:val="clear"/>
          </w:tcPr>
          <w:p>
            <w:r>
              <w:rPr>
                <w:sz w:val="18"/>
                <w:szCs w:val="18"/>
              </w:rPr>
              <w:t xml:space="preserve">/v1/agents/heartbeat</w:t>
            </w:r>
          </w:p>
        </w:tc>
        <w:tc>
          <w:tcPr>
            <w:tcW w:type="dxa" w:w="1600"/>
            <w:shd w:fill="FFFFFF" w:val="clear"/>
          </w:tcPr>
          <w:p>
            <w:r>
              <w:rPr>
                <w:sz w:val="18"/>
                <w:szCs w:val="18"/>
              </w:rPr>
              <w:t xml:space="preserve">POST</w:t>
            </w:r>
          </w:p>
        </w:tc>
        <w:tc>
          <w:tcPr>
            <w:tcW w:type="dxa" w:w="5160"/>
            <w:shd w:fill="FFFFFF" w:val="clear"/>
          </w:tcPr>
          <w:p>
            <w:r>
              <w:rPr>
                <w:sz w:val="18"/>
                <w:szCs w:val="18"/>
              </w:rPr>
              <w:t xml:space="preserve">Réception du signal de présence signé d'un agent</w:t>
            </w:r>
          </w:p>
        </w:tc>
      </w:tr>
      <w:tr>
        <w:tc>
          <w:tcPr>
            <w:tcW w:type="dxa" w:w="2600"/>
            <w:shd w:fill="F2F2F2" w:val="clear"/>
          </w:tcPr>
          <w:p>
            <w:r>
              <w:rPr>
                <w:sz w:val="18"/>
                <w:szCs w:val="18"/>
              </w:rPr>
              <w:t xml:space="preserve">/v1/regulatory-frameworks</w:t>
            </w:r>
          </w:p>
        </w:tc>
        <w:tc>
          <w:tcPr>
            <w:tcW w:type="dxa" w:w="1600"/>
            <w:shd w:fill="F2F2F2" w:val="clear"/>
          </w:tcPr>
          <w:p>
            <w:r>
              <w:rPr>
                <w:sz w:val="18"/>
                <w:szCs w:val="18"/>
              </w:rPr>
              <w:t xml:space="preserve">GET / PUT</w:t>
            </w:r>
          </w:p>
        </w:tc>
        <w:tc>
          <w:tcPr>
            <w:tcW w:type="dxa" w:w="5160"/>
            <w:shd w:fill="F2F2F2" w:val="clear"/>
          </w:tcPr>
          <w:p>
            <w:r>
              <w:rPr>
                <w:sz w:val="18"/>
                <w:szCs w:val="18"/>
              </w:rPr>
              <w:t xml:space="preserve">Consultation et configuration du référentiel réglementaire applicable</w:t>
            </w:r>
          </w:p>
        </w:tc>
      </w:tr>
    </w:tbl>
    <w:p>
      <w:pPr>
        <w:pBdr>
          <w:top w:val="single" w:color="CCCCCC" w:sz="2"/>
          <w:bottom w:val="single" w:color="CCCCCC" w:sz="2"/>
          <w:left w:val="single" w:color="CCCCCC" w:sz="2"/>
          <w:right w:val="single" w:color="CCCCCC" w:sz="2"/>
        </w:pBdr>
        <w:shd w:fill="F4F5F8" w:val="clear"/>
        <w:spacing w:after="150" w:before="100"/>
      </w:pPr>
      <w:r>
        <w:rPr>
          <w:rFonts w:ascii="Consolas" w:cs="Consolas" w:eastAsia="Consolas" w:hAnsi="Consolas"/>
          <w:sz w:val="17"/>
          <w:szCs w:val="17"/>
        </w:rPr>
        <w:t xml:space="preserve">POST /v1/interactions/evaluate
{
  "userId": "uuid",
  "aiServiceId": "chatgpt.com",
  "channel": "browser",
  "detectionResults": [
    { "layer": "rules", "entities": [{ "entityType": "MOBILE_MONEY", "confidence": 0.98 }] },
    { "layer": "llm_context", "contextCategory": "Finance", "confidence": 0.87 }
  ]
}
→ 200 OK
{
  "decision": "MASK",
  "riskScore": 78,
  "riskBand": "high",
  "policyId": "pol-042",
  "referenceFrameworks": ["OWASP-LLM02", "NIST-MEASURE", "MALABO-ART14"],
  "maskedTokens": ["PERSONNE_001", "MONTANT_001"]
}</w:t>
      </w:r>
    </w:p>
    <w:p>
      <w:pPr>
        <w:pStyle w:val="Heading1"/>
        <w:spacing w:after="180" w:before="380"/>
      </w:pPr>
      <w:r>
        <w:t xml:space="preserve">16. Choix technologiques et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shd w:fill="1F3864" w:val="clear"/>
          </w:tcPr>
          <w:p>
            <w:r>
              <w:rPr>
                <w:b/>
                <w:bCs/>
                <w:color w:val="FFFFFF"/>
                <w:sz w:val="18"/>
                <w:szCs w:val="18"/>
              </w:rPr>
              <w:t xml:space="preserve">Couche</w:t>
            </w:r>
          </w:p>
        </w:tc>
        <w:tc>
          <w:tcPr>
            <w:tcW w:type="dxa" w:w="2400"/>
            <w:shd w:fill="1F3864" w:val="clear"/>
          </w:tcPr>
          <w:p>
            <w:r>
              <w:rPr>
                <w:b/>
                <w:bCs/>
                <w:color w:val="FFFFFF"/>
                <w:sz w:val="18"/>
                <w:szCs w:val="18"/>
              </w:rPr>
              <w:t xml:space="preserve">Choix retenu</w:t>
            </w:r>
          </w:p>
        </w:tc>
        <w:tc>
          <w:tcPr>
            <w:tcW w:type="dxa" w:w="2400"/>
            <w:shd w:fill="1F3864" w:val="clear"/>
          </w:tcPr>
          <w:p>
            <w:r>
              <w:rPr>
                <w:b/>
                <w:bCs/>
                <w:color w:val="FFFFFF"/>
                <w:sz w:val="18"/>
                <w:szCs w:val="18"/>
              </w:rPr>
              <w:t xml:space="preserve">Alternative considérée</w:t>
            </w:r>
          </w:p>
        </w:tc>
        <w:tc>
          <w:tcPr>
            <w:tcW w:type="dxa" w:w="2760"/>
            <w:shd w:fill="1F3864" w:val="clear"/>
          </w:tcPr>
          <w:p>
            <w:r>
              <w:rPr>
                <w:b/>
                <w:bCs/>
                <w:color w:val="FFFFFF"/>
                <w:sz w:val="18"/>
                <w:szCs w:val="18"/>
              </w:rPr>
              <w:t xml:space="preserve">Raison du choix</w:t>
            </w:r>
          </w:p>
        </w:tc>
      </w:tr>
      <w:tr>
        <w:tc>
          <w:tcPr>
            <w:tcW w:type="dxa" w:w="1800"/>
            <w:shd w:fill="F2F2F2" w:val="clear"/>
          </w:tcPr>
          <w:p>
            <w:r>
              <w:rPr>
                <w:sz w:val="18"/>
                <w:szCs w:val="18"/>
              </w:rPr>
              <w:t xml:space="preserve">Agent — extension navigateur</w:t>
            </w:r>
          </w:p>
        </w:tc>
        <w:tc>
          <w:tcPr>
            <w:tcW w:type="dxa" w:w="2400"/>
            <w:shd w:fill="F2F2F2" w:val="clear"/>
          </w:tcPr>
          <w:p>
            <w:r>
              <w:rPr>
                <w:sz w:val="18"/>
                <w:szCs w:val="18"/>
              </w:rPr>
              <w:t xml:space="preserve">Manifest V3, TypeScript</w:t>
            </w:r>
          </w:p>
        </w:tc>
        <w:tc>
          <w:tcPr>
            <w:tcW w:type="dxa" w:w="2400"/>
            <w:shd w:fill="F2F2F2" w:val="clear"/>
          </w:tcPr>
          <w:p>
            <w:r>
              <w:rPr>
                <w:sz w:val="18"/>
                <w:szCs w:val="18"/>
              </w:rPr>
              <w:t xml:space="preserve">Extension Manifest V2</w:t>
            </w:r>
          </w:p>
        </w:tc>
        <w:tc>
          <w:tcPr>
            <w:tcW w:type="dxa" w:w="2760"/>
            <w:shd w:fill="F2F2F2" w:val="clear"/>
          </w:tcPr>
          <w:p>
            <w:r>
              <w:rPr>
                <w:sz w:val="18"/>
                <w:szCs w:val="18"/>
              </w:rPr>
              <w:t xml:space="preserve">V2 est en fin de vie sur les navigateurs Chromium ; V3 est le standard pérenne</w:t>
            </w:r>
          </w:p>
        </w:tc>
      </w:tr>
      <w:tr>
        <w:tc>
          <w:tcPr>
            <w:tcW w:type="dxa" w:w="1800"/>
            <w:shd w:fill="FFFFFF" w:val="clear"/>
          </w:tcPr>
          <w:p>
            <w:r>
              <w:rPr>
                <w:sz w:val="18"/>
                <w:szCs w:val="18"/>
              </w:rPr>
              <w:t xml:space="preserve">Agent — module terminal</w:t>
            </w:r>
          </w:p>
        </w:tc>
        <w:tc>
          <w:tcPr>
            <w:tcW w:type="dxa" w:w="2400"/>
            <w:shd w:fill="FFFFFF" w:val="clear"/>
          </w:tcPr>
          <w:p>
            <w:r>
              <w:rPr>
                <w:sz w:val="18"/>
                <w:szCs w:val="18"/>
              </w:rPr>
              <w:t xml:space="preserve">Binaire natif Rust (shim PATH)</w:t>
            </w:r>
          </w:p>
        </w:tc>
        <w:tc>
          <w:tcPr>
            <w:tcW w:type="dxa" w:w="2400"/>
            <w:shd w:fill="FFFFFF" w:val="clear"/>
          </w:tcPr>
          <w:p>
            <w:r>
              <w:rPr>
                <w:sz w:val="18"/>
                <w:szCs w:val="18"/>
              </w:rPr>
              <w:t xml:space="preserve">Script shell interprété</w:t>
            </w:r>
          </w:p>
        </w:tc>
        <w:tc>
          <w:tcPr>
            <w:tcW w:type="dxa" w:w="2760"/>
            <w:shd w:fill="FFFFFF" w:val="clear"/>
          </w:tcPr>
          <w:p>
            <w:r>
              <w:rPr>
                <w:sz w:val="18"/>
                <w:szCs w:val="18"/>
              </w:rPr>
              <w:t xml:space="preserve">Rust offre performance, sécurité mémoire et portabilité multi-OS pour un composant de sécurité</w:t>
            </w:r>
          </w:p>
        </w:tc>
      </w:tr>
      <w:tr>
        <w:tc>
          <w:tcPr>
            <w:tcW w:type="dxa" w:w="1800"/>
            <w:shd w:fill="F2F2F2" w:val="clear"/>
          </w:tcPr>
          <w:p>
            <w:r>
              <w:rPr>
                <w:sz w:val="18"/>
                <w:szCs w:val="18"/>
              </w:rPr>
              <w:t xml:space="preserve">Inférence NER/LLM locale</w:t>
            </w:r>
          </w:p>
        </w:tc>
        <w:tc>
          <w:tcPr>
            <w:tcW w:type="dxa" w:w="2400"/>
            <w:shd w:fill="F2F2F2" w:val="clear"/>
          </w:tcPr>
          <w:p>
            <w:r>
              <w:rPr>
                <w:sz w:val="18"/>
                <w:szCs w:val="18"/>
              </w:rPr>
              <w:t xml:space="preserve">ONNX Runtime + llama.cpp</w:t>
            </w:r>
          </w:p>
        </w:tc>
        <w:tc>
          <w:tcPr>
            <w:tcW w:type="dxa" w:w="2400"/>
            <w:shd w:fill="F2F2F2" w:val="clear"/>
          </w:tcPr>
          <w:p>
            <w:r>
              <w:rPr>
                <w:sz w:val="18"/>
                <w:szCs w:val="18"/>
              </w:rPr>
              <w:t xml:space="preserve">API LLM cloud (OpenAI, Anthropic)</w:t>
            </w:r>
          </w:p>
        </w:tc>
        <w:tc>
          <w:tcPr>
            <w:tcW w:type="dxa" w:w="2760"/>
            <w:shd w:fill="F2F2F2" w:val="clear"/>
          </w:tcPr>
          <w:p>
            <w:r>
              <w:rPr>
                <w:sz w:val="18"/>
                <w:szCs w:val="18"/>
              </w:rPr>
              <w:t xml:space="preserve">Exigence non négociable de traitement local (NFR-02) ; incompatible avec un appel externe</w:t>
            </w:r>
          </w:p>
        </w:tc>
      </w:tr>
      <w:tr>
        <w:tc>
          <w:tcPr>
            <w:tcW w:type="dxa" w:w="1800"/>
            <w:shd w:fill="FFFFFF" w:val="clear"/>
          </w:tcPr>
          <w:p>
            <w:r>
              <w:rPr>
                <w:sz w:val="18"/>
                <w:szCs w:val="18"/>
              </w:rPr>
              <w:t xml:space="preserve">Backend applicatif</w:t>
            </w:r>
          </w:p>
        </w:tc>
        <w:tc>
          <w:tcPr>
            <w:tcW w:type="dxa" w:w="2400"/>
            <w:shd w:fill="FFFFFF" w:val="clear"/>
          </w:tcPr>
          <w:p>
            <w:r>
              <w:rPr>
                <w:sz w:val="18"/>
                <w:szCs w:val="18"/>
              </w:rPr>
              <w:t xml:space="preserve">NestJS (TypeScript)</w:t>
            </w:r>
          </w:p>
        </w:tc>
        <w:tc>
          <w:tcPr>
            <w:tcW w:type="dxa" w:w="2400"/>
            <w:shd w:fill="FFFFFF" w:val="clear"/>
          </w:tcPr>
          <w:p>
            <w:r>
              <w:rPr>
                <w:sz w:val="18"/>
                <w:szCs w:val="18"/>
              </w:rPr>
              <w:t xml:space="preserve">FastAPI (Python)</w:t>
            </w:r>
          </w:p>
        </w:tc>
        <w:tc>
          <w:tcPr>
            <w:tcW w:type="dxa" w:w="2760"/>
            <w:shd w:fill="FFFFFF" w:val="clear"/>
          </w:tcPr>
          <w:p>
            <w:r>
              <w:rPr>
                <w:sz w:val="18"/>
                <w:szCs w:val="18"/>
              </w:rPr>
              <w:t xml:space="preserve">Typage strict de bout en bout avec le frontend, écosystème mature pour API d'entreprise</w:t>
            </w:r>
          </w:p>
        </w:tc>
      </w:tr>
      <w:tr>
        <w:tc>
          <w:tcPr>
            <w:tcW w:type="dxa" w:w="1800"/>
            <w:shd w:fill="F2F2F2" w:val="clear"/>
          </w:tcPr>
          <w:p>
            <w:r>
              <w:rPr>
                <w:sz w:val="18"/>
                <w:szCs w:val="18"/>
              </w:rPr>
              <w:t xml:space="preserve">Detection Engine (règles/NER/LLM)</w:t>
            </w:r>
          </w:p>
        </w:tc>
        <w:tc>
          <w:tcPr>
            <w:tcW w:type="dxa" w:w="2400"/>
            <w:shd w:fill="F2F2F2" w:val="clear"/>
          </w:tcPr>
          <w:p>
            <w:r>
              <w:rPr>
                <w:sz w:val="18"/>
                <w:szCs w:val="18"/>
              </w:rPr>
              <w:t xml:space="preserve">Python</w:t>
            </w:r>
          </w:p>
        </w:tc>
        <w:tc>
          <w:tcPr>
            <w:tcW w:type="dxa" w:w="2400"/>
            <w:shd w:fill="F2F2F2" w:val="clear"/>
          </w:tcPr>
          <w:p>
            <w:r>
              <w:rPr>
                <w:sz w:val="18"/>
                <w:szCs w:val="18"/>
              </w:rPr>
              <w:t xml:space="preserve">TypeScript</w:t>
            </w:r>
          </w:p>
        </w:tc>
        <w:tc>
          <w:tcPr>
            <w:tcW w:type="dxa" w:w="2760"/>
            <w:shd w:fill="F2F2F2" w:val="clear"/>
          </w:tcPr>
          <w:p>
            <w:r>
              <w:rPr>
                <w:sz w:val="18"/>
                <w:szCs w:val="18"/>
              </w:rPr>
              <w:t xml:space="preserve">Écosystème NLP et ML le plus riche (Hugging Face, ONNX, llama-cpp-python)</w:t>
            </w:r>
          </w:p>
        </w:tc>
      </w:tr>
      <w:tr>
        <w:tc>
          <w:tcPr>
            <w:tcW w:type="dxa" w:w="1800"/>
            <w:shd w:fill="FFFFFF" w:val="clear"/>
          </w:tcPr>
          <w:p>
            <w:r>
              <w:rPr>
                <w:sz w:val="18"/>
                <w:szCs w:val="18"/>
              </w:rPr>
              <w:t xml:space="preserve">Base transactionnelle</w:t>
            </w:r>
          </w:p>
        </w:tc>
        <w:tc>
          <w:tcPr>
            <w:tcW w:type="dxa" w:w="2400"/>
            <w:shd w:fill="FFFFFF" w:val="clear"/>
          </w:tcPr>
          <w:p>
            <w:r>
              <w:rPr>
                <w:sz w:val="18"/>
                <w:szCs w:val="18"/>
              </w:rPr>
              <w:t xml:space="preserve">PostgreSQL</w:t>
            </w:r>
          </w:p>
        </w:tc>
        <w:tc>
          <w:tcPr>
            <w:tcW w:type="dxa" w:w="2400"/>
            <w:shd w:fill="FFFFFF" w:val="clear"/>
          </w:tcPr>
          <w:p>
            <w:r>
              <w:rPr>
                <w:sz w:val="18"/>
                <w:szCs w:val="18"/>
              </w:rPr>
              <w:t xml:space="preserve">MongoDB</w:t>
            </w:r>
          </w:p>
        </w:tc>
        <w:tc>
          <w:tcPr>
            <w:tcW w:type="dxa" w:w="2760"/>
            <w:shd w:fill="FFFFFF" w:val="clear"/>
          </w:tcPr>
          <w:p>
            <w:r>
              <w:rPr>
                <w:sz w:val="18"/>
                <w:szCs w:val="18"/>
              </w:rPr>
              <w:t xml:space="preserve">Contraintes d'intégrité fortes et transactions nécessaires pour policies/mappings</w:t>
            </w:r>
          </w:p>
        </w:tc>
      </w:tr>
      <w:tr>
        <w:tc>
          <w:tcPr>
            <w:tcW w:type="dxa" w:w="1800"/>
            <w:shd w:fill="F2F2F2" w:val="clear"/>
          </w:tcPr>
          <w:p>
            <w:r>
              <w:rPr>
                <w:sz w:val="18"/>
                <w:szCs w:val="18"/>
              </w:rPr>
              <w:t xml:space="preserve">Base analytique</w:t>
            </w:r>
          </w:p>
        </w:tc>
        <w:tc>
          <w:tcPr>
            <w:tcW w:type="dxa" w:w="2400"/>
            <w:shd w:fill="F2F2F2" w:val="clear"/>
          </w:tcPr>
          <w:p>
            <w:r>
              <w:rPr>
                <w:sz w:val="18"/>
                <w:szCs w:val="18"/>
              </w:rPr>
              <w:t xml:space="preserve">TimescaleDB</w:t>
            </w:r>
          </w:p>
        </w:tc>
        <w:tc>
          <w:tcPr>
            <w:tcW w:type="dxa" w:w="2400"/>
            <w:shd w:fill="F2F2F2" w:val="clear"/>
          </w:tcPr>
          <w:p>
            <w:r>
              <w:rPr>
                <w:sz w:val="18"/>
                <w:szCs w:val="18"/>
              </w:rPr>
              <w:t xml:space="preserve">ClickHouse</w:t>
            </w:r>
          </w:p>
        </w:tc>
        <w:tc>
          <w:tcPr>
            <w:tcW w:type="dxa" w:w="2760"/>
            <w:shd w:fill="F2F2F2" w:val="clear"/>
          </w:tcPr>
          <w:p>
            <w:r>
              <w:rPr>
                <w:sz w:val="18"/>
                <w:szCs w:val="18"/>
              </w:rPr>
              <w:t xml:space="preserve">Extension native de PostgreSQL, réduit la complexité opérationnelle du pilote</w:t>
            </w:r>
          </w:p>
        </w:tc>
      </w:tr>
      <w:tr>
        <w:tc>
          <w:tcPr>
            <w:tcW w:type="dxa" w:w="1800"/>
            <w:shd w:fill="FFFFFF" w:val="clear"/>
          </w:tcPr>
          <w:p>
            <w:r>
              <w:rPr>
                <w:sz w:val="18"/>
                <w:szCs w:val="18"/>
              </w:rPr>
              <w:t xml:space="preserve">Frontend Dashboard</w:t>
            </w:r>
          </w:p>
        </w:tc>
        <w:tc>
          <w:tcPr>
            <w:tcW w:type="dxa" w:w="2400"/>
            <w:shd w:fill="FFFFFF" w:val="clear"/>
          </w:tcPr>
          <w:p>
            <w:r>
              <w:rPr>
                <w:sz w:val="18"/>
                <w:szCs w:val="18"/>
              </w:rPr>
              <w:t xml:space="preserve">Next.js + Tailwind CSS</w:t>
            </w:r>
          </w:p>
        </w:tc>
        <w:tc>
          <w:tcPr>
            <w:tcW w:type="dxa" w:w="2400"/>
            <w:shd w:fill="FFFFFF" w:val="clear"/>
          </w:tcPr>
          <w:p>
            <w:r>
              <w:rPr>
                <w:sz w:val="18"/>
                <w:szCs w:val="18"/>
              </w:rPr>
              <w:t xml:space="preserve">Vue.js / Nuxt</w:t>
            </w:r>
          </w:p>
        </w:tc>
        <w:tc>
          <w:tcPr>
            <w:tcW w:type="dxa" w:w="2760"/>
            <w:shd w:fill="FFFFFF" w:val="clear"/>
          </w:tcPr>
          <w:p>
            <w:r>
              <w:rPr>
                <w:sz w:val="18"/>
                <w:szCs w:val="18"/>
              </w:rPr>
              <w:t xml:space="preserve">Écosystème de composants et performance de rendu hybride adaptés au design system</w:t>
            </w:r>
          </w:p>
        </w:tc>
      </w:tr>
      <w:tr>
        <w:tc>
          <w:tcPr>
            <w:tcW w:type="dxa" w:w="1800"/>
            <w:shd w:fill="F2F2F2" w:val="clear"/>
          </w:tcPr>
          <w:p>
            <w:r>
              <w:rPr>
                <w:sz w:val="18"/>
                <w:szCs w:val="18"/>
              </w:rPr>
              <w:t xml:space="preserve">Conteneurisation</w:t>
            </w:r>
          </w:p>
        </w:tc>
        <w:tc>
          <w:tcPr>
            <w:tcW w:type="dxa" w:w="2400"/>
            <w:shd w:fill="F2F2F2" w:val="clear"/>
          </w:tcPr>
          <w:p>
            <w:r>
              <w:rPr>
                <w:sz w:val="18"/>
                <w:szCs w:val="18"/>
              </w:rPr>
              <w:t xml:space="preserve">Docker Compose (pilote), Kubernetes (production)</w:t>
            </w:r>
          </w:p>
        </w:tc>
        <w:tc>
          <w:tcPr>
            <w:tcW w:type="dxa" w:w="2400"/>
            <w:shd w:fill="F2F2F2" w:val="clear"/>
          </w:tcPr>
          <w:p>
            <w:r>
              <w:rPr>
                <w:sz w:val="18"/>
                <w:szCs w:val="18"/>
              </w:rPr>
              <w:t xml:space="preserve">VM dédiées</w:t>
            </w:r>
          </w:p>
        </w:tc>
        <w:tc>
          <w:tcPr>
            <w:tcW w:type="dxa" w:w="2760"/>
            <w:shd w:fill="F2F2F2" w:val="clear"/>
          </w:tcPr>
          <w:p>
            <w:r>
              <w:rPr>
                <w:sz w:val="18"/>
                <w:szCs w:val="18"/>
              </w:rPr>
              <w:t xml:space="preserve">Portabilité et cohérence entre environnement de développement et de production</w:t>
            </w:r>
          </w:p>
        </w:tc>
      </w:tr>
      <w:tr>
        <w:tc>
          <w:tcPr>
            <w:tcW w:type="dxa" w:w="1800"/>
            <w:shd w:fill="FFFFFF" w:val="clear"/>
          </w:tcPr>
          <w:p>
            <w:r>
              <w:rPr>
                <w:sz w:val="18"/>
                <w:szCs w:val="18"/>
              </w:rPr>
              <w:t xml:space="preserve">Observabilité</w:t>
            </w:r>
          </w:p>
        </w:tc>
        <w:tc>
          <w:tcPr>
            <w:tcW w:type="dxa" w:w="2400"/>
            <w:shd w:fill="FFFFFF" w:val="clear"/>
          </w:tcPr>
          <w:p>
            <w:r>
              <w:rPr>
                <w:sz w:val="18"/>
                <w:szCs w:val="18"/>
              </w:rPr>
              <w:t xml:space="preserve">OpenTelemetry + Grafana</w:t>
            </w:r>
          </w:p>
        </w:tc>
        <w:tc>
          <w:tcPr>
            <w:tcW w:type="dxa" w:w="2400"/>
            <w:shd w:fill="FFFFFF" w:val="clear"/>
          </w:tcPr>
          <w:p>
            <w:r>
              <w:rPr>
                <w:sz w:val="18"/>
                <w:szCs w:val="18"/>
              </w:rPr>
              <w:t xml:space="preserve">Solution propriétaire (Datadog)</w:t>
            </w:r>
          </w:p>
        </w:tc>
        <w:tc>
          <w:tcPr>
            <w:tcW w:type="dxa" w:w="2760"/>
            <w:shd w:fill="FFFFFF" w:val="clear"/>
          </w:tcPr>
          <w:p>
            <w:r>
              <w:rPr>
                <w:sz w:val="18"/>
                <w:szCs w:val="18"/>
              </w:rPr>
              <w:t xml:space="preserve">Coût nul, portabilité, cohérent avec la contrainte de sobriété d'infrastructure</w:t>
            </w:r>
          </w:p>
        </w:tc>
      </w:tr>
    </w:tbl>
    <w:p>
      <w:pPr>
        <w:pStyle w:val="Heading1"/>
        <w:spacing w:after="180" w:before="380"/>
      </w:pPr>
      <w:r>
        <w:t xml:space="preserve">17. Architecture de déploiement</w:t>
      </w:r>
    </w:p>
    <w:p>
      <w:pPr>
        <w:pStyle w:val="Heading2"/>
        <w:spacing w:after="120" w:before="260"/>
      </w:pPr>
      <w:r>
        <w:t xml:space="preserve">17.1 Topologie pilote (CNSS, environnement de démonstration)</w:t>
      </w:r>
    </w:p>
    <w:p>
      <w:pPr>
        <w:spacing w:after="150" w:line="300"/>
        <w:jc w:val="both"/>
      </w:pPr>
      <w:r>
        <w:rPr>
          <w:b w:val="false"/>
          <w:bCs w:val="false"/>
          <w:i w:val="false"/>
          <w:iCs w:val="false"/>
        </w:rPr>
        <w:t xml:space="preserve">Un serveur applicatif unique (Docker Compose) hébergeant l'ensemble des services centraux, base de données PostgreSQL locale. Hébergement local ou cloud régional pour limiter la dépendance à une connectivité internationale.</w:t>
      </w:r>
    </w:p>
    <w:p>
      <w:pPr>
        <w:pStyle w:val="Heading2"/>
        <w:spacing w:after="120" w:before="260"/>
      </w:pPr>
      <w:r>
        <w:t xml:space="preserve">17.2 Topologie production (perspective d'évolution)</w:t>
      </w:r>
    </w:p>
    <w:p>
      <w:pPr>
        <w:spacing w:after="150" w:line="300"/>
        <w:jc w:val="both"/>
      </w:pPr>
      <w:r>
        <w:rPr>
          <w:b w:val="false"/>
          <w:bCs w:val="false"/>
          <w:i w:val="false"/>
          <w:iCs w:val="false"/>
        </w:rPr>
        <w:t xml:space="preserve">Orchestration Kubernetes avec mise à l'échelle horizontale des services de détection et de scoring, base de données répliquée, file de messages entre l'API et les moteurs d'analyse.</w:t>
      </w:r>
    </w:p>
    <w:p>
      <w:pPr>
        <w:pStyle w:val="Heading2"/>
        <w:spacing w:after="120" w:before="260"/>
      </w:pPr>
      <w:r>
        <w:t xml:space="preserve">17.3 CI/CD</w:t>
      </w:r>
    </w:p>
    <w:p>
      <w:pPr>
        <w:spacing w:after="150" w:line="300"/>
        <w:jc w:val="both"/>
      </w:pPr>
      <w:r>
        <w:rPr>
          <w:b w:val="false"/>
          <w:bCs w:val="false"/>
          <w:i w:val="false"/>
          <w:iCs w:val="false"/>
        </w:rPr>
        <w:t xml:space="preserve">Pipeline (GitHub Actions) exécutant lint, tests unitaires et scan de sécurité des dépendances à chaque push ; déploiement du pilote déclenché manuellement après validation des tests d'intégration.</w:t>
      </w:r>
    </w:p>
    <w:p>
      <w:pPr>
        <w:pStyle w:val="Heading2"/>
        <w:spacing w:after="120" w:before="260"/>
      </w:pPr>
      <w:r>
        <w:t xml:space="preserve">17.4 Résilience réseau</w:t>
      </w:r>
    </w:p>
    <w:p>
      <w:pPr>
        <w:spacing w:after="150" w:line="300"/>
        <w:jc w:val="both"/>
      </w:pPr>
      <w:r>
        <w:rPr>
          <w:b w:val="false"/>
          <w:bCs w:val="false"/>
          <w:i w:val="false"/>
          <w:iCs w:val="false"/>
        </w:rPr>
        <w:t xml:space="preserve">File locale persistante côté agent pour les événements non transmis, retransmission avec compression et regroupement par lots dès rétablissement de la connexion — réponse directe à la contrainte de connectivité intermittente.</w:t>
      </w:r>
    </w:p>
    <w:p>
      <w:pPr>
        <w:pStyle w:val="Heading1"/>
        <w:spacing w:after="180" w:before="380"/>
      </w:pPr>
      <w:r>
        <w:t xml:space="preserve">18. Design system et UX du Dashboard BI</w:t>
      </w:r>
    </w:p>
    <w:p>
      <w:pPr>
        <w:spacing w:after="150" w:line="300"/>
        <w:jc w:val="both"/>
      </w:pPr>
      <w:r>
        <w:rPr>
          <w:b w:val="false"/>
          <w:bCs w:val="false"/>
          <w:i w:val="false"/>
          <w:iCs w:val="false"/>
        </w:rPr>
        <w:t xml:space="preserve">Direction retenue : esthétique de type salle de contrôle de sécurité premium plutôt que tableau de bord SaaS générique. Palette sombre par défaut (Ink 950 #0B0F1A), quatre couleurs d'état strictement sémantiques (ALLOW émeraude, WARN ambre, MASK violet, BLOCK corail), typographie Hanken Grotesk pour l'interface et IBM Plex Mono réservée aux valeurs de données (scores, timestamps, tokens). Grille bento asymétrique pour la page d'accueil, deux rayons de coin intentionnels (4 px conteneurs de données, 14 px panneaux de synthèse). Spécification complète des tokens, composants (RiskGauge, RiskBadge, BentoPanel, EventTable, PolicyStudio) et règles d'accessibilité disponible dans le fichier context/05-design-system.md du kit d'implémentation.</w:t>
      </w:r>
    </w:p>
    <w:p>
      <w:pPr>
        <w:pStyle w:val="Heading1"/>
        <w:spacing w:after="180" w:before="380"/>
      </w:pPr>
      <w:r>
        <w:t xml:space="preserve">19. Stratégie de test et assurance qualité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shd w:fill="1F3864" w:val="clear"/>
          </w:tcPr>
          <w:p>
            <w:r>
              <w:rPr>
                <w:b/>
                <w:bCs/>
                <w:color w:val="FFFFFF"/>
                <w:sz w:val="18"/>
                <w:szCs w:val="18"/>
              </w:rPr>
              <w:t xml:space="preserve">Niveau de test</w:t>
            </w:r>
          </w:p>
        </w:tc>
        <w:tc>
          <w:tcPr>
            <w:tcW w:type="dxa" w:w="3800"/>
            <w:shd w:fill="1F3864" w:val="clear"/>
          </w:tcPr>
          <w:p>
            <w:r>
              <w:rPr>
                <w:b/>
                <w:bCs/>
                <w:color w:val="FFFFFF"/>
                <w:sz w:val="18"/>
                <w:szCs w:val="18"/>
              </w:rPr>
              <w:t xml:space="preserve">Portée</w:t>
            </w:r>
          </w:p>
        </w:tc>
        <w:tc>
          <w:tcPr>
            <w:tcW w:type="dxa" w:w="3360"/>
            <w:shd w:fill="1F3864" w:val="clear"/>
          </w:tcPr>
          <w:p>
            <w:r>
              <w:rPr>
                <w:b/>
                <w:bCs/>
                <w:color w:val="FFFFFF"/>
                <w:sz w:val="18"/>
                <w:szCs w:val="18"/>
              </w:rPr>
              <w:t xml:space="preserve">Lien avec le protocole de recherche</w:t>
            </w:r>
          </w:p>
        </w:tc>
      </w:tr>
      <w:tr>
        <w:tc>
          <w:tcPr>
            <w:tcW w:type="dxa" w:w="2200"/>
            <w:shd w:fill="F2F2F2" w:val="clear"/>
          </w:tcPr>
          <w:p>
            <w:r>
              <w:rPr>
                <w:sz w:val="18"/>
                <w:szCs w:val="18"/>
              </w:rPr>
              <w:t xml:space="preserve">Tests unitaires</w:t>
            </w:r>
          </w:p>
        </w:tc>
        <w:tc>
          <w:tcPr>
            <w:tcW w:type="dxa" w:w="3800"/>
            <w:shd w:fill="F2F2F2" w:val="clear"/>
          </w:tcPr>
          <w:p>
            <w:r>
              <w:rPr>
                <w:sz w:val="18"/>
                <w:szCs w:val="18"/>
              </w:rPr>
              <w:t xml:space="preserve">Chaque couche de détection, Risk Scoring, Policy Engine, isolément</w:t>
            </w:r>
          </w:p>
        </w:tc>
        <w:tc>
          <w:tcPr>
            <w:tcW w:type="dxa" w:w="3360"/>
            <w:shd w:fill="F2F2F2" w:val="clear"/>
          </w:tcPr>
          <w:p>
            <w:r>
              <w:rPr>
                <w:sz w:val="18"/>
                <w:szCs w:val="18"/>
              </w:rPr>
              <w:t xml:space="preserve">Fournit les métriques brutes de l'Objectif 4</w:t>
            </w:r>
          </w:p>
        </w:tc>
      </w:tr>
      <w:tr>
        <w:tc>
          <w:tcPr>
            <w:tcW w:type="dxa" w:w="2200"/>
            <w:shd w:fill="FFFFFF" w:val="clear"/>
          </w:tcPr>
          <w:p>
            <w:r>
              <w:rPr>
                <w:sz w:val="18"/>
                <w:szCs w:val="18"/>
              </w:rPr>
              <w:t xml:space="preserve">Tests d'intégration</w:t>
            </w:r>
          </w:p>
        </w:tc>
        <w:tc>
          <w:tcPr>
            <w:tcW w:type="dxa" w:w="3800"/>
            <w:shd w:fill="FFFFFF" w:val="clear"/>
          </w:tcPr>
          <w:p>
            <w:r>
              <w:rPr>
                <w:sz w:val="18"/>
                <w:szCs w:val="18"/>
              </w:rPr>
              <w:t xml:space="preserve">Chaîne complète interaction → décision → journalisation</w:t>
            </w:r>
          </w:p>
        </w:tc>
        <w:tc>
          <w:tcPr>
            <w:tcW w:type="dxa" w:w="3360"/>
            <w:shd w:fill="FFFFFF" w:val="clear"/>
          </w:tcPr>
          <w:p>
            <w:r>
              <w:rPr>
                <w:sz w:val="18"/>
                <w:szCs w:val="18"/>
              </w:rPr>
              <w:t xml:space="preserve">Valide le flux nominal (section 4.4)</w:t>
            </w:r>
          </w:p>
        </w:tc>
      </w:tr>
      <w:tr>
        <w:tc>
          <w:tcPr>
            <w:tcW w:type="dxa" w:w="2200"/>
            <w:shd w:fill="F2F2F2" w:val="clear"/>
          </w:tcPr>
          <w:p>
            <w:r>
              <w:rPr>
                <w:sz w:val="18"/>
                <w:szCs w:val="18"/>
              </w:rPr>
              <w:t xml:space="preserve">Tests de robustesse</w:t>
            </w:r>
          </w:p>
        </w:tc>
        <w:tc>
          <w:tcPr>
            <w:tcW w:type="dxa" w:w="3800"/>
            <w:shd w:fill="F2F2F2" w:val="clear"/>
          </w:tcPr>
          <w:p>
            <w:r>
              <w:rPr>
                <w:sz w:val="18"/>
                <w:szCs w:val="18"/>
              </w:rPr>
              <w:t xml:space="preserve">Mode déconnecté simulé, désactivation simulée de l'agent</w:t>
            </w:r>
          </w:p>
        </w:tc>
        <w:tc>
          <w:tcPr>
            <w:tcW w:type="dxa" w:w="3360"/>
            <w:shd w:fill="F2F2F2" w:val="clear"/>
          </w:tcPr>
          <w:p>
            <w:r>
              <w:rPr>
                <w:sz w:val="18"/>
                <w:szCs w:val="18"/>
              </w:rPr>
              <w:t xml:space="preserve">Valide H3 et H4</w:t>
            </w:r>
          </w:p>
        </w:tc>
      </w:tr>
      <w:tr>
        <w:tc>
          <w:tcPr>
            <w:tcW w:type="dxa" w:w="2200"/>
            <w:shd w:fill="FFFFFF" w:val="clear"/>
          </w:tcPr>
          <w:p>
            <w:r>
              <w:rPr>
                <w:sz w:val="18"/>
                <w:szCs w:val="18"/>
              </w:rPr>
              <w:t xml:space="preserve">Tests de sécurité</w:t>
            </w:r>
          </w:p>
        </w:tc>
        <w:tc>
          <w:tcPr>
            <w:tcW w:type="dxa" w:w="3800"/>
            <w:shd w:fill="FFFFFF" w:val="clear"/>
          </w:tcPr>
          <w:p>
            <w:r>
              <w:rPr>
                <w:sz w:val="18"/>
                <w:szCs w:val="18"/>
              </w:rPr>
              <w:t xml:space="preserve">Contrôle d'accès au Vault, tentative de lecture non autorisée</w:t>
            </w:r>
          </w:p>
        </w:tc>
        <w:tc>
          <w:tcPr>
            <w:tcW w:type="dxa" w:w="3360"/>
            <w:shd w:fill="FFFFFF" w:val="clear"/>
          </w:tcPr>
          <w:p>
            <w:r>
              <w:rPr>
                <w:sz w:val="18"/>
                <w:szCs w:val="18"/>
              </w:rPr>
              <w:t xml:space="preserve">Valide les contre-mesures STRIDE (section 13)</w:t>
            </w:r>
          </w:p>
        </w:tc>
      </w:tr>
      <w:tr>
        <w:tc>
          <w:tcPr>
            <w:tcW w:type="dxa" w:w="2200"/>
            <w:shd w:fill="F2F2F2" w:val="clear"/>
          </w:tcPr>
          <w:p>
            <w:r>
              <w:rPr>
                <w:sz w:val="18"/>
                <w:szCs w:val="18"/>
              </w:rPr>
              <w:t xml:space="preserve">Tests de non-régression du modèle</w:t>
            </w:r>
          </w:p>
        </w:tc>
        <w:tc>
          <w:tcPr>
            <w:tcW w:type="dxa" w:w="3800"/>
            <w:shd w:fill="F2F2F2" w:val="clear"/>
          </w:tcPr>
          <w:p>
            <w:r>
              <w:rPr>
                <w:sz w:val="18"/>
                <w:szCs w:val="18"/>
              </w:rPr>
              <w:t xml:space="preserve">Ré-exécution du jeu de test annoté à chaque modification de la couche NER/LLM</w:t>
            </w:r>
          </w:p>
        </w:tc>
        <w:tc>
          <w:tcPr>
            <w:tcW w:type="dxa" w:w="3360"/>
            <w:shd w:fill="F2F2F2" w:val="clear"/>
          </w:tcPr>
          <w:p>
            <w:r>
              <w:rPr>
                <w:sz w:val="18"/>
                <w:szCs w:val="18"/>
              </w:rPr>
              <w:t xml:space="preserve">Garantit la reproductibilité des résultats de l'Objectif 4</w:t>
            </w:r>
          </w:p>
        </w:tc>
      </w:tr>
    </w:tbl>
    <w:p>
      <w:pPr>
        <w:pStyle w:val="Heading1"/>
        <w:spacing w:after="180" w:before="380"/>
      </w:pPr>
      <w:r>
        <w:t xml:space="preserve">20. Observabilité et exploitation</w:t>
      </w:r>
    </w:p>
    <w:p>
      <w:pPr>
        <w:pStyle w:val="ListParagraph"/>
        <w:numPr>
          <w:ilvl w:val="0"/>
          <w:numId w:val="2"/>
        </w:numPr>
        <w:spacing w:after="90" w:line="280"/>
      </w:pPr>
      <w:r>
        <w:t xml:space="preserve">Traces distribuées (OpenTelemetry) sur le parcours interaction → détection → scoring → politique, pour le diagnostic de latence (NFR-01).</w:t>
      </w:r>
    </w:p>
    <w:p>
      <w:pPr>
        <w:pStyle w:val="ListParagraph"/>
        <w:numPr>
          <w:ilvl w:val="0"/>
          <w:numId w:val="2"/>
        </w:numPr>
        <w:spacing w:after="90" w:line="280"/>
      </w:pPr>
      <w:r>
        <w:t xml:space="preserve">Métriques techniques (Grafana) : taux d'erreur par service, latence P50/P95/P99, taux de dégradation vers le mode local.</w:t>
      </w:r>
    </w:p>
    <w:p>
      <w:pPr>
        <w:pStyle w:val="ListParagraph"/>
        <w:numPr>
          <w:ilvl w:val="0"/>
          <w:numId w:val="2"/>
        </w:numPr>
        <w:spacing w:after="90" w:line="280"/>
      </w:pPr>
      <w:r>
        <w:t xml:space="preserve">Alerte opérationnelle distincte des alertes de sécurité métier : une panne du Detection Engine central déclenche une alerte infrastructure, tandis qu'une perte de signal d'agent déclenche une alerte de sécurité (section 11).</w:t>
      </w:r>
    </w:p>
    <w:p>
      <w:pPr>
        <w:pStyle w:val="Heading1"/>
        <w:spacing w:after="180" w:before="380"/>
      </w:pPr>
      <w:r>
        <w:t xml:space="preserve">21. Journal des décisions d'architecture (ADR)</w:t>
      </w:r>
    </w:p>
    <w:p>
      <w:pPr>
        <w:pStyle w:val="Heading3"/>
        <w:spacing w:after="90" w:before="180"/>
      </w:pPr>
      <w:r>
        <w:t xml:space="preserve">ADR-001 — Traitement local par défaut plutôt que cloud-first</w:t>
      </w:r>
    </w:p>
    <w:p>
      <w:pPr>
        <w:spacing w:after="150" w:line="300"/>
        <w:jc w:val="both"/>
      </w:pPr>
      <w:r>
        <w:rPr>
          <w:b w:val="false"/>
          <w:bCs w:val="false"/>
          <w:i w:val="false"/>
          <w:iCs w:val="false"/>
        </w:rPr>
        <w:t xml:space="preserve">Contexte : contraintes de connectivité et de coût identifiées dans l'État de l'art. Décision : les couches 1 et 2 du Detection Engine, ainsi que la couche 3 (LLM local), s'exécutent sur l'agent sans dépendance réseau obligatoire. Conséquence : empreinte mémoire et complexité d'ingénierie accrues côté agent, en contrepartie d'une disponibilité fonctionnelle en connectivité dégradée (NFR-02).</w:t>
      </w:r>
    </w:p>
    <w:p>
      <w:pPr>
        <w:pStyle w:val="Heading3"/>
        <w:spacing w:after="90" w:before="180"/>
      </w:pPr>
      <w:r>
        <w:t xml:space="preserve">ADR-002 — Modèle de langage local et quantifié plutôt qu'API LLM externe pour la classification contextuelle</w:t>
      </w:r>
    </w:p>
    <w:p>
      <w:pPr>
        <w:spacing w:after="150" w:line="300"/>
        <w:jc w:val="both"/>
      </w:pPr>
      <w:r>
        <w:rPr>
          <w:b w:val="false"/>
          <w:bCs w:val="false"/>
          <w:i w:val="false"/>
          <w:iCs w:val="false"/>
        </w:rPr>
        <w:t xml:space="preserve">Contexte : la couche 3 du Detection Engine nécessite une capacité de compréhension contextuelle proche de celle d'un LLM. Décision : utiliser un modèle open-weight quantifié (Phi-3.5-mini-instruct, GGUF Q4_K_M) exécuté localement via llama.cpp, plutôt qu'un appel à une API LLM tierce. Conséquence : la donnée à classifier ne quitte jamais le poste avant la décision de politique, condition nécessaire à la cohérence du projet ; en contrepartie, la qualité de classification est probablement inférieure à celle d'un LLM de pointe, ce qui sera mesuré et discuté (Objectif 4).</w:t>
      </w:r>
    </w:p>
    <w:p>
      <w:pPr>
        <w:pStyle w:val="Heading3"/>
        <w:spacing w:after="90" w:before="180"/>
      </w:pPr>
      <w:r>
        <w:t xml:space="preserve">ADR-003 — Agent endpoint (extension + shim) plutôt que proxy réseau à interception TLS</w:t>
      </w:r>
    </w:p>
    <w:p>
      <w:pPr>
        <w:spacing w:after="150" w:line="300"/>
        <w:jc w:val="both"/>
      </w:pPr>
      <w:r>
        <w:rPr>
          <w:b w:val="false"/>
          <w:bCs w:val="false"/>
          <w:i w:val="false"/>
          <w:iCs w:val="false"/>
        </w:rPr>
        <w:t xml:space="preserve">Contexte : plusieurs mécanismes d'interception sont possibles (voir discussion sur les niveaux d'interception). Décision : retenir l'extension navigateur et le shim terminal pour le prototype, écarter le proxy réseau local avec autorité de certification. Conséquence : couverture partielle (hors applications desktop natives), mais surface de confiance et complexité d'ingénierie multi-plateforme significativement réduites.</w:t>
      </w:r>
    </w:p>
    <w:p>
      <w:pPr>
        <w:pStyle w:val="Heading3"/>
        <w:spacing w:after="90" w:before="180"/>
      </w:pPr>
      <w:r>
        <w:t xml:space="preserve">ADR-004 — Séparation stricte des domaines de données transactionnel et analytique</w:t>
      </w:r>
    </w:p>
    <w:p>
      <w:pPr>
        <w:spacing w:after="150" w:line="300"/>
        <w:jc w:val="both"/>
      </w:pPr>
      <w:r>
        <w:rPr>
          <w:b w:val="false"/>
          <w:bCs w:val="false"/>
          <w:i w:val="false"/>
          <w:iCs w:val="false"/>
        </w:rPr>
        <w:t xml:space="preserve">Contexte : nécessité de garantir qu'aucune donnée sensible en clair ne transite vers les composants d'analyse décisionnelle. Décision : le domaine analytique (SecurityEvent) ne référence que des catégories d'entités, jamais leur valeur. Conséquence : certaines analyses fines a posteriori (ex. recherche par valeur exacte) sont impossibles par construction — un compromis assumé en faveur de la confidentialité.</w:t>
      </w:r>
    </w:p>
    <w:p>
      <w:pPr>
        <w:pStyle w:val="Heading1"/>
        <w:spacing w:after="180" w:before="380"/>
      </w:pPr>
      <w:r>
        <w:t xml:space="preserve">22. Feuille de route d'implémentation</w:t>
      </w:r>
    </w:p>
    <w:p>
      <w:pPr>
        <w:spacing w:after="150" w:line="300"/>
        <w:jc w:val="both"/>
      </w:pPr>
      <w:r>
        <w:rPr>
          <w:b w:val="false"/>
          <w:bCs w:val="false"/>
          <w:i w:val="false"/>
          <w:iCs w:val="false"/>
        </w:rPr>
        <w:t xml:space="preserve">La feuille de route détaillée, alignée semaine par semaine sur les lots de travail du Protocole de recherche, est disponible dans ce dernier document (section Planning prévisionnel et livrables). Ce DAT constitue le livrable du lot 2 et sert de référence à l'ensemble du lot 3 (implémentation du prototype complet).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shd w:fill="1F3864" w:val="clear"/>
          </w:tcPr>
          <w:p>
            <w:r>
              <w:rPr>
                <w:b/>
                <w:bCs/>
                <w:color w:val="FFFFFF"/>
                <w:sz w:val="18"/>
                <w:szCs w:val="18"/>
              </w:rPr>
              <w:t xml:space="preserve">Étape</w:t>
            </w:r>
          </w:p>
        </w:tc>
        <w:tc>
          <w:tcPr>
            <w:tcW w:type="dxa" w:w="4560"/>
            <w:shd w:fill="1F3864" w:val="clear"/>
          </w:tcPr>
          <w:p>
            <w:r>
              <w:rPr>
                <w:b/>
                <w:bCs/>
                <w:color w:val="FFFFFF"/>
                <w:sz w:val="18"/>
                <w:szCs w:val="18"/>
              </w:rPr>
              <w:t xml:space="preserve">Portée</w:t>
            </w:r>
          </w:p>
        </w:tc>
        <w:tc>
          <w:tcPr>
            <w:tcW w:type="dxa" w:w="2400"/>
            <w:shd w:fill="1F3864" w:val="clear"/>
          </w:tcPr>
          <w:p>
            <w:r>
              <w:rPr>
                <w:b/>
                <w:bCs/>
                <w:color w:val="FFFFFF"/>
                <w:sz w:val="18"/>
                <w:szCs w:val="18"/>
              </w:rPr>
              <w:t xml:space="preserve">Référence</w:t>
            </w:r>
          </w:p>
        </w:tc>
      </w:tr>
      <w:tr>
        <w:tc>
          <w:tcPr>
            <w:tcW w:type="dxa" w:w="2400"/>
            <w:shd w:fill="F2F2F2" w:val="clear"/>
          </w:tcPr>
          <w:p>
            <w:r>
              <w:rPr>
                <w:sz w:val="18"/>
                <w:szCs w:val="18"/>
              </w:rPr>
              <w:t xml:space="preserve">Fondations techniques</w:t>
            </w:r>
          </w:p>
        </w:tc>
        <w:tc>
          <w:tcPr>
            <w:tcW w:type="dxa" w:w="4560"/>
            <w:shd w:fill="F2F2F2" w:val="clear"/>
          </w:tcPr>
          <w:p>
            <w:r>
              <w:rPr>
                <w:sz w:val="18"/>
                <w:szCs w:val="18"/>
              </w:rPr>
              <w:t xml:space="preserve">Monorepo, CI/CD, jeu de données synthétique</w:t>
            </w:r>
          </w:p>
        </w:tc>
        <w:tc>
          <w:tcPr>
            <w:tcW w:type="dxa" w:w="2400"/>
            <w:shd w:fill="F2F2F2" w:val="clear"/>
          </w:tcPr>
          <w:p>
            <w:r>
              <w:rPr>
                <w:sz w:val="18"/>
                <w:szCs w:val="18"/>
              </w:rPr>
              <w:t xml:space="preserve">Lot 3, début</w:t>
            </w:r>
          </w:p>
        </w:tc>
      </w:tr>
      <w:tr>
        <w:tc>
          <w:tcPr>
            <w:tcW w:type="dxa" w:w="2400"/>
            <w:shd w:fill="FFFFFF" w:val="clear"/>
          </w:tcPr>
          <w:p>
            <w:r>
              <w:rPr>
                <w:sz w:val="18"/>
                <w:szCs w:val="18"/>
              </w:rPr>
              <w:t xml:space="preserve">Moteur de détection</w:t>
            </w:r>
          </w:p>
        </w:tc>
        <w:tc>
          <w:tcPr>
            <w:tcW w:type="dxa" w:w="4560"/>
            <w:shd w:fill="FFFFFF" w:val="clear"/>
          </w:tcPr>
          <w:p>
            <w:r>
              <w:rPr>
                <w:sz w:val="18"/>
                <w:szCs w:val="18"/>
              </w:rPr>
              <w:t xml:space="preserve">Trois couches + évaluation comparative</w:t>
            </w:r>
          </w:p>
        </w:tc>
        <w:tc>
          <w:tcPr>
            <w:tcW w:type="dxa" w:w="2400"/>
            <w:shd w:fill="FFFFFF" w:val="clear"/>
          </w:tcPr>
          <w:p>
            <w:r>
              <w:rPr>
                <w:sz w:val="18"/>
                <w:szCs w:val="18"/>
              </w:rPr>
              <w:t xml:space="preserve">Lot 3, Objectif 4</w:t>
            </w:r>
          </w:p>
        </w:tc>
      </w:tr>
      <w:tr>
        <w:tc>
          <w:tcPr>
            <w:tcW w:type="dxa" w:w="2400"/>
            <w:shd w:fill="F2F2F2" w:val="clear"/>
          </w:tcPr>
          <w:p>
            <w:r>
              <w:rPr>
                <w:sz w:val="18"/>
                <w:szCs w:val="18"/>
              </w:rPr>
              <w:t xml:space="preserve">Risk Scoring, Policy, Vault</w:t>
            </w:r>
          </w:p>
        </w:tc>
        <w:tc>
          <w:tcPr>
            <w:tcW w:type="dxa" w:w="4560"/>
            <w:shd w:fill="F2F2F2" w:val="clear"/>
          </w:tcPr>
          <w:p>
            <w:r>
              <w:rPr>
                <w:sz w:val="18"/>
                <w:szCs w:val="18"/>
              </w:rPr>
              <w:t xml:space="preserve">Sections 9 et 10 de ce document</w:t>
            </w:r>
          </w:p>
        </w:tc>
        <w:tc>
          <w:tcPr>
            <w:tcW w:type="dxa" w:w="2400"/>
            <w:shd w:fill="F2F2F2" w:val="clear"/>
          </w:tcPr>
          <w:p>
            <w:r>
              <w:rPr>
                <w:sz w:val="18"/>
                <w:szCs w:val="18"/>
              </w:rPr>
              <w:t xml:space="preserve">Lot 3</w:t>
            </w:r>
          </w:p>
        </w:tc>
      </w:tr>
      <w:tr>
        <w:tc>
          <w:tcPr>
            <w:tcW w:type="dxa" w:w="2400"/>
            <w:shd w:fill="FFFFFF" w:val="clear"/>
          </w:tcPr>
          <w:p>
            <w:r>
              <w:rPr>
                <w:sz w:val="18"/>
                <w:szCs w:val="18"/>
              </w:rPr>
              <w:t xml:space="preserve">Agent endpoint (A1 + A2)</w:t>
            </w:r>
          </w:p>
        </w:tc>
        <w:tc>
          <w:tcPr>
            <w:tcW w:type="dxa" w:w="4560"/>
            <w:shd w:fill="FFFFFF" w:val="clear"/>
          </w:tcPr>
          <w:p>
            <w:r>
              <w:rPr>
                <w:sz w:val="18"/>
                <w:szCs w:val="18"/>
              </w:rPr>
              <w:t xml:space="preserve">Section 7.1 et 11 de ce document</w:t>
            </w:r>
          </w:p>
        </w:tc>
        <w:tc>
          <w:tcPr>
            <w:tcW w:type="dxa" w:w="2400"/>
            <w:shd w:fill="FFFFFF" w:val="clear"/>
          </w:tcPr>
          <w:p>
            <w:r>
              <w:rPr>
                <w:sz w:val="18"/>
                <w:szCs w:val="18"/>
              </w:rPr>
              <w:t xml:space="preserve">Lot 3</w:t>
            </w:r>
          </w:p>
        </w:tc>
      </w:tr>
      <w:tr>
        <w:tc>
          <w:tcPr>
            <w:tcW w:type="dxa" w:w="2400"/>
            <w:shd w:fill="F2F2F2" w:val="clear"/>
          </w:tcPr>
          <w:p>
            <w:r>
              <w:rPr>
                <w:sz w:val="18"/>
                <w:szCs w:val="18"/>
              </w:rPr>
              <w:t xml:space="preserve">Dashboard BI</w:t>
            </w:r>
          </w:p>
        </w:tc>
        <w:tc>
          <w:tcPr>
            <w:tcW w:type="dxa" w:w="4560"/>
            <w:shd w:fill="F2F2F2" w:val="clear"/>
          </w:tcPr>
          <w:p>
            <w:r>
              <w:rPr>
                <w:sz w:val="18"/>
                <w:szCs w:val="18"/>
              </w:rPr>
              <w:t xml:space="preserve">Section 18 de ce document</w:t>
            </w:r>
          </w:p>
        </w:tc>
        <w:tc>
          <w:tcPr>
            <w:tcW w:type="dxa" w:w="2400"/>
            <w:shd w:fill="F2F2F2" w:val="clear"/>
          </w:tcPr>
          <w:p>
            <w:r>
              <w:rPr>
                <w:sz w:val="18"/>
                <w:szCs w:val="18"/>
              </w:rPr>
              <w:t xml:space="preserve">Lot 3</w:t>
            </w:r>
          </w:p>
        </w:tc>
      </w:tr>
      <w:tr>
        <w:tc>
          <w:tcPr>
            <w:tcW w:type="dxa" w:w="2400"/>
            <w:shd w:fill="FFFFFF" w:val="clear"/>
          </w:tcPr>
          <w:p>
            <w:r>
              <w:rPr>
                <w:sz w:val="18"/>
                <w:szCs w:val="18"/>
              </w:rPr>
              <w:t xml:space="preserve">Intégration et robustesse</w:t>
            </w:r>
          </w:p>
        </w:tc>
        <w:tc>
          <w:tcPr>
            <w:tcW w:type="dxa" w:w="4560"/>
            <w:shd w:fill="FFFFFF" w:val="clear"/>
          </w:tcPr>
          <w:p>
            <w:r>
              <w:rPr>
                <w:sz w:val="18"/>
                <w:szCs w:val="18"/>
              </w:rPr>
              <w:t xml:space="preserve">Sections 11, 13, 19</w:t>
            </w:r>
          </w:p>
        </w:tc>
        <w:tc>
          <w:tcPr>
            <w:tcW w:type="dxa" w:w="2400"/>
            <w:shd w:fill="FFFFFF" w:val="clear"/>
          </w:tcPr>
          <w:p>
            <w:r>
              <w:rPr>
                <w:sz w:val="18"/>
                <w:szCs w:val="18"/>
              </w:rPr>
              <w:t xml:space="preserve">Lot 3, fin</w:t>
            </w:r>
          </w:p>
        </w:tc>
      </w:tr>
    </w:tbl>
    <w:p>
      <w:pPr>
        <w:pStyle w:val="Heading1"/>
        <w:spacing w:after="180" w:before="380"/>
      </w:pPr>
      <w:r>
        <w:t xml:space="preserve">23. Annexe — Correspondance réglementaire et référentiels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160"/>
        <w:gridCol w:w="2600"/>
      </w:tblGrid>
      <w:tr>
        <w:trPr>
          <w:tblHeader/>
        </w:trPr>
        <w:tc>
          <w:tcPr>
            <w:tcW w:type="dxa" w:w="2200"/>
            <w:shd w:fill="1F3864" w:val="clear"/>
          </w:tcPr>
          <w:p>
            <w:r>
              <w:rPr>
                <w:b/>
                <w:bCs/>
                <w:color w:val="FFFFFF"/>
                <w:sz w:val="18"/>
                <w:szCs w:val="18"/>
              </w:rPr>
              <w:t xml:space="preserve">Composant</w:t>
            </w:r>
          </w:p>
        </w:tc>
        <w:tc>
          <w:tcPr>
            <w:tcW w:type="dxa" w:w="2400"/>
            <w:shd w:fill="1F3864" w:val="clear"/>
          </w:tcPr>
          <w:p>
            <w:r>
              <w:rPr>
                <w:b/>
                <w:bCs/>
                <w:color w:val="FFFFFF"/>
                <w:sz w:val="18"/>
                <w:szCs w:val="18"/>
              </w:rPr>
              <w:t xml:space="preserve">OWASP LLM Top 10 (2025)</w:t>
            </w:r>
          </w:p>
        </w:tc>
        <w:tc>
          <w:tcPr>
            <w:tcW w:type="dxa" w:w="2160"/>
            <w:shd w:fill="1F3864" w:val="clear"/>
          </w:tcPr>
          <w:p>
            <w:r>
              <w:rPr>
                <w:b/>
                <w:bCs/>
                <w:color w:val="FFFFFF"/>
                <w:sz w:val="18"/>
                <w:szCs w:val="18"/>
              </w:rPr>
              <w:t xml:space="preserve">NIST AI RMF</w:t>
            </w:r>
          </w:p>
        </w:tc>
        <w:tc>
          <w:tcPr>
            <w:tcW w:type="dxa" w:w="2600"/>
            <w:shd w:fill="1F3864" w:val="clear"/>
          </w:tcPr>
          <w:p>
            <w:r>
              <w:rPr>
                <w:b/>
                <w:bCs/>
                <w:color w:val="FFFFFF"/>
                <w:sz w:val="18"/>
                <w:szCs w:val="18"/>
              </w:rPr>
              <w:t xml:space="preserve">Cadre régional (exemple : CNSS Bénin)</w:t>
            </w:r>
          </w:p>
        </w:tc>
      </w:tr>
      <w:tr>
        <w:tc>
          <w:tcPr>
            <w:tcW w:type="dxa" w:w="2200"/>
            <w:shd w:fill="F2F2F2" w:val="clear"/>
          </w:tcPr>
          <w:p>
            <w:r>
              <w:rPr>
                <w:sz w:val="18"/>
                <w:szCs w:val="18"/>
              </w:rPr>
              <w:t xml:space="preserve">Detection Engine</w:t>
            </w:r>
          </w:p>
        </w:tc>
        <w:tc>
          <w:tcPr>
            <w:tcW w:type="dxa" w:w="2400"/>
            <w:shd w:fill="F2F2F2" w:val="clear"/>
          </w:tcPr>
          <w:p>
            <w:r>
              <w:rPr>
                <w:sz w:val="18"/>
                <w:szCs w:val="18"/>
              </w:rPr>
              <w:t xml:space="preserve">LLM02 – Sensitive Information Disclosure</w:t>
            </w:r>
          </w:p>
        </w:tc>
        <w:tc>
          <w:tcPr>
            <w:tcW w:type="dxa" w:w="2160"/>
            <w:shd w:fill="F2F2F2" w:val="clear"/>
          </w:tcPr>
          <w:p>
            <w:r>
              <w:rPr>
                <w:sz w:val="18"/>
                <w:szCs w:val="18"/>
              </w:rPr>
              <w:t xml:space="preserve">Map / Measure</w:t>
            </w:r>
          </w:p>
        </w:tc>
        <w:tc>
          <w:tcPr>
            <w:tcW w:type="dxa" w:w="2600"/>
            <w:shd w:fill="F2F2F2" w:val="clear"/>
          </w:tcPr>
          <w:p>
            <w:r>
              <w:rPr>
                <w:sz w:val="18"/>
                <w:szCs w:val="18"/>
              </w:rPr>
              <w:t xml:space="preserve">Convention de Malabo, Art. 14</w:t>
            </w:r>
          </w:p>
        </w:tc>
      </w:tr>
      <w:tr>
        <w:tc>
          <w:tcPr>
            <w:tcW w:type="dxa" w:w="2200"/>
            <w:shd w:fill="FFFFFF" w:val="clear"/>
          </w:tcPr>
          <w:p>
            <w:r>
              <w:rPr>
                <w:sz w:val="18"/>
                <w:szCs w:val="18"/>
              </w:rPr>
              <w:t xml:space="preserve">Risk Scoring Engine</w:t>
            </w:r>
          </w:p>
        </w:tc>
        <w:tc>
          <w:tcPr>
            <w:tcW w:type="dxa" w:w="2400"/>
            <w:shd w:fill="FFFFFF" w:val="clear"/>
          </w:tcPr>
          <w:p>
            <w:r>
              <w:rPr>
                <w:sz w:val="18"/>
                <w:szCs w:val="18"/>
              </w:rPr>
              <w:t xml:space="preserve">LLM02, LLM07</w:t>
            </w:r>
          </w:p>
        </w:tc>
        <w:tc>
          <w:tcPr>
            <w:tcW w:type="dxa" w:w="2160"/>
            <w:shd w:fill="FFFFFF" w:val="clear"/>
          </w:tcPr>
          <w:p>
            <w:r>
              <w:rPr>
                <w:sz w:val="18"/>
                <w:szCs w:val="18"/>
              </w:rPr>
              <w:t xml:space="preserve">Measure</w:t>
            </w:r>
          </w:p>
        </w:tc>
        <w:tc>
          <w:tcPr>
            <w:tcW w:type="dxa" w:w="2600"/>
            <w:shd w:fill="FFFFFF" w:val="clear"/>
          </w:tcPr>
          <w:p>
            <w:r>
              <w:rPr>
                <w:sz w:val="18"/>
                <w:szCs w:val="18"/>
              </w:rPr>
              <w:t xml:space="preserve">Malabo — transfert transfrontalier</w:t>
            </w:r>
          </w:p>
        </w:tc>
      </w:tr>
      <w:tr>
        <w:tc>
          <w:tcPr>
            <w:tcW w:type="dxa" w:w="2200"/>
            <w:shd w:fill="F2F2F2" w:val="clear"/>
          </w:tcPr>
          <w:p>
            <w:r>
              <w:rPr>
                <w:sz w:val="18"/>
                <w:szCs w:val="18"/>
              </w:rPr>
              <w:t xml:space="preserve">Policy Engine</w:t>
            </w:r>
          </w:p>
        </w:tc>
        <w:tc>
          <w:tcPr>
            <w:tcW w:type="dxa" w:w="2400"/>
            <w:shd w:fill="F2F2F2" w:val="clear"/>
          </w:tcPr>
          <w:p>
            <w:r>
              <w:rPr>
                <w:sz w:val="18"/>
                <w:szCs w:val="18"/>
              </w:rPr>
              <w:t xml:space="preserve">LLM02, LLM06 – Excessive Agency</w:t>
            </w:r>
          </w:p>
        </w:tc>
        <w:tc>
          <w:tcPr>
            <w:tcW w:type="dxa" w:w="2160"/>
            <w:shd w:fill="F2F2F2" w:val="clear"/>
          </w:tcPr>
          <w:p>
            <w:r>
              <w:rPr>
                <w:sz w:val="18"/>
                <w:szCs w:val="18"/>
              </w:rPr>
              <w:t xml:space="preserve">Manage</w:t>
            </w:r>
          </w:p>
        </w:tc>
        <w:tc>
          <w:tcPr>
            <w:tcW w:type="dxa" w:w="2600"/>
            <w:shd w:fill="F2F2F2" w:val="clear"/>
          </w:tcPr>
          <w:p>
            <w:r>
              <w:rPr>
                <w:sz w:val="18"/>
                <w:szCs w:val="18"/>
              </w:rPr>
              <w:t xml:space="preserve">Acte additionnel CEDEAO (2010)</w:t>
            </w:r>
          </w:p>
        </w:tc>
      </w:tr>
      <w:tr>
        <w:tc>
          <w:tcPr>
            <w:tcW w:type="dxa" w:w="2200"/>
            <w:shd w:fill="FFFFFF" w:val="clear"/>
          </w:tcPr>
          <w:p>
            <w:r>
              <w:rPr>
                <w:sz w:val="18"/>
                <w:szCs w:val="18"/>
              </w:rPr>
              <w:t xml:space="preserve">Anonymization Vault</w:t>
            </w:r>
          </w:p>
        </w:tc>
        <w:tc>
          <w:tcPr>
            <w:tcW w:type="dxa" w:w="2400"/>
            <w:shd w:fill="FFFFFF" w:val="clear"/>
          </w:tcPr>
          <w:p>
            <w:r>
              <w:rPr>
                <w:sz w:val="18"/>
                <w:szCs w:val="18"/>
              </w:rPr>
              <w:t xml:space="preserve">LLM02</w:t>
            </w:r>
          </w:p>
        </w:tc>
        <w:tc>
          <w:tcPr>
            <w:tcW w:type="dxa" w:w="2160"/>
            <w:shd w:fill="FFFFFF" w:val="clear"/>
          </w:tcPr>
          <w:p>
            <w:r>
              <w:rPr>
                <w:sz w:val="18"/>
                <w:szCs w:val="18"/>
              </w:rPr>
              <w:t xml:space="preserve">Manage</w:t>
            </w:r>
          </w:p>
        </w:tc>
        <w:tc>
          <w:tcPr>
            <w:tcW w:type="dxa" w:w="2600"/>
            <w:shd w:fill="FFFFFF" w:val="clear"/>
          </w:tcPr>
          <w:p>
            <w:r>
              <w:rPr>
                <w:sz w:val="18"/>
                <w:szCs w:val="18"/>
              </w:rPr>
              <w:t xml:space="preserve">Principe de minimisation (Malabo / APDP)</w:t>
            </w:r>
          </w:p>
        </w:tc>
      </w:tr>
      <w:tr>
        <w:tc>
          <w:tcPr>
            <w:tcW w:type="dxa" w:w="2200"/>
            <w:shd w:fill="F2F2F2" w:val="clear"/>
          </w:tcPr>
          <w:p>
            <w:r>
              <w:rPr>
                <w:sz w:val="18"/>
                <w:szCs w:val="18"/>
              </w:rPr>
              <w:t xml:space="preserve">Audit &amp; Telemetry Store</w:t>
            </w:r>
          </w:p>
        </w:tc>
        <w:tc>
          <w:tcPr>
            <w:tcW w:type="dxa" w:w="2400"/>
            <w:shd w:fill="F2F2F2" w:val="clear"/>
          </w:tcPr>
          <w:p>
            <w:r>
              <w:rPr>
                <w:sz w:val="18"/>
                <w:szCs w:val="18"/>
              </w:rPr>
              <w:t xml:space="preserve">LLM07</w:t>
            </w:r>
          </w:p>
        </w:tc>
        <w:tc>
          <w:tcPr>
            <w:tcW w:type="dxa" w:w="2160"/>
            <w:shd w:fill="F2F2F2" w:val="clear"/>
          </w:tcPr>
          <w:p>
            <w:r>
              <w:rPr>
                <w:sz w:val="18"/>
                <w:szCs w:val="18"/>
              </w:rPr>
              <w:t xml:space="preserve">Manage / Govern</w:t>
            </w:r>
          </w:p>
        </w:tc>
        <w:tc>
          <w:tcPr>
            <w:tcW w:type="dxa" w:w="2600"/>
            <w:shd w:fill="F2F2F2" w:val="clear"/>
          </w:tcPr>
          <w:p>
            <w:r>
              <w:rPr>
                <w:sz w:val="18"/>
                <w:szCs w:val="18"/>
              </w:rPr>
              <w:t xml:space="preserve">Exigence de traçabilité APDP Bénin</w:t>
            </w:r>
          </w:p>
        </w:tc>
      </w:tr>
      <w:tr>
        <w:tc>
          <w:tcPr>
            <w:tcW w:type="dxa" w:w="2200"/>
            <w:shd w:fill="FFFFFF" w:val="clear"/>
          </w:tcPr>
          <w:p>
            <w:r>
              <w:rPr>
                <w:sz w:val="18"/>
                <w:szCs w:val="18"/>
              </w:rPr>
              <w:t xml:space="preserve">Dashboard BI</w:t>
            </w:r>
          </w:p>
        </w:tc>
        <w:tc>
          <w:tcPr>
            <w:tcW w:type="dxa" w:w="2400"/>
            <w:shd w:fill="FFFFFF" w:val="clear"/>
          </w:tcPr>
          <w:p>
            <w:r>
              <w:rPr>
                <w:sz w:val="18"/>
                <w:szCs w:val="18"/>
              </w:rPr>
              <w:t xml:space="preserve">— (transverse)</w:t>
            </w:r>
          </w:p>
        </w:tc>
        <w:tc>
          <w:tcPr>
            <w:tcW w:type="dxa" w:w="2160"/>
            <w:shd w:fill="FFFFFF" w:val="clear"/>
          </w:tcPr>
          <w:p>
            <w:r>
              <w:rPr>
                <w:sz w:val="18"/>
                <w:szCs w:val="18"/>
              </w:rPr>
              <w:t xml:space="preserve">Govern</w:t>
            </w:r>
          </w:p>
        </w:tc>
        <w:tc>
          <w:tcPr>
            <w:tcW w:type="dxa" w:w="2600"/>
            <w:shd w:fill="FFFFFF" w:val="clear"/>
          </w:tcPr>
          <w:p>
            <w:r>
              <w:rPr>
                <w:sz w:val="18"/>
                <w:szCs w:val="18"/>
              </w:rPr>
              <w:t xml:space="preserve">Reporting de conformité entreprise</w:t>
            </w:r>
          </w:p>
        </w:tc>
      </w:tr>
    </w:tbl>
    <w:p>
      <w:pPr>
        <w:spacing w:after="150" w:line="300"/>
        <w:jc w:val="both"/>
      </w:pPr>
      <w:r>
        <w:rPr>
          <w:b w:val="false"/>
          <w:bCs w:val="false"/>
          <w:i w:val="false"/>
          <w:iCs w:val="false"/>
        </w:rPr>
        <w:t xml:space="preserve">Ce tableau est instancié pour le cadre réglementaire du Bénin (terrain de stage) ; le module d'adaptabilité multi-juridictionnelle (Idée de projet, section 11 bis) permet, en conception, de substituer ce même tableau par un autre référentiel régional (RGPD/EU AI Act, NIST/lois étatiques américaines) selon le pays de déploiement de l'entreprise cliente.</w:t>
      </w:r>
    </w:p>
    <w:p>
      <w:pPr>
        <w:spacing w:after="200"/>
      </w:pPr>
      <w:r>
        <w:rPr>
          <w:i/>
          <w:iCs/>
          <w:color w:val="666666"/>
          <w:sz w:val="18"/>
          <w:szCs w:val="18"/>
        </w:rPr>
        <w:t xml:space="preserve">Fin du Document d'Architecture Technique. Ce document est complété par le kit d'implémentation (prompt, rules, context, skills) qui opérationnalise chacune de ses sections en instructions exploitables par l'équipe de développement.</w:t>
      </w:r>
    </w:p>
    <w:sectPr>
      <w:pgSz w:w="11906" w:h="16838" w:orient="portrait"/>
      <w:pgMar w:top="1000" w:right="850" w:bottom="10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2E5395"/>
      <w:sz w:val="25"/>
      <w:szCs w:val="25"/>
    </w:rPr>
  </w:style>
  <w:style w:type="paragraph" w:styleId="Heading3">
    <w:name w:val="Heading 3"/>
    <w:basedOn w:val="Normal"/>
    <w:next w:val="Normal"/>
    <w:qFormat/>
    <w:pPr>
      <w:spacing w:after="90" w:before="180"/>
      <w:outlineLvl w:val="2"/>
    </w:pPr>
    <w:rPr>
      <w:rFonts w:ascii="Calibri" w:cs="Calibri" w:eastAsia="Calibri" w:hAnsi="Calibri"/>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2026-09-27T15:57:57.211Z</dcterms:created>
  <dcterms:modified xsi:type="dcterms:W3CDTF">2026-09-27T15:57:57.221Z</dcterms:modified>
</cp:coreProperties>
</file>

<file path=docProps/custom.xml><?xml version="1.0" encoding="utf-8"?>
<Properties xmlns="http://schemas.openxmlformats.org/officeDocument/2006/custom-properties" xmlns:vt="http://schemas.openxmlformats.org/officeDocument/2006/docPropsVTypes"/>
</file>