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53EA" w14:textId="77777777" w:rsidR="00876DF2" w:rsidRPr="00473C38" w:rsidRDefault="00000000" w:rsidP="00473C38">
      <w:pPr>
        <w:spacing w:line="360" w:lineRule="auto"/>
        <w:jc w:val="center"/>
      </w:pPr>
      <w:r w:rsidRPr="00473C38">
        <w:rPr>
          <w:b/>
          <w:bCs/>
          <w:color w:val="1F3864"/>
          <w:sz w:val="40"/>
          <w:szCs w:val="40"/>
        </w:rPr>
        <w:t>Reflection Report</w:t>
      </w:r>
    </w:p>
    <w:p w14:paraId="347CF30D" w14:textId="77777777" w:rsidR="00876DF2" w:rsidRPr="00473C38" w:rsidRDefault="00000000" w:rsidP="00473C38">
      <w:pPr>
        <w:spacing w:line="360" w:lineRule="auto"/>
        <w:jc w:val="center"/>
        <w:rPr>
          <w:sz w:val="22"/>
          <w:szCs w:val="22"/>
        </w:rPr>
      </w:pPr>
      <w:r w:rsidRPr="00473C38">
        <w:rPr>
          <w:i/>
          <w:iCs/>
          <w:color w:val="444444"/>
          <w:sz w:val="28"/>
          <w:szCs w:val="28"/>
        </w:rPr>
        <w:t>IBM HR Analytics Employee Attrition Project</w:t>
      </w:r>
    </w:p>
    <w:p w14:paraId="388518A8" w14:textId="314A8702" w:rsidR="00876DF2" w:rsidRPr="00473C38" w:rsidRDefault="00000000" w:rsidP="00473C38">
      <w:pPr>
        <w:pStyle w:val="Heading1"/>
        <w:numPr>
          <w:ilvl w:val="0"/>
          <w:numId w:val="2"/>
        </w:numPr>
        <w:spacing w:before="240" w:after="140" w:line="360" w:lineRule="auto"/>
        <w:rPr>
          <w:b/>
          <w:bCs/>
          <w:color w:val="auto"/>
          <w:sz w:val="28"/>
          <w:szCs w:val="28"/>
        </w:rPr>
      </w:pPr>
      <w:r w:rsidRPr="00473C38">
        <w:rPr>
          <w:b/>
          <w:bCs/>
          <w:color w:val="auto"/>
          <w:sz w:val="28"/>
          <w:szCs w:val="28"/>
        </w:rPr>
        <w:t>Learning Experience</w:t>
      </w:r>
    </w:p>
    <w:p w14:paraId="650FC430" w14:textId="5ABCA53D" w:rsidR="00876DF2" w:rsidRPr="00473C38" w:rsidRDefault="00000000" w:rsidP="00473C38">
      <w:pPr>
        <w:spacing w:after="160" w:line="360" w:lineRule="auto"/>
        <w:jc w:val="both"/>
        <w:rPr>
          <w:sz w:val="22"/>
          <w:szCs w:val="22"/>
        </w:rPr>
      </w:pPr>
      <w:r w:rsidRPr="00473C38">
        <w:rPr>
          <w:sz w:val="24"/>
          <w:szCs w:val="24"/>
        </w:rPr>
        <w:t>Working through this project end to end</w:t>
      </w:r>
      <w:r w:rsidR="00473C38">
        <w:rPr>
          <w:sz w:val="24"/>
          <w:szCs w:val="24"/>
        </w:rPr>
        <w:t xml:space="preserve">, </w:t>
      </w:r>
      <w:r w:rsidRPr="00473C38">
        <w:rPr>
          <w:sz w:val="24"/>
          <w:szCs w:val="24"/>
        </w:rPr>
        <w:t>from business research, through Pandas-based inspection and cleaning, to visual exploration and evidence-based insight generation reinforced how much of applied data science is really a sequence of small, disciplined checks rather than one large analytical leap. The most valuable part of the process was resisting the urge to jump straight to charts: spending time up front confirming the dataset's shape, data types, missing values, duplicates, and constant columns meant that every visualization and every insight afterward could be trusted, rather than quietly built on unverified assumptions.</w:t>
      </w:r>
    </w:p>
    <w:p w14:paraId="28E65981" w14:textId="3556B793" w:rsidR="00876DF2" w:rsidRPr="00473C38" w:rsidRDefault="00000000" w:rsidP="00473C38">
      <w:pPr>
        <w:pStyle w:val="Heading1"/>
        <w:numPr>
          <w:ilvl w:val="0"/>
          <w:numId w:val="2"/>
        </w:numPr>
        <w:spacing w:before="240" w:after="140" w:line="360" w:lineRule="auto"/>
        <w:rPr>
          <w:b/>
          <w:bCs/>
          <w:color w:val="auto"/>
          <w:sz w:val="28"/>
          <w:szCs w:val="28"/>
        </w:rPr>
      </w:pPr>
      <w:r w:rsidRPr="00473C38">
        <w:rPr>
          <w:b/>
          <w:bCs/>
          <w:color w:val="auto"/>
          <w:sz w:val="28"/>
          <w:szCs w:val="28"/>
        </w:rPr>
        <w:t>What Went Well</w:t>
      </w:r>
    </w:p>
    <w:p w14:paraId="28046B34" w14:textId="69BB70E8" w:rsidR="00876DF2" w:rsidRPr="00473C38" w:rsidRDefault="00000000" w:rsidP="00473C38">
      <w:pPr>
        <w:spacing w:after="160" w:line="360" w:lineRule="auto"/>
        <w:jc w:val="both"/>
        <w:rPr>
          <w:sz w:val="22"/>
          <w:szCs w:val="22"/>
        </w:rPr>
      </w:pPr>
      <w:r w:rsidRPr="00473C38">
        <w:rPr>
          <w:sz w:val="24"/>
          <w:szCs w:val="24"/>
        </w:rPr>
        <w:t>The dataset itself was clean by design  no missing values, no duplicate rows which let the exercise focus on the parts of the workflow that require judgment rather than mechanical fixing: deciding which columns were genuinely non-informative (</w:t>
      </w:r>
      <w:proofErr w:type="spellStart"/>
      <w:r w:rsidRPr="00473C38">
        <w:rPr>
          <w:sz w:val="24"/>
          <w:szCs w:val="24"/>
        </w:rPr>
        <w:t>EmployeeCount</w:t>
      </w:r>
      <w:proofErr w:type="spellEnd"/>
      <w:r w:rsidRPr="00473C38">
        <w:rPr>
          <w:sz w:val="24"/>
          <w:szCs w:val="24"/>
        </w:rPr>
        <w:t xml:space="preserve">, Over18, </w:t>
      </w:r>
      <w:proofErr w:type="spellStart"/>
      <w:r w:rsidRPr="00473C38">
        <w:rPr>
          <w:sz w:val="24"/>
          <w:szCs w:val="24"/>
        </w:rPr>
        <w:t>StandardHours</w:t>
      </w:r>
      <w:proofErr w:type="spellEnd"/>
      <w:r w:rsidRPr="00473C38">
        <w:rPr>
          <w:sz w:val="24"/>
          <w:szCs w:val="24"/>
        </w:rPr>
        <w:t>), choosing chart types that would surface the clearest signal for a given question, and pairing raw counts with normalized rates so that a large department like Research &amp; Development wasn't mistaken for a high-attrition one simply because of its size. Grounding every visual interpretation in an actual computed statistic, rather than a general impression from the chart, made the business insights section feel far more defensible.</w:t>
      </w:r>
    </w:p>
    <w:p w14:paraId="4C916C5A" w14:textId="4F20BB6B" w:rsidR="00876DF2" w:rsidRPr="00473C38" w:rsidRDefault="00000000" w:rsidP="00473C38">
      <w:pPr>
        <w:pStyle w:val="Heading1"/>
        <w:numPr>
          <w:ilvl w:val="0"/>
          <w:numId w:val="2"/>
        </w:numPr>
        <w:spacing w:before="240" w:after="140" w:line="360" w:lineRule="auto"/>
        <w:rPr>
          <w:b/>
          <w:bCs/>
          <w:color w:val="auto"/>
          <w:sz w:val="28"/>
          <w:szCs w:val="28"/>
        </w:rPr>
      </w:pPr>
      <w:r w:rsidRPr="00473C38">
        <w:rPr>
          <w:b/>
          <w:bCs/>
          <w:color w:val="auto"/>
          <w:sz w:val="28"/>
          <w:szCs w:val="28"/>
        </w:rPr>
        <w:t>Challenges and Adjustments</w:t>
      </w:r>
    </w:p>
    <w:p w14:paraId="01F696F6" w14:textId="443FB2D6" w:rsidR="00876DF2" w:rsidRPr="00473C38" w:rsidRDefault="00000000" w:rsidP="00473C38">
      <w:pPr>
        <w:spacing w:after="160" w:line="360" w:lineRule="auto"/>
        <w:jc w:val="both"/>
        <w:rPr>
          <w:sz w:val="22"/>
          <w:szCs w:val="22"/>
        </w:rPr>
      </w:pPr>
      <w:r w:rsidRPr="00473C38">
        <w:rPr>
          <w:sz w:val="24"/>
          <w:szCs w:val="24"/>
        </w:rPr>
        <w:t>The main challenge was resisting over-interpretation. Several variables move together in this dataset</w:t>
      </w:r>
      <w:r w:rsidR="00473C38">
        <w:rPr>
          <w:sz w:val="24"/>
          <w:szCs w:val="24"/>
        </w:rPr>
        <w:t xml:space="preserve"> </w:t>
      </w:r>
      <w:r w:rsidRPr="00473C38">
        <w:rPr>
          <w:sz w:val="24"/>
          <w:szCs w:val="24"/>
        </w:rPr>
        <w:t>age, marital status, and tenure, for example and it was tempting to draw stronger causal conclusions than the data actually supports. Framing findings as associations backed by specific evidence ('single employees leave at 25.5% versus 12.5% for married employees'), rather than as confirmed causes, felt like the more honest and more useful way to write up results for an HR audience. Balancing the volume of required visualizations (bar charts, histograms, boxplots, a pie chart) against the risk of repeating the same story in different chart forms was also a useful design constrain it pushed toward choosing each chart for a distinct question rather than for variety's own sake.</w:t>
      </w:r>
    </w:p>
    <w:p w14:paraId="6C09FBCF" w14:textId="7B934103" w:rsidR="00876DF2" w:rsidRPr="00473C38" w:rsidRDefault="00000000" w:rsidP="00473C38">
      <w:pPr>
        <w:pStyle w:val="Heading1"/>
        <w:numPr>
          <w:ilvl w:val="0"/>
          <w:numId w:val="2"/>
        </w:numPr>
        <w:spacing w:before="240" w:after="140" w:line="360" w:lineRule="auto"/>
        <w:rPr>
          <w:b/>
          <w:bCs/>
          <w:color w:val="auto"/>
          <w:sz w:val="28"/>
          <w:szCs w:val="28"/>
        </w:rPr>
      </w:pPr>
      <w:r w:rsidRPr="00473C38">
        <w:rPr>
          <w:b/>
          <w:bCs/>
          <w:color w:val="auto"/>
          <w:sz w:val="28"/>
          <w:szCs w:val="28"/>
        </w:rPr>
        <w:lastRenderedPageBreak/>
        <w:t>Key Takeaways</w:t>
      </w:r>
    </w:p>
    <w:p w14:paraId="560E26FE" w14:textId="4AF2381F" w:rsidR="00876DF2" w:rsidRPr="00473C38" w:rsidRDefault="00000000" w:rsidP="00473C38">
      <w:pPr>
        <w:spacing w:after="160" w:line="360" w:lineRule="auto"/>
        <w:jc w:val="both"/>
        <w:rPr>
          <w:sz w:val="22"/>
          <w:szCs w:val="22"/>
        </w:rPr>
      </w:pPr>
      <w:r w:rsidRPr="00473C38">
        <w:rPr>
          <w:sz w:val="24"/>
          <w:szCs w:val="24"/>
        </w:rPr>
        <w:t>This project sharpened my appreciation for the gap between having clean data and having useful data: cleanliness (no missing values, no duplicates) is a low bar, while usefulness requires actively hunting for the variables that actually move the target metric, and then presenting them in a way a non-technical HR stakeholder could act on immediately for instance, the clear, three-fold gap in attrition between employees who work overtime and those who don't. Going forward, I want to carry this same discipline inspect thoroughly, visualize purposefully, and interpret conservatively into the applied statistical and bioinformatics work I do, where the same habits of verification before conclusion apply just as much.</w:t>
      </w:r>
    </w:p>
    <w:sectPr w:rsidR="00876DF2" w:rsidRPr="00473C3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F1170"/>
    <w:multiLevelType w:val="hybridMultilevel"/>
    <w:tmpl w:val="31284F70"/>
    <w:lvl w:ilvl="0" w:tplc="D19E4076">
      <w:start w:val="1"/>
      <w:numFmt w:val="bullet"/>
      <w:lvlText w:val="●"/>
      <w:lvlJc w:val="left"/>
      <w:pPr>
        <w:ind w:left="720" w:hanging="360"/>
      </w:pPr>
    </w:lvl>
    <w:lvl w:ilvl="1" w:tplc="5F9AF79E">
      <w:start w:val="1"/>
      <w:numFmt w:val="bullet"/>
      <w:lvlText w:val="○"/>
      <w:lvlJc w:val="left"/>
      <w:pPr>
        <w:ind w:left="1440" w:hanging="360"/>
      </w:pPr>
    </w:lvl>
    <w:lvl w:ilvl="2" w:tplc="F96C69B6">
      <w:start w:val="1"/>
      <w:numFmt w:val="bullet"/>
      <w:lvlText w:val="■"/>
      <w:lvlJc w:val="left"/>
      <w:pPr>
        <w:ind w:left="2160" w:hanging="360"/>
      </w:pPr>
    </w:lvl>
    <w:lvl w:ilvl="3" w:tplc="F7D41214">
      <w:start w:val="1"/>
      <w:numFmt w:val="bullet"/>
      <w:lvlText w:val="●"/>
      <w:lvlJc w:val="left"/>
      <w:pPr>
        <w:ind w:left="2880" w:hanging="360"/>
      </w:pPr>
    </w:lvl>
    <w:lvl w:ilvl="4" w:tplc="F1FE65CC">
      <w:start w:val="1"/>
      <w:numFmt w:val="bullet"/>
      <w:lvlText w:val="○"/>
      <w:lvlJc w:val="left"/>
      <w:pPr>
        <w:ind w:left="3600" w:hanging="360"/>
      </w:pPr>
    </w:lvl>
    <w:lvl w:ilvl="5" w:tplc="BBE6F3A6">
      <w:start w:val="1"/>
      <w:numFmt w:val="bullet"/>
      <w:lvlText w:val="■"/>
      <w:lvlJc w:val="left"/>
      <w:pPr>
        <w:ind w:left="4320" w:hanging="360"/>
      </w:pPr>
    </w:lvl>
    <w:lvl w:ilvl="6" w:tplc="AEB6FB2A">
      <w:start w:val="1"/>
      <w:numFmt w:val="bullet"/>
      <w:lvlText w:val="●"/>
      <w:lvlJc w:val="left"/>
      <w:pPr>
        <w:ind w:left="5040" w:hanging="360"/>
      </w:pPr>
    </w:lvl>
    <w:lvl w:ilvl="7" w:tplc="3998E4C0">
      <w:start w:val="1"/>
      <w:numFmt w:val="bullet"/>
      <w:lvlText w:val="●"/>
      <w:lvlJc w:val="left"/>
      <w:pPr>
        <w:ind w:left="5760" w:hanging="360"/>
      </w:pPr>
    </w:lvl>
    <w:lvl w:ilvl="8" w:tplc="1E121F76">
      <w:start w:val="1"/>
      <w:numFmt w:val="bullet"/>
      <w:lvlText w:val="●"/>
      <w:lvlJc w:val="left"/>
      <w:pPr>
        <w:ind w:left="6480" w:hanging="360"/>
      </w:pPr>
    </w:lvl>
  </w:abstractNum>
  <w:abstractNum w:abstractNumId="1" w15:restartNumberingAfterBreak="0">
    <w:nsid w:val="7C0F2303"/>
    <w:multiLevelType w:val="hybridMultilevel"/>
    <w:tmpl w:val="83B0A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904139">
    <w:abstractNumId w:val="0"/>
    <w:lvlOverride w:ilvl="0">
      <w:startOverride w:val="1"/>
    </w:lvlOverride>
  </w:num>
  <w:num w:numId="2" w16cid:durableId="1475178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DF2"/>
    <w:rsid w:val="00473C38"/>
    <w:rsid w:val="00876DF2"/>
    <w:rsid w:val="008C7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2EEE"/>
  <w15:docId w15:val="{840A7AB3-192D-4D6B-B52A-98B2F789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958</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 Maxime TCHOUTANG</cp:lastModifiedBy>
  <cp:revision>2</cp:revision>
  <dcterms:created xsi:type="dcterms:W3CDTF">2026-08-08T09:48:00Z</dcterms:created>
  <dcterms:modified xsi:type="dcterms:W3CDTF">2026-08-09T03:24:00Z</dcterms:modified>
</cp:coreProperties>
</file>