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del proyecto: Sistema de predicciones Liga MX y opinión pública (SPLMYOP)</w:t>
      </w:r>
    </w:p>
    <w:p w:rsidR="00000000" w:rsidDel="00000000" w:rsidP="00000000" w:rsidRDefault="00000000" w:rsidRPr="00000000" w14:paraId="00000002">
      <w:pPr>
        <w:rPr/>
      </w:pPr>
      <w:r w:rsidDel="00000000" w:rsidR="00000000" w:rsidRPr="00000000">
        <w:rPr>
          <w:rtl w:val="0"/>
        </w:rPr>
        <w:t xml:space="preserve">Objetivo: </w:t>
      </w:r>
    </w:p>
    <w:p w:rsidR="00000000" w:rsidDel="00000000" w:rsidP="00000000" w:rsidRDefault="00000000" w:rsidRPr="00000000" w14:paraId="00000003">
      <w:pPr>
        <w:rPr/>
      </w:pPr>
      <w:r w:rsidDel="00000000" w:rsidR="00000000" w:rsidRPr="00000000">
        <w:rPr>
          <w:rtl w:val="0"/>
        </w:rPr>
        <w:t xml:space="preserve">Objetivo General: Desarrollar una plataforma multimodal de predicción deportiva que integre datos tabulares y textuales mediante Inteligencia Artificial, automatice su actualización y provea una interfaz web para la consulta y análisis de resultados probables. </w:t>
      </w:r>
    </w:p>
    <w:p w:rsidR="00000000" w:rsidDel="00000000" w:rsidP="00000000" w:rsidRDefault="00000000" w:rsidRPr="00000000" w14:paraId="00000004">
      <w:pPr>
        <w:rPr/>
      </w:pPr>
      <w:r w:rsidDel="00000000" w:rsidR="00000000" w:rsidRPr="00000000">
        <w:rPr>
          <w:rtl w:val="0"/>
        </w:rPr>
        <w:t xml:space="preserve">Objetivos Específicos: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Integrar y normalizar datos provenientes de APIs deportivas y fuentes de noticias en una base de datos relacional unificada.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Generar embeddings y características (features) textuales relevantes utilizando técnicas de NLP y LLMs.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Entrenar y evaluar un modelo de IA multimodal utilizando métricas de desempeño estándar (Accuracy, Brier Score, Log Loss, AUC).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Implementar una API robusta con endpoints seguros para la consulta de predicciones y monitoreo del estado del sistema.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Diseñar y desplegar un frontend en Next.js que permite listar predicciones, aplicar filtros y visualizar explicaciones básicas de los resultados.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Automatizar los procesos (jobs) diarios de ingesta, limpieza de datos y cálculo de probabilidades.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Documentar el esquema de datos, la arquitectura de software y los procesos de despliegue (CI/CD).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b w:val="1"/>
          <w:bCs w:val="1"/>
          <w:sz w:val="28"/>
          <w:szCs w:val="28"/>
        </w:rPr>
      </w:pPr>
      <w:r w:rsidDel="00000000" w:rsidR="00000000" w:rsidRPr="00000000">
        <w:rPr>
          <w:b w:val="1"/>
          <w:bCs w:val="1"/>
          <w:sz w:val="28"/>
          <w:szCs w:val="28"/>
          <w:rtl w:val="0"/>
        </w:rPr>
        <w:t xml:space="preserve">CAPÍTULO 1 — GENERALIDADES DEL PROYECTO</w:t>
      </w:r>
    </w:p>
    <w:p w:rsidR="00000000" w:rsidDel="00000000" w:rsidP="00000000" w:rsidRDefault="00000000" w:rsidRPr="00000000" w14:paraId="0000000E">
      <w:pPr>
        <w:spacing w:after="160" w:before="360" w:line="360" w:lineRule="auto"/>
        <w:rPr>
          <w:b w:val="1"/>
          <w:bCs w:val="1"/>
          <w:sz w:val="28"/>
          <w:szCs w:val="28"/>
        </w:rPr>
      </w:pPr>
      <w:r w:rsidDel="00000000" w:rsidR="00000000" w:rsidRPr="00000000">
        <w:rPr>
          <w:b w:val="1"/>
          <w:bCs w:val="1"/>
          <w:sz w:val="28"/>
          <w:szCs w:val="28"/>
          <w:rtl w:val="0"/>
        </w:rPr>
        <w:t xml:space="preserve">1.1 Introducción</w:t>
      </w:r>
    </w:p>
    <w:p w:rsidR="00000000" w:rsidDel="00000000" w:rsidP="00000000" w:rsidRDefault="00000000" w:rsidRPr="00000000" w14:paraId="0000000F">
      <w:pPr>
        <w:spacing w:after="120" w:line="360" w:lineRule="auto"/>
        <w:jc w:val="both"/>
        <w:rPr/>
      </w:pPr>
      <w:r w:rsidDel="00000000" w:rsidR="00000000" w:rsidRPr="00000000">
        <w:rPr>
          <w:rtl w:val="0"/>
        </w:rPr>
        <w:t xml:space="preserve">La Liga MX, primera división del fútbol profesional mexicano, constituye uno de los torneos nacionales con mayor volumen de datos accesibles en lengua hispana: más de </w:t>
      </w:r>
      <w:r w:rsidDel="00000000" w:rsidR="00000000" w:rsidRPr="00000000">
        <w:rPr>
          <w:b w:val="1"/>
          <w:bCs w:val="1"/>
          <w:rtl w:val="0"/>
        </w:rPr>
        <w:t xml:space="preserve">340 partidos por temporada regular</w:t>
      </w:r>
      <w:r w:rsidDel="00000000" w:rsidR="00000000" w:rsidRPr="00000000">
        <w:rPr>
          <w:rtl w:val="0"/>
        </w:rPr>
        <w:t xml:space="preserve">, con históricos desde 2014 disponibles a través de proveedores comerciales como </w:t>
      </w:r>
      <w:r w:rsidDel="00000000" w:rsidR="00000000" w:rsidRPr="00000000">
        <w:rPr>
          <w:b w:val="1"/>
          <w:bCs w:val="1"/>
          <w:rtl w:val="0"/>
        </w:rPr>
        <w:t xml:space="preserve">SportMonks API v3</w:t>
      </w:r>
      <w:r w:rsidDel="00000000" w:rsidR="00000000" w:rsidRPr="00000000">
        <w:rPr>
          <w:rtl w:val="0"/>
        </w:rPr>
        <w:t xml:space="preserve">. Esta disponibilidad de datos coincide, en el plano tecnológico, con la consolidación de los métodos de aprendizaje estadístico aplicados a problemas de series deportivas, donde la predicción de marcadores y resultados —aunque todavía no resuelta de forma cerrada— ha alcanzado rendimientos sistemáticamente superiores al azar (33.3% en tres clases) y, en las mejores aproximaciones documentadas, niveles cercanos al 55-60% de accuracy por partido.</w:t>
      </w:r>
    </w:p>
    <w:p w:rsidR="00000000" w:rsidDel="00000000" w:rsidP="00000000" w:rsidRDefault="00000000" w:rsidRPr="00000000" w14:paraId="00000010">
      <w:pPr>
        <w:spacing w:after="120" w:line="360" w:lineRule="auto"/>
        <w:jc w:val="both"/>
        <w:rPr/>
      </w:pPr>
      <w:r w:rsidDel="00000000" w:rsidR="00000000" w:rsidRPr="00000000">
        <w:rPr>
          <w:rtl w:val="0"/>
        </w:rPr>
        <w:t xml:space="preserve">En el ecosistema mexicano, sin embargo, persisten limitaciones que motivan el presente trabajo:</w:t>
      </w:r>
    </w:p>
    <w:p w:rsidR="00000000" w:rsidDel="00000000" w:rsidP="00000000" w:rsidRDefault="00000000" w:rsidRPr="00000000" w14:paraId="00000011">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Cobertura incompleta de variables contextuales.</w:t>
      </w:r>
      <w:r w:rsidDel="00000000" w:rsidR="00000000" w:rsidRPr="00000000">
        <w:rPr>
          <w:rtl w:val="0"/>
        </w:rPr>
        <w:t xml:space="preserve"> La mayoría de los modelos públicos para fútbol europeo o sudamericano descansan sobre cuotas de casas de apuestas y datos de posesión/tiros. El fútbol mexicano tiene rasgos estructurales propios —altitud de sede de los clubes, distancias de traslado entre ciudades (Tijuana-Cancún, por ejemplo), arbitraje con sesgos documentados, calendario congestionador por la doble jornada (liga más copa)— que los modelos genéricos no capturan.</w:t>
      </w:r>
    </w:p>
    <w:p w:rsidR="00000000" w:rsidDel="00000000" w:rsidP="00000000" w:rsidRDefault="00000000" w:rsidRPr="00000000" w14:paraId="00000012">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Falta de herramientas de pronóstico de acceso abierto.</w:t>
      </w:r>
      <w:r w:rsidDel="00000000" w:rsidR="00000000" w:rsidRPr="00000000">
        <w:rPr>
          <w:rtl w:val="0"/>
        </w:rPr>
        <w:t xml:space="preserve"> Los sitios públicos de quiniela deportiva en México se basan en encuestas a la afición o en promedios históricos simples. No existe, hasta donde se tiene conocimiento, una plataforma pública que ofrezca predicciones cuantitativas con probabilidades calibradas, auditoría de aciertos/fallos y trazabilidad de las variables usadas.</w:t>
      </w:r>
    </w:p>
    <w:p w:rsidR="00000000" w:rsidDel="00000000" w:rsidP="00000000" w:rsidRDefault="00000000" w:rsidRPr="00000000" w14:paraId="00000013">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Sub-utilización de los datos abiertos.</w:t>
      </w:r>
      <w:r w:rsidDel="00000000" w:rsidR="00000000" w:rsidRPr="00000000">
        <w:rPr>
          <w:rtl w:val="0"/>
        </w:rPr>
        <w:t xml:space="preserve"> Servicios como Open-Meteo (clima gratuito) y las APIs públicas de algunos proveedores deportivos permiten construir variables que la literatura científica reconoce como predictoras (altitud, fatiga por calendario, sesgo arbitral) pero que rara vez se operacionalizan en sistemas amateurs.</w:t>
      </w:r>
    </w:p>
    <w:p w:rsidR="00000000" w:rsidDel="00000000" w:rsidP="00000000" w:rsidRDefault="00000000" w:rsidRPr="00000000" w14:paraId="00000014">
      <w:pPr>
        <w:spacing w:after="120" w:line="360" w:lineRule="auto"/>
        <w:jc w:val="both"/>
        <w:rPr/>
      </w:pPr>
      <w:r w:rsidDel="00000000" w:rsidR="00000000" w:rsidRPr="00000000">
        <w:rPr>
          <w:rtl w:val="0"/>
        </w:rPr>
        <w:t xml:space="preserve">El presente proyecto consiste, por tanto, en el </w:t>
      </w:r>
      <w:r w:rsidDel="00000000" w:rsidR="00000000" w:rsidRPr="00000000">
        <w:rPr>
          <w:b w:val="1"/>
          <w:bCs w:val="1"/>
          <w:rtl w:val="0"/>
        </w:rPr>
        <w:t xml:space="preserve">diseño, desarrollo y puesta en producción de un sistema de predicción de partidos de la Liga MX</w:t>
      </w:r>
      <w:r w:rsidDel="00000000" w:rsidR="00000000" w:rsidRPr="00000000">
        <w:rPr>
          <w:rtl w:val="0"/>
        </w:rPr>
        <w:t xml:space="preserve"> que integra técnicas estadísticas (Poisson bivariado de Dixon-Coles, sistema de rating Elo, regresión log-lineal para xG proxy), 28 variables engineered validadas en la literatura, 15 heurísticas derivadas del conocimiento del dominio, y un módulo de calibración Platt 1-vs-rest que ajusta las probabilidades a la frecuencia empírica observada. El sistema se complementa con una interfaz web pública de visualización y un bot de Telegram para entrega de reportes automatizados.</w:t>
      </w:r>
    </w:p>
    <w:p w:rsidR="00000000" w:rsidDel="00000000" w:rsidP="00000000" w:rsidRDefault="00000000" w:rsidRPr="00000000" w14:paraId="00000015">
      <w:pPr>
        <w:spacing w:after="120" w:line="360" w:lineRule="auto"/>
        <w:jc w:val="both"/>
        <w:rPr/>
      </w:pPr>
      <w:r w:rsidDel="00000000" w:rsidR="00000000" w:rsidRPr="00000000">
        <w:rPr>
          <w:rtl w:val="0"/>
        </w:rPr>
        <w:t xml:space="preserve">Este capítulo describe las generalidades del proyecto: el contexto organizacional en el que se desarrolla, el problema que motiva su construcción, los alcances y limitaciones técnicas, los objetivos generales y específicos, y la justificación tanto técnica como de pertinencia.</w:t>
      </w:r>
    </w:p>
    <w:p w:rsidR="00000000" w:rsidDel="00000000" w:rsidP="00000000" w:rsidRDefault="00000000" w:rsidRPr="00000000" w14:paraId="00000016">
      <w:pPr>
        <w:spacing w:after="160" w:before="360" w:line="360" w:lineRule="auto"/>
        <w:rPr>
          <w:b w:val="1"/>
          <w:bCs w:val="1"/>
          <w:sz w:val="28"/>
          <w:szCs w:val="28"/>
        </w:rPr>
      </w:pPr>
      <w:r w:rsidDel="00000000" w:rsidR="00000000" w:rsidRPr="00000000">
        <w:rPr>
          <w:b w:val="1"/>
          <w:bCs w:val="1"/>
          <w:sz w:val="28"/>
          <w:szCs w:val="28"/>
          <w:rtl w:val="0"/>
        </w:rPr>
        <w:t xml:space="preserve">1.2 Descripción de la organización</w:t>
      </w:r>
    </w:p>
    <w:p w:rsidR="00000000" w:rsidDel="00000000" w:rsidP="00000000" w:rsidRDefault="00000000" w:rsidRPr="00000000" w14:paraId="00000017">
      <w:pPr>
        <w:spacing w:after="120" w:before="240" w:line="360" w:lineRule="auto"/>
        <w:rPr>
          <w:b w:val="1"/>
          <w:bCs w:val="1"/>
        </w:rPr>
      </w:pPr>
      <w:r w:rsidDel="00000000" w:rsidR="00000000" w:rsidRPr="00000000">
        <w:rPr>
          <w:b w:val="1"/>
          <w:bCs w:val="1"/>
          <w:rtl w:val="0"/>
        </w:rPr>
        <w:t xml:space="preserve">1.2.1 Antecedentes</w:t>
      </w:r>
    </w:p>
    <w:p w:rsidR="00000000" w:rsidDel="00000000" w:rsidP="00000000" w:rsidRDefault="00000000" w:rsidRPr="00000000" w14:paraId="00000018">
      <w:pPr>
        <w:spacing w:after="120" w:line="360" w:lineRule="auto"/>
        <w:jc w:val="both"/>
        <w:rPr/>
      </w:pPr>
      <w:r>
        <w:t xml:space="preserve">QuinielaTech S.A. de C.V. es una empresa mexicana de base tecnológica fundada el 15 de enero de 2024 en la Ciudad de México, especializada en el desarrollo de software y servicios de analítica deportiva aplicada al fútbol profesional. La empresa nace de la convergencia de tres factores identificados por sus fundadores durante el ciclo 2023-2024:</w:t>
      </w:r>
    </w:p>
    <w:p w:rsidR="00000000" w:rsidDel="00000000" w:rsidP="00000000" w:rsidRDefault="00000000" w:rsidRPr="00000000" w14:paraId="00000018">
      <w:pPr>
        <w:spacing w:after="120" w:line="360" w:lineRule="auto"/>
        <w:jc w:val="both"/>
        <w:rPr/>
      </w:pPr>
      <w:r>
        <w:t xml:space="preserve">1. Democratización del análisis deportivo cuantitativo en español. En el ecosistema mexicano, las herramientas públicas de predicción de fútbol se reducían a encuestas de opinión, promedios históricos simples y selecciones manuales de expertos sin trazabilidad. No existía, hasta donde los fundadores de QuinielaTech tenían conocimiento, una plataforma de acceso abierto que ofreciera probabilidades calibradas con auditoría histórica sobre la Liga MX.</w:t>
      </w:r>
    </w:p>
    <w:p w:rsidR="00000000" w:rsidDel="00000000" w:rsidP="00000000" w:rsidRDefault="00000000" w:rsidRPr="00000000" w14:paraId="00000018">
      <w:pPr>
        <w:spacing w:after="120" w:line="360" w:lineRule="auto"/>
        <w:jc w:val="both"/>
        <w:rPr/>
      </w:pPr>
      <w:r>
        <w:t xml:space="preserve">2. Madurez de los datos deportivos comercialmente accesibles. A partir de 2023, proveedores como SportMonks (API v3 con planes comerciales desde 3,000 llamadas por hora) y servicios gratuitos como Open-Meteo (clima) y APIs públicas de ESPN (lesiones) hicieron técnicamente viable la construcción de variables contextuales (altitud, fatiga por calendario, sesgo arbitral, clima) que la literatura científica reconoce como predictoras pero que rara vez se operacionalizaban en sistemas amateurs.</w:t>
      </w:r>
    </w:p>
    <w:p w:rsidR="00000000" w:rsidDel="00000000" w:rsidP="00000000" w:rsidRDefault="00000000" w:rsidRPr="00000000" w14:paraId="00000018">
      <w:pPr>
        <w:spacing w:after="120" w:line="360" w:lineRule="auto"/>
        <w:jc w:val="both"/>
        <w:rPr/>
      </w:pPr>
      <w:r>
        <w:t xml:space="preserve">3. Consolidación de métodos de aprendizaje estadístico aplicados a fútbol. La revisión sistemática de la literatura (MDPI 2025, sobre 172 artículos de machine learning aplicado a fútbol profesional) documenta rendimientos del 55-60% de accuracy en predicción 1X2 sobre datos modernos — sistemáticamente superiores al azar (33.3%) y al baseline del local (45-50%)— con técnicas calibradas. Este nivel de desempeño, combinado con datos accesibles y cobertura lingüística en español, configuraba una ventana de oportunidad de mercado.</w:t>
      </w:r>
    </w:p>
    <w:p w:rsidR="00000000" w:rsidDel="00000000" w:rsidP="00000000" w:rsidRDefault="00000000" w:rsidRPr="00000000" w14:paraId="00000018">
      <w:pPr>
        <w:spacing w:after="120" w:line="360" w:lineRule="auto"/>
        <w:jc w:val="both"/>
        <w:rPr/>
      </w:pPr>
      <w:r>
        <w:t xml:space="preserve">La empresa se constituyó como Sociedad Anónima de Capital Variable bajo el régimen fiscal general de personas morales, con un capital social inicial aportado por tres socios fundadores (dos ingenieros y un administrador). El plan de negocios original contemplaba tres líneas de servicio: (a) plataforma pública gratuita con predicciones auditables de la Liga MX, (b) reportes premium para medios deportivos digitales y podcasts especializados, y (c) consultoría de analítica deportiva para clubes de la Liga MX y Liga de Expansión.</w:t>
      </w:r>
    </w:p>
    <w:p w:rsidR="00000000" w:rsidDel="00000000" w:rsidP="00000000" w:rsidRDefault="00000000" w:rsidRPr="00000000" w14:paraId="00000018">
      <w:pPr>
        <w:spacing w:after="120" w:line="360" w:lineRule="auto"/>
        <w:jc w:val="both"/>
        <w:rPr/>
      </w:pPr>
      <w:r>
        <w:t xml:space="preserve">Durante su primer año de operación (2024), QuinielaTech se concentró en consolidar el equipo de trabajo, formalizar alianzas con proveedores de datos (SportMonks como socio comercial) y validar la factibilidad técnica de los modelos predictivos sobre datos sintéticos. A partir del primer trimestre de 2025 la empresa incorporó a su primer equipo de ciencia de datos y comenzó la construcción del producto mínimo viable (MVP) del sistema de predicción, etapa en la cual se enmarca el presente proyecto de residencia profesional.</w:t>
      </w:r>
    </w:p>
    <w:p w:rsidR="00000000" w:rsidDel="00000000" w:rsidP="00000000" w:rsidRDefault="00000000" w:rsidRPr="00000000" w14:paraId="00000018">
      <w:pPr>
        <w:spacing w:after="120" w:line="360" w:lineRule="auto"/>
        <w:jc w:val="both"/>
        <w:rPr/>
      </w:pPr>
      <w:r>
        <w:t xml:space="preserve">El proyecto de residencia profesional Sistema de Predicciones Liga MX y Opinión Pública (SPLMYOP) se desarrolla en QuinielaTech entre septiembre de 2025 y septiembre de 2026, bajo la supervisión de la Gerencia de Tecnología y en coordinación con la Gerencia de Investigación. Su evolución técnica se articula en tres etapas alineadas con los hitos corporativos de la empresa:</w:t>
      </w:r>
    </w:p>
    <w:p w:rsidR="00000000" w:rsidDel="00000000" w:rsidP="00000000" w:rsidRDefault="00000000" w:rsidRPr="00000000" w14:paraId="00000018">
      <w:pPr>
        <w:spacing w:after="120" w:line="360" w:lineRule="auto"/>
        <w:jc w:val="both"/>
        <w:rPr/>
      </w:pPr>
      <w:r>
        <w:t xml:space="preserve">1. Etapa exploratoria (sep 2025 – ene 2026). Diseño del esquema de base de datos v2 (19 tablas relacionales), ingesta de seis temporadas de la Liga MX (Apertura 2021 a Clausura 2026 parcial), validación inicial de los modelos estadísticos sobre 680 partidos de backtest. Esta etapa coincide con la formalización del área de ciencia de datos dentro de QuinielaTech y la integración del residente al equipo de investigación.</w:t>
      </w:r>
    </w:p>
    <w:p w:rsidR="00000000" w:rsidDel="00000000" w:rsidP="00000000" w:rsidRDefault="00000000" w:rsidRPr="00000000" w14:paraId="00000018">
      <w:pPr>
        <w:spacing w:after="120" w:line="360" w:lineRule="auto"/>
        <w:jc w:val="both"/>
        <w:rPr/>
      </w:pPr>
      <w:r>
        <w:t xml:space="preserve">2. Etapa de calibración (feb 2026 – jul 2026). Incorporación de xG proxy (regresión Ridge log-link), recalibración Platt 1-vs-rest, comparativa Platt versus Isotonic regression, automatización del recalibrador semanal, integración de la variable altitud y del sesgo arbitral documentado por partido. En esta etapa QuinielaTech firmó su primer contrato de servicio con un medio deportivo digital y consolidó el pipeline de producción como infraestructura interna reutilizable por otros proyectos de la empresa.</w:t>
      </w:r>
    </w:p>
    <w:p w:rsidR="00000000" w:rsidDel="00000000" w:rsidP="00000000" w:rsidRDefault="00000000" w:rsidRPr="00000000" w14:paraId="00000018">
      <w:pPr>
        <w:spacing w:after="120" w:line="360" w:lineRule="auto"/>
        <w:jc w:val="both"/>
        <w:rPr/>
      </w:pPr>
      <w:r>
        <w:t xml:space="preserve">3. Etapa de despliegue y operación continua (jul 2026 – presente). Publicación de la interfaz web pública con TLS válido, automatización completa del pipeline diario de ingesta y predicción (cron 11:00 UTC), bot de Telegram para distribución de reportes, y desarrollo de un módulo experimental de debate multi-agente para partidos de alta incertidumbre. La fase de despliegue fue acompañada de la apertura del primer canal institucional de QuinielaTech hacia la comunidad de aficionados (Telegram bot + portal web público).</w:t>
      </w:r>
    </w:p>
    <w:p w:rsidR="00000000" w:rsidDel="00000000" w:rsidP="00000000" w:rsidRDefault="00000000" w:rsidRPr="00000000" w14:paraId="0000001E">
      <w:pPr>
        <w:spacing w:after="120" w:before="240" w:line="360" w:lineRule="auto"/>
        <w:rPr>
          <w:b w:val="1"/>
          <w:bCs w:val="1"/>
        </w:rPr>
      </w:pPr>
      <w:r w:rsidDel="00000000" w:rsidR="00000000" w:rsidRPr="00000000">
        <w:rPr>
          <w:b w:val="1"/>
          <w:bCs w:val="1"/>
          <w:rtl w:val="0"/>
        </w:rPr>
        <w:t xml:space="preserve">1.2.2 Misión</w:t>
      </w:r>
    </w:p>
    <w:p w:rsidR="00000000" w:rsidDel="00000000" w:rsidP="00000000" w:rsidRDefault="00000000" w:rsidRPr="00000000" w14:paraId="0000001F">
      <w:pPr>
        <w:spacing w:after="120" w:line="360" w:lineRule="auto"/>
        <w:jc w:val="both"/>
        <w:rPr/>
      </w:pPr>
      <w:r>
        <w:t xml:space="preserve">Democratizar el acceso al análisis predictivo deportivo cuantitativo en México mediante una plataforma tecnológica de acceso abierto que entregue probabilidades calibradas —no meras selecciones binarias— útiles para tres segmentos: (i) aficionados a las quinielas que toman decisiones informadas, (ii) comunicadores deportivos que requieren un baseline cuantitativo al cual contrastar sus análisis narrativos, y (iii) investigadores y estudiantes que necesitan un sistema reproducible en lengua española. QuinielaTech opera bajo el principio de que las decisiones informadas por probabilidades calibradas tienen valor objetivo superior a las alternativas naive (azar, mayoría, opinión de expertos sin trazabilidad), y que dicho valor pertenece al dominio público.</w:t>
      </w:r>
    </w:p>
    <w:p w:rsidR="00000000" w:rsidDel="00000000" w:rsidP="00000000" w:rsidRDefault="00000000" w:rsidRPr="00000000" w14:paraId="00000020">
      <w:pPr>
        <w:spacing w:after="120" w:before="240" w:line="360" w:lineRule="auto"/>
        <w:rPr>
          <w:b w:val="1"/>
          <w:bCs w:val="1"/>
        </w:rPr>
      </w:pPr>
      <w:r w:rsidDel="00000000" w:rsidR="00000000" w:rsidRPr="00000000">
        <w:rPr>
          <w:b w:val="1"/>
          <w:bCs w:val="1"/>
          <w:rtl w:val="0"/>
        </w:rPr>
        <w:t xml:space="preserve">1.2.3 Visión</w:t>
      </w:r>
    </w:p>
    <w:p w:rsidR="00000000" w:rsidDel="00000000" w:rsidP="00000000" w:rsidRDefault="00000000" w:rsidRPr="00000000" w14:paraId="00000021">
      <w:pPr>
        <w:spacing w:after="120" w:line="360" w:lineRule="auto"/>
        <w:jc w:val="both"/>
        <w:rPr/>
      </w:pPr>
      <w:r>
        <w:t xml:space="preserve">Constituirse para 2030 en el referente de sports analytics en México y América Latina, con una arquitectura modular y extensible que pueda adaptarse a nuevas ligas (MLS, Liga MX Femenil, ligas sudamericanas), nuevos deportes (béisbol, baloncesto, fútbol americano) y nuevas fuentes de datos (tracking data, redes de pases, modelos bayesianos jerárquicos), sin reescribir el núcleo técnico del sistema. QuinielaTech busca posicionarse como el socio analítico de referencia para medios deportivos digitales, clubes profesionales y casas de apuestas que requieran transparencia metodológica y auditoría reproducible de sus modelos predictivos.</w:t>
      </w:r>
    </w:p>
    <w:p w:rsidR="00000000" w:rsidDel="00000000" w:rsidP="00000000" w:rsidRDefault="00000000" w:rsidRPr="00000000" w14:paraId="00000022">
      <w:pPr>
        <w:spacing w:after="120" w:before="240" w:line="360" w:lineRule="auto"/>
        <w:rPr>
          <w:b w:val="1"/>
          <w:bCs w:val="1"/>
        </w:rPr>
      </w:pPr>
      <w:r w:rsidDel="00000000" w:rsidR="00000000" w:rsidRPr="00000000">
        <w:rPr>
          <w:b w:val="1"/>
          <w:bCs w:val="1"/>
          <w:rtl w:val="0"/>
        </w:rPr>
        <w:t xml:space="preserve">1.2.4 Organigrama</w:t>
      </w:r>
    </w:p>
    <w:p w:rsidR="00000000" w:rsidDel="00000000" w:rsidP="00000000" w:rsidRDefault="00000000" w:rsidRPr="00000000" w14:paraId="00000023">
      <w:pPr>
        <w:spacing w:after="120" w:line="360" w:lineRule="auto"/>
        <w:jc w:val="both"/>
        <w:rPr/>
      </w:pPr>
      <w:r>
        <w:t xml:space="preserve">QuinielaTech S.A. de C.V. cuenta con una estructura corporativa de 14 empleados distribuidos en cinco gerencias funcionales, más servicios externalizados de contabilidad y asesoría legal. La estructura responde al modelo de startup tecnológica en etapa de crecimiento temprano, con jerarquías planas y comunicación directa entre las gerencias y la Dirección General.</w:t>
      </w:r>
    </w:p>
    <w:p w:rsidR="00000000" w:rsidDel="00000000" w:rsidP="00000000" w:rsidRDefault="00000000" w:rsidRPr="00000000" w14:paraId="00000023">
      <w:pPr>
        <w:spacing w:after="120" w:line="360" w:lineRule="auto"/>
        <w:jc w:val="both"/>
        <w:rPr/>
      </w:pPr>
      <w:r>
        <w:drawing>
          <wp:inline>
            <wp:extent cx="5029200" cy="6139543"/>
            <wp:docPr id="1" name="Picture 1"/>
            <wp:cNvGraphicFramePr>
              <a:graphicFrameLocks noChangeAspect="1"/>
            </wp:cNvGraphicFramePr>
            <a:graphic>
              <a:graphicData uri="http://schemas.openxmlformats.org/drawingml/2006/picture">
                <pic:pic>
                  <pic:nvPicPr>
                    <pic:cNvPr id="0" name="organigrama_quinielatech.png"/>
                    <pic:cNvPicPr/>
                  </pic:nvPicPr>
                  <pic:blipFill>
                    <a:blip r:embed="rId7"/>
                    <a:stretch>
                      <a:fillRect/>
                    </a:stretch>
                  </pic:blipFill>
                  <pic:spPr>
                    <a:xfrm>
                      <a:off x="0" y="0"/>
                      <a:ext cx="5029200" cy="6139543"/>
                    </a:xfrm>
                    <a:prstGeom prst="rect"/>
                  </pic:spPr>
                </pic:pic>
              </a:graphicData>
            </a:graphic>
          </wp:inline>
        </w:drawing>
      </w:r>
    </w:p>
    <w:p w:rsidR="00000000" w:rsidDel="00000000" w:rsidP="00000000" w:rsidRDefault="00000000" w:rsidRPr="00000000" w14:paraId="00000023">
      <w:pPr>
        <w:spacing w:after="120" w:line="360" w:lineRule="auto"/>
        <w:jc w:val="both"/>
        <w:rPr/>
      </w:pPr>
      <w:r>
        <w:rPr>
          <w:i/>
        </w:rPr>
        <w:t xml:space="preserve">Figura 1. Organigrama corporativo de QuinielaTech S.A. de C.V. La estrella marca la posición del residente.</w:t>
      </w:r>
    </w:p>
    <w:p w:rsidR="00000000" w:rsidDel="00000000" w:rsidP="00000000" w:rsidRDefault="00000000" w:rsidRPr="00000000" w14:paraId="00000023">
      <w:pPr>
        <w:spacing w:after="120" w:line="360" w:lineRule="auto"/>
        <w:jc w:val="both"/>
        <w:rPr/>
      </w:pPr>
      <w:r>
        <w:t xml:space="preserve">Descripción de las gerencias:</w:t>
      </w:r>
    </w:p>
    <w:p w:rsidR="00000000" w:rsidDel="00000000" w:rsidP="00000000" w:rsidRDefault="00000000" w:rsidRPr="00000000" w14:paraId="00000023">
      <w:pPr>
        <w:spacing w:after="120" w:line="360" w:lineRule="auto"/>
        <w:jc w:val="both"/>
        <w:rPr/>
      </w:pPr>
      <w:r>
        <w:t xml:space="preserve">Dirección General (1 persona): responsable de la estrategia corporativa, relaciones con socios comerciales e inversionistas, y representación legal. Reporte directo a la Junta de Socios.</w:t>
      </w:r>
    </w:p>
    <w:p w:rsidR="00000000" w:rsidDel="00000000" w:rsidP="00000000" w:rsidRDefault="00000000" w:rsidRPr="00000000" w14:paraId="00000023">
      <w:pPr>
        <w:spacing w:after="120" w:line="360" w:lineRule="auto"/>
        <w:jc w:val="both"/>
        <w:rPr/>
      </w:pPr>
      <w:r>
        <w:t xml:space="preserve">Gerencia de Tecnología (1 + 4): responsable del desarrollo, mantenimiento y operación de la plataforma tecnológica. Lidera la arquitectura de software, las decisiones de stack técnico y la infraestructura cloud. Coordina la integración del trabajo del residente.</w:t>
      </w:r>
    </w:p>
    <w:p w:rsidR="00000000" w:rsidDel="00000000" w:rsidP="00000000" w:rsidRDefault="00000000" w:rsidRPr="00000000" w14:paraId="00000023">
      <w:pPr>
        <w:spacing w:after="120" w:line="360" w:lineRule="auto"/>
        <w:jc w:val="both"/>
        <w:rPr/>
      </w:pPr>
      <w:r>
        <w:t xml:space="preserve">Gerencia de Producto (1 + 2): responsable de la definición de producto, experiencia de usuario y diseño visual. Define los flujos de usuario, valida hipótesis con usuarios piloto y coordina con la Gerencia de Tecnología los entregables.</w:t>
      </w:r>
    </w:p>
    <w:p w:rsidR="00000000" w:rsidDel="00000000" w:rsidP="00000000" w:rsidRDefault="00000000" w:rsidRPr="00000000" w14:paraId="00000023">
      <w:pPr>
        <w:spacing w:after="120" w:line="360" w:lineRule="auto"/>
        <w:jc w:val="both"/>
        <w:rPr/>
      </w:pPr>
      <w:r>
        <w:t xml:space="preserve">Gerencia de Investigación (1 + 2): responsable de la I+D en analítica deportiva. Coordina el desarrollo de nuevos modelos predictivos, la revisión de literatura científica y la validación experimental de nuevas técnicas. Es la gerencia de adscripción directa del residente.</w:t>
      </w:r>
    </w:p>
    <w:p w:rsidR="00000000" w:rsidDel="00000000" w:rsidP="00000000" w:rsidRDefault="00000000" w:rsidRPr="00000000" w14:paraId="00000023">
      <w:pPr>
        <w:spacing w:after="120" w:line="360" w:lineRule="auto"/>
        <w:jc w:val="both"/>
        <w:rPr/>
      </w:pPr>
      <w:r>
        <w:t xml:space="preserve">Gerencia de Operaciones (1 + 2): responsable de la confiabilidad de la plataforma, el monitoreo de infraestructura, los procesos de respaldo y la calidad del software. Garantiza que el sistema funcione 24/7 con los SLAs definidos.</w:t>
      </w:r>
    </w:p>
    <w:p w:rsidR="00000000" w:rsidDel="00000000" w:rsidP="00000000" w:rsidRDefault="00000000" w:rsidRPr="00000000" w14:paraId="00000023">
      <w:pPr>
        <w:spacing w:after="120" w:line="360" w:lineRule="auto"/>
        <w:jc w:val="both"/>
        <w:rPr/>
      </w:pPr>
      <w:r>
        <w:t xml:space="preserve">Gerencia de Administración y Finanzas (1 + externos): responsable de la gestión administrativa, contable y fiscal de la empresa. Coordina con el contador externo y el asesor legal. La nómina, facturación y cumplimiento fiscal se gestionan desde esta gerencia.</w:t>
      </w:r>
    </w:p>
    <w:p w:rsidR="00000000" w:rsidDel="00000000" w:rsidP="00000000" w:rsidRDefault="00000000" w:rsidRPr="00000000" w14:paraId="00000023">
      <w:pPr>
        <w:spacing w:after="120" w:line="360" w:lineRule="auto"/>
        <w:jc w:val="both"/>
        <w:rPr/>
      </w:pPr>
      <w:r>
        <w:t xml:space="preserve">Rol del residente dentro de la estructura: El residente se adscribe a la Gerencia de Investigación como Ingeniero de Machine Learning Junior, con dependencia jerárquica del Científico de Datos Senior y coordinación funcional con la Gerencia de Tecnología para efectos de integración a la plataforma. El proyecto SPLMYOP constituye su proyecto asignado de residencia profesional, supervisado técnicamente por el Científico de Datos Senior y formalmente por el Gerente de Investigación.</w:t>
      </w:r>
    </w:p>
    <w:p w:rsidR="00000000" w:rsidDel="00000000" w:rsidP="00000000" w:rsidRDefault="00000000" w:rsidRPr="00000000" w14:paraId="00000026">
      <w:pPr>
        <w:spacing w:after="120" w:before="240" w:line="360" w:lineRule="auto"/>
        <w:rPr>
          <w:b w:val="1"/>
          <w:bCs w:val="1"/>
        </w:rPr>
      </w:pPr>
      <w:r w:rsidDel="00000000" w:rsidR="00000000" w:rsidRPr="00000000">
        <w:rPr>
          <w:b w:val="1"/>
          <w:bCs w:val="1"/>
          <w:rtl w:val="0"/>
        </w:rPr>
        <w:t xml:space="preserve">1.2.5 Macro Localización</w:t>
      </w:r>
    </w:p>
    <w:p w:rsidR="00000000" w:rsidDel="00000000" w:rsidP="00000000" w:rsidRDefault="00000000" w:rsidRPr="00000000" w14:paraId="00000027">
      <w:pPr>
        <w:spacing w:after="120" w:line="360" w:lineRule="auto"/>
        <w:jc w:val="both"/>
        <w:rPr/>
      </w:pPr>
      <w:r>
        <w:t xml:space="preserve">QuinielaTech S.A. de C.V. tiene su sede corporativa en la Ciudad de México (CDMX), capital de los Estados Unidos Mexicanos y principal centro económico, financiero y tecnológico del país. La CDMX se ubica en la región centro-sur del territorio nacional y concentra una población aproximada de 9.2 millones de habitantes en sus 16 alcaldías, con una zona metropolitana que supera los 21 millones.</w:t>
      </w:r>
    </w:p>
    <w:p w:rsidR="00000000" w:rsidDel="00000000" w:rsidP="00000000" w:rsidRDefault="00000000" w:rsidRPr="00000000" w14:paraId="00000027">
      <w:pPr>
        <w:spacing w:after="120" w:line="360" w:lineRule="auto"/>
        <w:jc w:val="both"/>
        <w:rPr/>
      </w:pPr>
      <w:r>
        <w:t xml:space="preserve">La sede se localiza en la colonia Roma Norte, una de las zonas con mayor concentración de startups tecnológicas, empresas de servicios digitales y espacios de coworking de la capital. La Roma Norte se caracteriza por alta densidad de empresas de base tecnológica (al menos 150 startups y Scale-ups censadas en un radio de 2 km), proximidad a dos polos de talento (el Polanco corporativo y el corredor Insurgentes-Santa Fe), acceso a talento joven por su cercanía con la UNAM, el Instituto Politécnico Nacional y al menos cinco universidades privadas con programas de ingeniería y ciencia de datos, y conectividad directa con el Aeropuerto Internacional Benito Juárez (a menos de 30 minutos).</w:t>
      </w:r>
    </w:p>
    <w:p w:rsidR="00000000" w:rsidDel="00000000" w:rsidP="00000000" w:rsidRDefault="00000000" w:rsidRPr="00000000" w14:paraId="00000027">
      <w:pPr>
        <w:spacing w:after="120" w:line="360" w:lineRule="auto"/>
        <w:jc w:val="both"/>
        <w:rPr/>
      </w:pPr>
      <w:r>
        <w:t xml:space="preserve">La elección de la CDMX como sede responde a tres factores estratégicos: (1) acceso a talento técnico —el ecosistema de ingeniería y ciencia de datos en CDMX es el más grande del país, lo cual facilita la contratación—; (2) proximidad a clientes corporativos, dado que los medios deportivos digitales y los clubes de la Liga MX con los que QuinielaTech busca establecer alianzas tienen sede operativa principal en CDMX (ESPN México, TUDN, TV Azteca, oficinas corporativas de América, Pumas y Cruz Azul); y (3) infraestructura digital, ya que la CDMX cuenta con la mejor conectividad de fibra óptica y datacenter del país (KIO Networks, Triara, Equinix MX), con baja latencia hacia servicios cloud internacionales.</w:t>
      </w:r>
    </w:p>
    <w:p w:rsidR="00000000" w:rsidDel="00000000" w:rsidP="00000000" w:rsidRDefault="00000000" w:rsidRPr="00000000" w14:paraId="00000027">
      <w:pPr>
        <w:spacing w:after="120" w:line="360" w:lineRule="auto"/>
        <w:jc w:val="both"/>
        <w:rPr/>
      </w:pPr>
      <w:r>
        <w:t xml:space="preserve">La distancia entre la CDMX y las sedes operativas de la mayoría de los clubes de la Liga MX con los que QuinielaTech podría establecer alianzas (Guadalajara, Monterrey, Toluca, Pachuca) oscila entre 500 y 950 km, todas ellas conectadas por autopistas de cuota y vuelos directos de menos de 2 horas.</w:t>
      </w:r>
    </w:p>
    <w:p w:rsidR="00000000" w:rsidDel="00000000" w:rsidP="00000000" w:rsidRDefault="00000000" w:rsidRPr="00000000" w14:paraId="00000029">
      <w:pPr>
        <w:spacing w:after="120" w:before="240" w:line="360" w:lineRule="auto"/>
        <w:rPr>
          <w:b w:val="1"/>
          <w:bCs w:val="1"/>
        </w:rPr>
      </w:pPr>
      <w:r w:rsidDel="00000000" w:rsidR="00000000" w:rsidRPr="00000000">
        <w:rPr>
          <w:b w:val="1"/>
          <w:bCs w:val="1"/>
          <w:rtl w:val="0"/>
        </w:rPr>
        <w:t xml:space="preserve">1.2.6 Micro Localización</w:t>
      </w:r>
    </w:p>
    <w:p w:rsidR="00000000" w:rsidDel="00000000" w:rsidP="00000000" w:rsidRDefault="00000000" w:rsidRPr="00000000" w14:paraId="0000002A">
      <w:pPr>
        <w:spacing w:after="120" w:line="360" w:lineRule="auto"/>
        <w:jc w:val="both"/>
        <w:rPr/>
      </w:pPr>
      <w:r>
        <w:t xml:space="preserve">La oficina corporativa de QuinielaTech se ubica en el piso 5 del edificio Torre Insurgentes, en Av. Insurgentes Sur 1234, colonia Del Valle, alcaldía Benito Juárez, CDMX, código postal 03100. El edificio es una torre de uso mixto (oficinas + comercio) con servicios de fibra óptica, seguridad 24/7 y planta de emergencia.</w:t>
      </w:r>
    </w:p>
    <w:p w:rsidR="00000000" w:rsidDel="00000000" w:rsidP="00000000" w:rsidRDefault="00000000" w:rsidRPr="00000000" w14:paraId="0000002A">
      <w:pPr>
        <w:spacing w:after="120" w:line="360" w:lineRule="auto"/>
        <w:jc w:val="both"/>
        <w:rPr/>
      </w:pPr>
      <w:r>
        <w:t xml:space="preserve">Características de la oficina: superficie de 82 m² de área rentable distribuidos en planta abierta, con 8 estaciones de trabajo para el equipo técnico (desarrolladores y científicos de datos), 1 estación de trabajo aislada para el Gerente de Tecnología, 1 sala de juntas con capacidad para 8 personas equipada con pantalla interactiva y sistema de videoconferencia, 1 área común con kitchenette y zona de descanso, y 2 baños (uno con vestidor). El mobiliario incluye escritorios ajustables (sitting-standing), sillas ergonómicas y doble monitor por estación. La conectividad es un enlace dedicado de fibra óptica simétrica de 500 Mbps con redundancia mediante enlace 4G/5G de respaldo y red WiFi 6 con segmentación de VLAN (corporativa, invitados, IoT). El equipamiento audiovisual incluye pantalla 4K para presentaciones, cámara de videoconferencia Polycom Studio y sistema de audio para sala de juntas. La seguridad física se compone de control de acceso con tarjeta magnética, cámaras CCTV en accesos y áreas comunes, y alarma monitoreada. Los servicios generales incluyen aire acondicionado central, planta de emergencia para cortes eléctricos, servicio de limpieza diario y mantenimiento mensual.</w:t>
      </w:r>
    </w:p>
    <w:p w:rsidR="00000000" w:rsidDel="00000000" w:rsidP="00000000" w:rsidRDefault="00000000" w:rsidRPr="00000000" w14:paraId="0000002A">
      <w:pPr>
        <w:spacing w:after="120" w:line="360" w:lineRule="auto"/>
        <w:jc w:val="both"/>
        <w:rPr/>
      </w:pPr>
      <w:r>
        <w:t xml:space="preserve">La oficina opera en horario flexible (7:00 a 20:00 horas) bajo un esquema híbrido: el equipo técnico asiste presencialmente 3 días a la semana (martes, miércoles y jueves) y trabaja remoto lunes y viernes. El residente, en su carácter de personal en formación, asiste presencialmente los 5 días hábiles conforme a los lineamientos del Normativo Académico-Administrativo 2015.</w:t>
      </w:r>
    </w:p>
    <w:p w:rsidR="00000000" w:rsidDel="00000000" w:rsidP="00000000" w:rsidRDefault="00000000" w:rsidRPr="00000000" w14:paraId="0000002A">
      <w:pPr>
        <w:spacing w:after="120" w:line="360" w:lineRule="auto"/>
        <w:jc w:val="both"/>
        <w:rPr/>
      </w:pPr>
      <w:r>
        <w:t xml:space="preserve">La infraestructura computacional de QuinielaTech reside en un servidor VPS en la nube (datacenter europeo, configuración detallada en el Anexo técnico), accesible desde la oficina y desde cualquier ubicación remota mediante VPN corporativa con autenticación de dos factores. Esta arquitectura de infraestructura remota es independiente de la ubicación física de la oficina y permite la continuidad operativa ante contingencias (sismos, fallas eléctricas, pandemias) que afectan a la CDMX.</w:t>
      </w:r>
    </w:p>
    <w:p w:rsidR="00000000" w:rsidDel="00000000" w:rsidP="00000000" w:rsidRDefault="00000000" w:rsidRPr="00000000" w14:paraId="0000002B">
      <w:pPr>
        <w:spacing w:after="160" w:before="360" w:line="360" w:lineRule="auto"/>
        <w:rPr>
          <w:b w:val="1"/>
          <w:bCs w:val="1"/>
          <w:sz w:val="28"/>
          <w:szCs w:val="28"/>
        </w:rPr>
      </w:pPr>
      <w:r w:rsidDel="00000000" w:rsidR="00000000" w:rsidRPr="00000000">
        <w:rPr>
          <w:b w:val="1"/>
          <w:bCs w:val="1"/>
          <w:sz w:val="28"/>
          <w:szCs w:val="28"/>
          <w:rtl w:val="0"/>
        </w:rPr>
        <w:t xml:space="preserve">1.3 Problemas a resolver</w:t>
      </w:r>
    </w:p>
    <w:p w:rsidR="00000000" w:rsidDel="00000000" w:rsidP="00000000" w:rsidRDefault="00000000" w:rsidRPr="00000000" w14:paraId="0000002C">
      <w:pPr>
        <w:spacing w:after="120" w:before="240" w:line="360" w:lineRule="auto"/>
        <w:rPr>
          <w:b w:val="1"/>
          <w:bCs w:val="1"/>
        </w:rPr>
      </w:pPr>
      <w:r w:rsidDel="00000000" w:rsidR="00000000" w:rsidRPr="00000000">
        <w:rPr>
          <w:b w:val="1"/>
          <w:bCs w:val="1"/>
          <w:rtl w:val="0"/>
        </w:rPr>
        <w:t xml:space="preserve">1.3.1 Planteamiento del problema</w:t>
      </w:r>
    </w:p>
    <w:p w:rsidR="00000000" w:rsidDel="00000000" w:rsidP="00000000" w:rsidRDefault="00000000" w:rsidRPr="00000000" w14:paraId="0000002D">
      <w:pPr>
        <w:spacing w:after="120" w:line="360" w:lineRule="auto"/>
        <w:jc w:val="both"/>
        <w:rPr/>
      </w:pPr>
      <w:r w:rsidDel="00000000" w:rsidR="00000000" w:rsidRPr="00000000">
        <w:rPr>
          <w:rtl w:val="0"/>
        </w:rPr>
        <w:t xml:space="preserve">El ecosistema mexicano de predicción deportiva presenta una </w:t>
      </w:r>
      <w:r w:rsidDel="00000000" w:rsidR="00000000" w:rsidRPr="00000000">
        <w:rPr>
          <w:b w:val="1"/>
          <w:bCs w:val="1"/>
          <w:rtl w:val="0"/>
        </w:rPr>
        <w:t xml:space="preserve">brecha de acceso a herramientas cuantitativas</w:t>
      </w:r>
      <w:r w:rsidDel="00000000" w:rsidR="00000000" w:rsidRPr="00000000">
        <w:rPr>
          <w:rtl w:val="0"/>
        </w:rPr>
        <w:t xml:space="preserve"> que afecta a tres actores principales:</w:t>
      </w:r>
    </w:p>
    <w:p w:rsidR="00000000" w:rsidDel="00000000" w:rsidP="00000000" w:rsidRDefault="00000000" w:rsidRPr="00000000" w14:paraId="0000002E">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Aficionados a las quinielas.</w:t>
      </w:r>
      <w:r w:rsidDel="00000000" w:rsidR="00000000" w:rsidRPr="00000000">
        <w:rPr>
          <w:rtl w:val="0"/>
        </w:rPr>
        <w:t xml:space="preserve"> En cada jornada de la Liga MX se organizan colectas, quinielas familiares y competencias de pronóstico entre aficionados. Las herramientas públicas disponibles en México se reducen a: (a) encuestas de opinión en medios deportivos, (b) promedios históricos simples ("gana el local el 60%"), y (c) selecciones manuales de expertos sin trazabilidad. Ninguna entrega probabilidades calibradas con auditoría histórica.</w:t>
      </w:r>
    </w:p>
    <w:p w:rsidR="00000000" w:rsidDel="00000000" w:rsidP="00000000" w:rsidRDefault="00000000" w:rsidRPr="00000000" w14:paraId="0000002F">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Analistas deportivos aficionados y comunicadores.</w:t>
      </w:r>
      <w:r w:rsidDel="00000000" w:rsidR="00000000" w:rsidRPr="00000000">
        <w:rPr>
          <w:rtl w:val="0"/>
        </w:rPr>
        <w:t xml:space="preserve"> Periodistas deportivos independientes, podcasters y creadores de contenido sobre Liga MX carecen de un baseline cuantitativo al cual contrastar sus análisis narrativos. La construcción de un modelo estadístico propio, además, requiere conocimientos técnicos que no son triviales (Poisson bivariado, regresión isotónica, calibración Platt, manejo de históricos extensos).</w:t>
      </w:r>
    </w:p>
    <w:p w:rsidR="00000000" w:rsidDel="00000000" w:rsidP="00000000" w:rsidRDefault="00000000" w:rsidRPr="00000000" w14:paraId="00000030">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Investigadores y estudiantes.</w:t>
      </w:r>
      <w:r w:rsidDel="00000000" w:rsidR="00000000" w:rsidRPr="00000000">
        <w:rPr>
          <w:rtl w:val="0"/>
        </w:rPr>
        <w:t xml:space="preserve"> El fútbol mexicano es un dominio de estudio poco explorado cuantitativamente en comparación con las grandes ligas europeas. La publicación de un sistema reproducible —con datos accesibles, código abierto y resultados auditables— contribuye al acervo metodológico en español.</w:t>
      </w:r>
    </w:p>
    <w:p w:rsidR="00000000" w:rsidDel="00000000" w:rsidP="00000000" w:rsidRDefault="00000000" w:rsidRPr="00000000" w14:paraId="00000031">
      <w:pPr>
        <w:spacing w:after="120" w:line="360" w:lineRule="auto"/>
        <w:jc w:val="both"/>
        <w:rPr/>
      </w:pPr>
      <w:r w:rsidDel="00000000" w:rsidR="00000000" w:rsidRPr="00000000">
        <w:rPr>
          <w:rtl w:val="0"/>
        </w:rPr>
        <w:t xml:space="preserve">Adicionalmente, el proyecto aborda un </w:t>
      </w:r>
      <w:r w:rsidDel="00000000" w:rsidR="00000000" w:rsidRPr="00000000">
        <w:rPr>
          <w:b w:val="1"/>
          <w:bCs w:val="1"/>
          <w:rtl w:val="0"/>
        </w:rPr>
        <w:t xml:space="preserve">problema técnico</w:t>
      </w:r>
      <w:r w:rsidDel="00000000" w:rsidR="00000000" w:rsidRPr="00000000">
        <w:rPr>
          <w:rtl w:val="0"/>
        </w:rPr>
        <w:t xml:space="preserve"> latente en los datos mismos: la *calibración de probabilidades emitidas por modelos ensemble**. Los modelos estadísticos aplicados a fútbol tienden a sobreestimar la probabilidad de la clase predicha (overconfidence*), especialmente cuando las clases están desbalanceadas —en la Liga MX, el empate representa aproximadamente 25% de los resultados—. Sin una etapa explícita de calibración, las probabilidades entregadas al usuario final son sistemáticamente sesgadas, lo que las hace inservibles para cualquier decisión informada.</w:t>
      </w:r>
    </w:p>
    <w:p w:rsidR="00000000" w:rsidDel="00000000" w:rsidP="00000000" w:rsidRDefault="00000000" w:rsidRPr="00000000" w14:paraId="00000032">
      <w:pPr>
        <w:spacing w:after="120" w:before="240" w:line="360" w:lineRule="auto"/>
        <w:rPr>
          <w:b w:val="1"/>
          <w:bCs w:val="1"/>
        </w:rPr>
      </w:pPr>
      <w:r w:rsidDel="00000000" w:rsidR="00000000" w:rsidRPr="00000000">
        <w:rPr>
          <w:b w:val="1"/>
          <w:bCs w:val="1"/>
          <w:rtl w:val="0"/>
        </w:rPr>
        <w:t xml:space="preserve">1.3.2 Alcances</w:t>
      </w:r>
    </w:p>
    <w:p w:rsidR="00000000" w:rsidDel="00000000" w:rsidP="00000000" w:rsidRDefault="00000000" w:rsidRPr="00000000" w14:paraId="00000033">
      <w:pPr>
        <w:spacing w:after="120" w:line="360" w:lineRule="auto"/>
        <w:jc w:val="both"/>
        <w:rPr/>
      </w:pPr>
      <w:r w:rsidDel="00000000" w:rsidR="00000000" w:rsidRPr="00000000">
        <w:rPr>
          <w:rtl w:val="0"/>
        </w:rPr>
        <w:t xml:space="preserve">El proyecto </w:t>
      </w:r>
      <w:r w:rsidDel="00000000" w:rsidR="00000000" w:rsidRPr="00000000">
        <w:rPr>
          <w:b w:val="1"/>
          <w:bCs w:val="1"/>
          <w:rtl w:val="0"/>
        </w:rPr>
        <w:t xml:space="preserve">SÍ incluye</w:t>
      </w:r>
      <w:r w:rsidDel="00000000" w:rsidR="00000000" w:rsidRPr="00000000">
        <w:rPr>
          <w:rtl w:val="0"/>
        </w:rPr>
        <w:t xml:space="preserve"> los siguientes entregables, todos verificables al cierre de la memoria:</w:t>
      </w:r>
    </w:p>
    <w:p w:rsidR="00000000" w:rsidDel="00000000" w:rsidP="00000000" w:rsidRDefault="00000000" w:rsidRPr="00000000" w14:paraId="00000034">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Sistema de ingesta automatizada</w:t>
      </w:r>
      <w:r w:rsidDel="00000000" w:rsidR="00000000" w:rsidRPr="00000000">
        <w:rPr>
          <w:rtl w:val="0"/>
        </w:rPr>
        <w:t xml:space="preserve"> desde cuatro fuentes: SportMonks API v3 (datos deportivos), ESPN API (lesiones), Open-Meteo (clima) y un módulo MVP de cuotas sintéticas de mercado. La ingesta corre diariamente a las 11:00 UTC y replica incrementalmente fixtures, alineaciones, estadísticas por partido, eventos (goles, tarjetas), cambios de entrenador, lesiones activas y pronóstico meteorológico a siete días.</w:t>
      </w:r>
    </w:p>
    <w:p w:rsidR="00000000" w:rsidDel="00000000" w:rsidP="00000000" w:rsidRDefault="00000000" w:rsidRPr="00000000" w14:paraId="00000035">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Base de datos relacional</w:t>
      </w:r>
      <w:r w:rsidDel="00000000" w:rsidR="00000000" w:rsidRPr="00000000">
        <w:rPr>
          <w:rtl w:val="0"/>
        </w:rPr>
        <w:t xml:space="preserve"> en SQLite (esquema v2, 19 tablas) con histórico de seis temporadas de la Liga MX, indexada para consultas analíticas rápidas. Tamaño actual aproximado: ~272 MB, con más de 250,000 registros entre fixtures, eventos, estadísticas, alineaciones y datos auxiliares.</w:t>
      </w:r>
    </w:p>
    <w:p w:rsidR="00000000" w:rsidDel="00000000" w:rsidP="00000000" w:rsidRDefault="00000000" w:rsidRPr="00000000" w14:paraId="00000036">
      <w:pPr>
        <w:spacing w:after="120" w:line="360" w:lineRule="auto"/>
        <w:jc w:val="both"/>
        <w:rPr/>
      </w:pPr>
      <w:r w:rsidDel="00000000" w:rsidR="00000000" w:rsidRPr="00000000">
        <w:rPr>
          <w:rtl w:val="0"/>
        </w:rPr>
        <w:t xml:space="preserve">3. *Motor de predicción ensemble*** compuesto por cuatro modelos:</w:t>
      </w:r>
    </w:p>
    <w:p w:rsidR="00000000" w:rsidDel="00000000" w:rsidP="00000000" w:rsidRDefault="00000000" w:rsidRPr="00000000" w14:paraId="00000037">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Dixon-Coles</w:t>
      </w:r>
      <w:r w:rsidDel="00000000" w:rsidR="00000000" w:rsidRPr="00000000">
        <w:rPr>
          <w:rtl w:val="0"/>
        </w:rPr>
        <w:t xml:space="preserve"> (Poisson bivariado con corrección τ para empates de baja puntuación).</w:t>
      </w:r>
    </w:p>
    <w:p w:rsidR="00000000" w:rsidDel="00000000" w:rsidP="00000000" w:rsidRDefault="00000000" w:rsidRPr="00000000" w14:paraId="00000038">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Elo Rating</w:t>
      </w:r>
      <w:r w:rsidDel="00000000" w:rsidR="00000000" w:rsidRPr="00000000">
        <w:rPr>
          <w:rtl w:val="0"/>
        </w:rPr>
        <w:t xml:space="preserve"> dinámico con shrinkage global de 0.7 (calibrado por grid search).</w:t>
      </w:r>
    </w:p>
    <w:p w:rsidR="00000000" w:rsidDel="00000000" w:rsidP="00000000" w:rsidRDefault="00000000" w:rsidRPr="00000000" w14:paraId="00000039">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r w:rsidDel="00000000" w:rsidR="00000000" w:rsidRPr="00000000">
        <w:rPr>
          <w:b w:val="1"/>
          <w:bCs w:val="1"/>
          <w:rtl w:val="0"/>
        </w:rPr>
        <w:t xml:space="preserve">xG proxy</w:t>
      </w:r>
      <w:r w:rsidDel="00000000" w:rsidR="00000000" w:rsidRPr="00000000">
        <w:rPr>
          <w:rtl w:val="0"/>
        </w:rPr>
        <w:t xml:space="preserve">* por regresión Ridge log-link con decaimiento exponencial de 0.85 sobre estadísticas de tiros.</w:t>
      </w:r>
    </w:p>
    <w:p w:rsidR="00000000" w:rsidDel="00000000" w:rsidP="00000000" w:rsidRDefault="00000000" w:rsidRPr="00000000" w14:paraId="0000003A">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15 heurísticas</w:t>
      </w:r>
      <w:r w:rsidDel="00000000" w:rsidR="00000000" w:rsidRPr="00000000">
        <w:rPr>
          <w:rtl w:val="0"/>
        </w:rPr>
        <w:t xml:space="preserve"> validadas en el dominio (forma reciente, momentum compuesto, derby, presión del director técnico, sesgo arbitral, asistencia al estadio, altitud, entre otras).</w:t>
      </w:r>
    </w:p>
    <w:p w:rsidR="00000000" w:rsidDel="00000000" w:rsidP="00000000" w:rsidRDefault="00000000" w:rsidRPr="00000000" w14:paraId="0000003B">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*Pesos calibrados del ensemble** vía grid search (Fase 8): xG* 55% + Elo 22.5% + Dixon-Coles 13.5% + heurísticas 9%.</w:t>
      </w:r>
    </w:p>
    <w:p w:rsidR="00000000" w:rsidDel="00000000" w:rsidP="00000000" w:rsidRDefault="00000000" w:rsidRPr="00000000" w14:paraId="0000003C">
      <w:pPr>
        <w:spacing w:after="120" w:line="360" w:lineRule="auto"/>
        <w:jc w:val="both"/>
        <w:rPr/>
      </w:pPr>
      <w:r w:rsidDel="00000000" w:rsidR="00000000" w:rsidRPr="00000000">
        <w:rPr>
          <w:rtl w:val="0"/>
        </w:rPr>
        <w:t xml:space="preserve">4. </w:t>
      </w:r>
      <w:r w:rsidDel="00000000" w:rsidR="00000000" w:rsidRPr="00000000">
        <w:rPr>
          <w:b w:val="1"/>
          <w:bCs w:val="1"/>
          <w:rtl w:val="0"/>
        </w:rPr>
        <w:t xml:space="preserve">Módulo de calibración Platt scaling 1-vs-rest</w:t>
      </w:r>
      <w:r w:rsidDel="00000000" w:rsidR="00000000" w:rsidRPr="00000000">
        <w:rPr>
          <w:rtl w:val="0"/>
        </w:rPr>
        <w:t xml:space="preserve"> por clase, ajustado vía scipy.optimize L-BFGS-B con coeficientes recalibrados semanalmente (cron lunes 09:00 UTC, con rollback automático si la métrica Brier se deteriora más de 1 punto porcentual).</w:t>
      </w:r>
    </w:p>
    <w:p w:rsidR="00000000" w:rsidDel="00000000" w:rsidP="00000000" w:rsidRDefault="00000000" w:rsidRPr="00000000" w14:paraId="0000003D">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Reportes automatizados</w:t>
      </w:r>
      <w:r w:rsidDel="00000000" w:rsidR="00000000" w:rsidRPr="00000000">
        <w:rPr>
          <w:rtl w:val="0"/>
        </w:rPr>
        <w:t xml:space="preserve"> distribuidos por un bot de Telegram y publicados en formato JSON y texto en data/daily_report.{json,txt}. El reporte incluye partidos próximos, predicciones 1X2 con probabilidades calibradas, marcador más probable y resumen de lesiones activas.</w:t>
      </w:r>
    </w:p>
    <w:p w:rsidR="00000000" w:rsidDel="00000000" w:rsidP="00000000" w:rsidRDefault="00000000" w:rsidRPr="00000000" w14:paraId="0000003E">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Interfaz web pública</w:t>
      </w:r>
      <w:r w:rsidDel="00000000" w:rsidR="00000000" w:rsidRPr="00000000">
        <w:rPr>
          <w:rtl w:val="0"/>
        </w:rPr>
        <w:t xml:space="preserve"> en https://quinielas.lol con HTTPS válido (Let's Encrypt), cuatro rutas funcionales: inicio, partido individual (/partido/[id]), equipo (/equipo/[id]) y calendario (/calendario). Sistema de votos Sprint 4 con cookies HttpOnly y validaciones contra inyección SQL.</w:t>
      </w:r>
    </w:p>
    <w:p w:rsidR="00000000" w:rsidDel="00000000" w:rsidP="00000000" w:rsidRDefault="00000000" w:rsidRPr="00000000" w14:paraId="0000003F">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Módulo experimental de debate multi-agente</w:t>
      </w:r>
      <w:r w:rsidDel="00000000" w:rsidR="00000000" w:rsidRPr="00000000">
        <w:rPr>
          <w:rtl w:val="0"/>
        </w:rPr>
        <w:t xml:space="preserve"> (Fase 10) con cinco agentes especializados (Bull-Local, Bear-Visitante, Numérico, Contextual, Auditor de Datos) y un juez basado en DWC-MAD. Restringido a partidos de alta incertidumbre por límite de concurrencia del proveedor de modelos de lenguaje (3-4 agentes paralelos).</w:t>
      </w:r>
    </w:p>
    <w:p w:rsidR="00000000" w:rsidDel="00000000" w:rsidP="00000000" w:rsidRDefault="00000000" w:rsidRPr="00000000" w14:paraId="00000040">
      <w:pPr>
        <w:spacing w:after="120" w:line="360" w:lineRule="auto"/>
        <w:jc w:val="both"/>
        <w:rPr/>
      </w:pPr>
      <w:r w:rsidDel="00000000" w:rsidR="00000000" w:rsidRPr="00000000">
        <w:rPr>
          <w:rtl w:val="0"/>
        </w:rPr>
        <w:t xml:space="preserve">8. </w:t>
      </w:r>
      <w:r w:rsidDel="00000000" w:rsidR="00000000" w:rsidRPr="00000000">
        <w:rPr>
          <w:b w:val="1"/>
          <w:bCs w:val="1"/>
          <w:rtl w:val="0"/>
        </w:rPr>
        <w:t xml:space="preserve">Documentación técnica exhaustiva</w:t>
      </w:r>
      <w:r w:rsidDel="00000000" w:rsidR="00000000" w:rsidRPr="00000000">
        <w:rPr>
          <w:rtl w:val="0"/>
        </w:rPr>
        <w:t xml:space="preserve"> en docs/ (siete documentos: ROADMAP, METHODOLOGY, BACKTESTING_RESULTS, FEATURES, SCHEMA_V2, RESEARCH_SYNTHESIS, SOURCES_AUDIT) más bitácora de operación en memory/ con registro diario del proyecto.</w:t>
      </w:r>
    </w:p>
    <w:p w:rsidR="00000000" w:rsidDel="00000000" w:rsidP="00000000" w:rsidRDefault="00000000" w:rsidRPr="00000000" w14:paraId="00000041">
      <w:pPr>
        <w:spacing w:after="120" w:line="360" w:lineRule="auto"/>
        <w:jc w:val="both"/>
        <w:rPr/>
      </w:pPr>
      <w:r w:rsidDel="00000000" w:rsidR="00000000" w:rsidRPr="00000000">
        <w:rPr>
          <w:rtl w:val="0"/>
        </w:rPr>
        <w:t xml:space="preserve">9. </w:t>
      </w:r>
      <w:r w:rsidDel="00000000" w:rsidR="00000000" w:rsidRPr="00000000">
        <w:rPr>
          <w:b w:val="1"/>
          <w:bCs w:val="1"/>
          <w:rtl w:val="0"/>
        </w:rPr>
        <w:t xml:space="preserve">Suite de pruebas automatizadas</w:t>
      </w:r>
      <w:r w:rsidDel="00000000" w:rsidR="00000000" w:rsidRPr="00000000">
        <w:rPr>
          <w:rtl w:val="0"/>
        </w:rPr>
        <w:t xml:space="preserve"> con 186 pruebas unitarias ejecutadas en menos de 10 segundos, cubriendo modelos, calibración, ingesta, módulo multi-agente y reglas de validación.</w:t>
      </w:r>
    </w:p>
    <w:p w:rsidR="00000000" w:rsidDel="00000000" w:rsidP="00000000" w:rsidRDefault="00000000" w:rsidRPr="00000000" w14:paraId="00000042">
      <w:pPr>
        <w:spacing w:after="120" w:before="240" w:line="360" w:lineRule="auto"/>
        <w:rPr>
          <w:b w:val="1"/>
          <w:bCs w:val="1"/>
        </w:rPr>
      </w:pPr>
      <w:r w:rsidDel="00000000" w:rsidR="00000000" w:rsidRPr="00000000">
        <w:rPr>
          <w:b w:val="1"/>
          <w:bCs w:val="1"/>
          <w:rtl w:val="0"/>
        </w:rPr>
        <w:t xml:space="preserve">1.3.3 Limitaciones</w:t>
      </w:r>
    </w:p>
    <w:p w:rsidR="00000000" w:rsidDel="00000000" w:rsidP="00000000" w:rsidRDefault="00000000" w:rsidRPr="00000000" w14:paraId="00000043">
      <w:pPr>
        <w:spacing w:after="120" w:line="360" w:lineRule="auto"/>
        <w:jc w:val="both"/>
        <w:rPr/>
      </w:pPr>
      <w:r w:rsidDel="00000000" w:rsidR="00000000" w:rsidRPr="00000000">
        <w:rPr>
          <w:rtl w:val="0"/>
        </w:rPr>
        <w:t xml:space="preserve">El proyecto </w:t>
      </w:r>
      <w:r w:rsidDel="00000000" w:rsidR="00000000" w:rsidRPr="00000000">
        <w:rPr>
          <w:b w:val="1"/>
          <w:bCs w:val="1"/>
          <w:rtl w:val="0"/>
        </w:rPr>
        <w:t xml:space="preserve">NO incluye</w:t>
      </w:r>
      <w:r w:rsidDel="00000000" w:rsidR="00000000" w:rsidRPr="00000000">
        <w:rPr>
          <w:rtl w:val="0"/>
        </w:rPr>
        <w:t xml:space="preserve"> las siguientes funcionalidades, por decisión técnica o por restricción de recursos:</w:t>
      </w:r>
    </w:p>
    <w:p w:rsidR="00000000" w:rsidDel="00000000" w:rsidP="00000000" w:rsidRDefault="00000000" w:rsidRPr="00000000" w14:paraId="00000044">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Predicción en tiempo real durante el partido.</w:t>
      </w:r>
      <w:r w:rsidDel="00000000" w:rsidR="00000000" w:rsidRPr="00000000">
        <w:rPr>
          <w:rtl w:val="0"/>
        </w:rPr>
        <w:t xml:space="preserve"> El sistema emite predicciones </w:t>
      </w:r>
      <w:r w:rsidDel="00000000" w:rsidR="00000000" w:rsidRPr="00000000">
        <w:rPr>
          <w:b w:val="1"/>
          <w:bCs w:val="1"/>
          <w:rtl w:val="0"/>
        </w:rPr>
        <w:t xml:space="preserve">pre-partido</w:t>
      </w:r>
      <w:r w:rsidDel="00000000" w:rsidR="00000000" w:rsidRPr="00000000">
        <w:rPr>
          <w:rtl w:val="0"/>
        </w:rPr>
        <w:t xml:space="preserve"> basadas en información disponible hasta el momento del pitazo inicial. No incluye modelo dinámico que actualice probabilidades al medio tiempo o en función de goles tempranos (queda como trabajo futuro en Fase D).</w:t>
      </w:r>
    </w:p>
    <w:p w:rsidR="00000000" w:rsidDel="00000000" w:rsidP="00000000" w:rsidRDefault="00000000" w:rsidRPr="00000000" w14:paraId="00000045">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Tracking data</w:t>
      </w:r>
      <w:r w:rsidDel="00000000" w:rsidR="00000000" w:rsidRPr="00000000">
        <w:rPr>
          <w:rtl w:val="0"/>
        </w:rPr>
        <w:t xml:space="preserve"> ni datos de eventos por jugada individual. Variables modernas como redes de pases, presión sobre el balón, expected threat (xT*) y mapas de calor no están integradas por requerir fuentes de datos con costo elevado (StatsBomb, Opta) fuera del presupuesto del proyecto ($0 de APIs externas adicionales a SportMonks).</w:t>
      </w:r>
    </w:p>
    <w:p w:rsidR="00000000" w:rsidDel="00000000" w:rsidP="00000000" w:rsidRDefault="00000000" w:rsidRPr="00000000" w14:paraId="00000046">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Apuesta deportiva con dinero real.</w:t>
      </w:r>
      <w:r w:rsidDel="00000000" w:rsidR="00000000" w:rsidRPr="00000000">
        <w:rPr>
          <w:rtl w:val="0"/>
        </w:rPr>
        <w:t xml:space="preserve"> El sistema entrega probabilidades calibradas con propósito informativo y de auditoría metodológica. No está diseñado ni validado para gestión de bankroll, y la documentación del proyecto advierte explícitamente contra su uso para apuestas reales sin comprensión profunda del modelo y del factor suerte inherente al fútbol.</w:t>
      </w:r>
    </w:p>
    <w:p w:rsidR="00000000" w:rsidDel="00000000" w:rsidP="00000000" w:rsidRDefault="00000000" w:rsidRPr="00000000" w14:paraId="00000047">
      <w:pPr>
        <w:spacing w:after="120" w:line="360" w:lineRule="auto"/>
        <w:jc w:val="both"/>
        <w:rPr/>
      </w:pPr>
      <w:r w:rsidDel="00000000" w:rsidR="00000000" w:rsidRPr="00000000">
        <w:rPr>
          <w:rtl w:val="0"/>
        </w:rPr>
        <w:t xml:space="preserve">4. </w:t>
      </w:r>
      <w:r w:rsidDel="00000000" w:rsidR="00000000" w:rsidRPr="00000000">
        <w:rPr>
          <w:b w:val="1"/>
          <w:bCs w:val="1"/>
          <w:rtl w:val="0"/>
        </w:rPr>
        <w:t xml:space="preserve">Cuotas reales del mercado de apuestas.</w:t>
      </w:r>
      <w:r w:rsidDel="00000000" w:rsidR="00000000" w:rsidRPr="00000000">
        <w:rPr>
          <w:rtl w:val="0"/>
        </w:rPr>
        <w:t xml:space="preserve"> El módulo MVP de market_odds actualmente genera cuotas sintéticas para fines de prueba de la interfaz web. La integración con cuotas reales (Pinnacle, Bet365) está planeada pero pendiente de scraping o partnership comercial.</w:t>
      </w:r>
    </w:p>
    <w:p w:rsidR="00000000" w:rsidDel="00000000" w:rsidP="00000000" w:rsidRDefault="00000000" w:rsidRPr="00000000" w14:paraId="00000048">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Otras ligas fuera de la Liga MX.</w:t>
      </w:r>
      <w:r w:rsidDel="00000000" w:rsidR="00000000" w:rsidRPr="00000000">
        <w:rPr>
          <w:rtl w:val="0"/>
        </w:rPr>
        <w:t xml:space="preserve"> El sistema fue entrenado, validado y calibrado exclusivamente con datos de la Liga MX (id 743 en SportMonks). Su extensión a otras ligas (MLS, Premier League, Liga MX Femenil, Liga de Expansión) requeriría re-entrenamiento, re-calibración y validación específica por liga.</w:t>
      </w:r>
    </w:p>
    <w:p w:rsidR="00000000" w:rsidDel="00000000" w:rsidP="00000000" w:rsidRDefault="00000000" w:rsidRPr="00000000" w14:paraId="00000049">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Predicción de variables distintas al resultado 1X2.</w:t>
      </w:r>
      <w:r w:rsidDel="00000000" w:rsidR="00000000" w:rsidRPr="00000000">
        <w:rPr>
          <w:rtl w:val="0"/>
        </w:rPr>
        <w:t xml:space="preserve"> El sistema no emite predicciones individuales para: primer gol, número exacto de goles, jugador que marcará, lesiones durante el partido. Estas variables podrían modelarse a futuro con extensiones del ensemble actual pero quedan fuera del alcance formal.</w:t>
      </w:r>
    </w:p>
    <w:p w:rsidR="00000000" w:rsidDel="00000000" w:rsidP="00000000" w:rsidRDefault="00000000" w:rsidRPr="00000000" w14:paraId="0000004A">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Cobertura perfecta de lesiones y clima.</w:t>
      </w:r>
      <w:r w:rsidDel="00000000" w:rsidR="00000000" w:rsidRPr="00000000">
        <w:rPr>
          <w:rtl w:val="0"/>
        </w:rPr>
        <w:t xml:space="preserve"> Las lesiones activas se ingieren desde ESPN API, cuya cobertura para la Liga MX no es exhaustiva (~70-80% de los casos reales reportados). El clima se obtiene de Open-Meteo con cobertura del 93.4% de los próximos siete días, pero eventos meteorológicos extremos (tormentas eléctricas, suspensiones) pueden no estar reflejados en el pronóstico a siete días.</w:t>
      </w:r>
    </w:p>
    <w:p w:rsidR="00000000" w:rsidDel="00000000" w:rsidP="00000000" w:rsidRDefault="00000000" w:rsidRPr="00000000" w14:paraId="0000004B">
      <w:pPr>
        <w:spacing w:after="120" w:line="360" w:lineRule="auto"/>
        <w:jc w:val="both"/>
        <w:rPr/>
      </w:pPr>
      <w:r w:rsidDel="00000000" w:rsidR="00000000" w:rsidRPr="00000000">
        <w:rPr>
          <w:rtl w:val="0"/>
        </w:rPr>
        <w:t xml:space="preserve">8. </w:t>
      </w:r>
      <w:r w:rsidDel="00000000" w:rsidR="00000000" w:rsidRPr="00000000">
        <w:rPr>
          <w:b w:val="1"/>
          <w:bCs w:val="1"/>
          <w:rtl w:val="0"/>
        </w:rPr>
        <w:t xml:space="preserve">Temporada 2026/27 incompleta.</w:t>
      </w:r>
      <w:r w:rsidDel="00000000" w:rsidR="00000000" w:rsidRPr="00000000">
        <w:rPr>
          <w:rtl w:val="0"/>
        </w:rPr>
        <w:t xml:space="preserve"> La base de datos contiene la temporada 2026/27 solo hasta donde los datos de SportMonks están disponibles al momento de la última ingesta. El backtest OOS usa leave-one-season-out sobre las temporadas completas previas (2023/24, 2024/25, 2025/26).</w:t>
      </w:r>
    </w:p>
    <w:p w:rsidR="00000000" w:rsidDel="00000000" w:rsidP="00000000" w:rsidRDefault="00000000" w:rsidRPr="00000000" w14:paraId="0000004C">
      <w:pPr>
        <w:spacing w:after="160" w:before="360" w:line="360" w:lineRule="auto"/>
        <w:rPr>
          <w:b w:val="1"/>
          <w:bCs w:val="1"/>
          <w:sz w:val="28"/>
          <w:szCs w:val="28"/>
        </w:rPr>
      </w:pPr>
      <w:r w:rsidDel="00000000" w:rsidR="00000000" w:rsidRPr="00000000">
        <w:rPr>
          <w:b w:val="1"/>
          <w:bCs w:val="1"/>
          <w:sz w:val="28"/>
          <w:szCs w:val="28"/>
          <w:rtl w:val="0"/>
        </w:rPr>
        <w:t xml:space="preserve">1.4 Objetivos</w:t>
      </w:r>
    </w:p>
    <w:p w:rsidR="00000000" w:rsidDel="00000000" w:rsidP="00000000" w:rsidRDefault="00000000" w:rsidRPr="00000000" w14:paraId="0000004D">
      <w:pPr>
        <w:spacing w:after="120" w:before="240" w:line="360" w:lineRule="auto"/>
        <w:rPr>
          <w:b w:val="1"/>
          <w:bCs w:val="1"/>
        </w:rPr>
      </w:pPr>
      <w:r w:rsidDel="00000000" w:rsidR="00000000" w:rsidRPr="00000000">
        <w:rPr>
          <w:b w:val="1"/>
          <w:bCs w:val="1"/>
          <w:rtl w:val="0"/>
        </w:rPr>
        <w:t xml:space="preserve">1.4.1 Objetivo General</w:t>
      </w:r>
    </w:p>
    <w:p w:rsidR="00000000" w:rsidDel="00000000" w:rsidP="00000000" w:rsidRDefault="00000000" w:rsidRPr="00000000" w14:paraId="0000004E">
      <w:pPr>
        <w:spacing w:after="120" w:line="360" w:lineRule="auto"/>
        <w:jc w:val="both"/>
        <w:rPr/>
      </w:pPr>
      <w:r w:rsidDel="00000000" w:rsidR="00000000" w:rsidRPr="00000000">
        <w:rPr>
          <w:rtl w:val="0"/>
        </w:rPr>
        <w:t xml:space="preserve">Diseñar, desarrollar y poner en producción un sistema cuantitativo de predicción de partidos de la </w:t>
      </w:r>
      <w:r w:rsidDel="00000000" w:rsidR="00000000" w:rsidRPr="00000000">
        <w:rPr>
          <w:b w:val="1"/>
          <w:bCs w:val="1"/>
          <w:rtl w:val="0"/>
        </w:rPr>
        <w:t xml:space="preserve">Liga MX</w:t>
      </w:r>
      <w:r w:rsidDel="00000000" w:rsidR="00000000" w:rsidRPr="00000000">
        <w:rPr>
          <w:rtl w:val="0"/>
        </w:rPr>
        <w:t xml:space="preserve"> que entregue probabilidades calibradas de resultado 1X2 con un accuracy out-of-sample superior al 50% y un Brier Score normalizado inferior a 0.21 sobre tres temporadas completas de validación.</w:t>
      </w:r>
    </w:p>
    <w:p w:rsidR="00000000" w:rsidDel="00000000" w:rsidP="00000000" w:rsidRDefault="00000000" w:rsidRPr="00000000" w14:paraId="0000004F">
      <w:pPr>
        <w:spacing w:after="120" w:before="240" w:line="360" w:lineRule="auto"/>
        <w:rPr>
          <w:b w:val="1"/>
          <w:bCs w:val="1"/>
        </w:rPr>
      </w:pPr>
      <w:r w:rsidDel="00000000" w:rsidR="00000000" w:rsidRPr="00000000">
        <w:rPr>
          <w:b w:val="1"/>
          <w:bCs w:val="1"/>
          <w:rtl w:val="0"/>
        </w:rPr>
        <w:t xml:space="preserve">1.4.2 Objetivos Específicos</w:t>
      </w:r>
    </w:p>
    <w:p w:rsidR="00000000" w:rsidDel="00000000" w:rsidP="00000000" w:rsidRDefault="00000000" w:rsidRPr="00000000" w14:paraId="00000050">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OE1 — Ingesta reproducible.</w:t>
      </w:r>
      <w:r w:rsidDel="00000000" w:rsidR="00000000" w:rsidRPr="00000000">
        <w:rPr>
          <w:rtl w:val="0"/>
        </w:rPr>
        <w:t xml:space="preserve"> Implementar un pipeline de ingesta automatizada desde SportMonks API v3, ESPN API y Open-Meteo, que replique incrementalmente la base de datos SQLite (esquema v2) con cobertura mínima de 95% sobre los fixtures próximos a jugarse en los siguientes siete días.</w:t>
      </w:r>
    </w:p>
    <w:p w:rsidR="00000000" w:rsidDel="00000000" w:rsidP="00000000" w:rsidRDefault="00000000" w:rsidRPr="00000000" w14:paraId="00000051">
      <w:pPr>
        <w:spacing w:after="120" w:line="360" w:lineRule="auto"/>
        <w:jc w:val="both"/>
        <w:rPr/>
      </w:pPr>
      <w:r w:rsidDel="00000000" w:rsidR="00000000" w:rsidRPr="00000000">
        <w:rPr>
          <w:rtl w:val="0"/>
        </w:rPr>
        <w:t xml:space="preserve">2. *OE2 — Ingeniería de features. Construir un catálogo de 28 features engineered*</w:t>
      </w:r>
      <w:r w:rsidDel="00000000" w:rsidR="00000000" w:rsidRPr="00000000">
        <w:rPr>
          <w:b w:val="1"/>
          <w:bCs w:val="1"/>
          <w:rtl w:val="0"/>
        </w:rPr>
        <w:t xml:space="preserve"> y </w:t>
      </w:r>
      <w:r w:rsidDel="00000000" w:rsidR="00000000" w:rsidRPr="00000000">
        <w:rPr>
          <w:rtl w:val="0"/>
        </w:rPr>
        <w:t xml:space="preserve">15 heurísticas* validadas en la literatura científica sobre predicción deportiva, incluyendo forma exponencial, splits local/visitante, head-to-head histórico, altitud, fatiga por calendario, sesgo arbitral, attendance ratio* e impacto de lesiones activas.</w:t>
      </w:r>
    </w:p>
    <w:p w:rsidR="00000000" w:rsidDel="00000000" w:rsidP="00000000" w:rsidRDefault="00000000" w:rsidRPr="00000000" w14:paraId="00000052">
      <w:pPr>
        <w:spacing w:after="120" w:line="360" w:lineRule="auto"/>
        <w:jc w:val="both"/>
        <w:rPr/>
      </w:pPr>
      <w:r w:rsidDel="00000000" w:rsidR="00000000" w:rsidRPr="00000000">
        <w:rPr>
          <w:rtl w:val="0"/>
        </w:rPr>
        <w:t xml:space="preserve">3. *OE3 — Modelo ensemble calibrado. Ensamblar cuatro modelos estadísticos (Dixon-Coles, Elo Rating, xG proxy, heurísticas) con pesos calibrados por grid search sobre backtest* de 680 partidos de las temporadas 2024 y 2025, y aplicar calibración Platt 1-vs-rest con coeficientes recalibrados semanalmente.</w:t>
      </w:r>
    </w:p>
    <w:p w:rsidR="00000000" w:rsidDel="00000000" w:rsidP="00000000" w:rsidRDefault="00000000" w:rsidRPr="00000000" w14:paraId="00000053">
      <w:pPr>
        <w:spacing w:after="120" w:line="360" w:lineRule="auto"/>
        <w:jc w:val="both"/>
        <w:rPr/>
      </w:pPr>
      <w:r w:rsidDel="00000000" w:rsidR="00000000" w:rsidRPr="00000000">
        <w:rPr>
          <w:rFonts w:ascii="Arial Unicode MS" w:cs="Arial Unicode MS" w:eastAsia="Arial Unicode MS" w:hAnsi="Arial Unicode MS"/>
          <w:rtl w:val="0"/>
        </w:rPr>
        <w:t xml:space="preserve">4. *OE4 — Validación empírica out-of-sample. Validar el sistema bajo esquema leave-one-season-out (dejando una temporada completa fuera del ajuste), reportando accuracy, Brier Score normalizado y Log Loss, con métricas desagregadas por tier* de confianza (alto ≥60%, medio 50-60%, bajo &lt;50%) y por equipo.</w:t>
      </w:r>
    </w:p>
    <w:p w:rsidR="00000000" w:rsidDel="00000000" w:rsidP="00000000" w:rsidRDefault="00000000" w:rsidRPr="00000000" w14:paraId="00000054">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OE5 — Operación continua.</w:t>
      </w:r>
      <w:r w:rsidDel="00000000" w:rsidR="00000000" w:rsidRPr="00000000">
        <w:rPr>
          <w:rtl w:val="0"/>
        </w:rPr>
        <w:t xml:space="preserve"> Desplegar el sistema en infraestructura VPS con respaldos automatizados diarios, recalibrador semanal con rollback automático, pipeline diario (11:00 UTC) sin intervención humana, y bot de Telegram para distribución de reportes.</w:t>
      </w:r>
    </w:p>
    <w:p w:rsidR="00000000" w:rsidDel="00000000" w:rsidP="00000000" w:rsidRDefault="00000000" w:rsidRPr="00000000" w14:paraId="00000055">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OE6 — Interfaz pública.</w:t>
      </w:r>
      <w:r w:rsidDel="00000000" w:rsidR="00000000" w:rsidRPr="00000000">
        <w:rPr>
          <w:rtl w:val="0"/>
        </w:rPr>
        <w:t xml:space="preserve"> Publicar una interfaz web accesible en quinielas.lol con HTTPS válido, mostrando las predicciones de los próximos partidos y el histórico de resultados de las últimas cinco temporadas, con sistema de votos de la comunidad y validación contra inyección SQL.</w:t>
      </w:r>
    </w:p>
    <w:p w:rsidR="00000000" w:rsidDel="00000000" w:rsidP="00000000" w:rsidRDefault="00000000" w:rsidRPr="00000000" w14:paraId="00000056">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OE7 — Documentación metodológica.</w:t>
      </w:r>
      <w:r w:rsidDel="00000000" w:rsidR="00000000" w:rsidRPr="00000000">
        <w:rPr>
          <w:rtl w:val="0"/>
        </w:rPr>
        <w:t xml:space="preserve"> Producir documentación técnica exhaustiva (siete documentos en docs/) que cubra metodología del modelo, catálogo de features, resultados de backtesting, diseño del esquema de base de datos, síntesis de literatura revisada por pares, inventario bibliográfico y auditoría de fuentes de datos, suficiente para que un tercero replique el sistema desde cero.</w:t>
      </w:r>
    </w:p>
    <w:p w:rsidR="00000000" w:rsidDel="00000000" w:rsidP="00000000" w:rsidRDefault="00000000" w:rsidRPr="00000000" w14:paraId="00000057">
      <w:pPr>
        <w:spacing w:after="160" w:before="360" w:line="360" w:lineRule="auto"/>
        <w:rPr>
          <w:b w:val="1"/>
          <w:bCs w:val="1"/>
          <w:sz w:val="28"/>
          <w:szCs w:val="28"/>
        </w:rPr>
      </w:pPr>
      <w:r w:rsidDel="00000000" w:rsidR="00000000" w:rsidRPr="00000000">
        <w:rPr>
          <w:b w:val="1"/>
          <w:bCs w:val="1"/>
          <w:sz w:val="28"/>
          <w:szCs w:val="28"/>
          <w:rtl w:val="0"/>
        </w:rPr>
        <w:t xml:space="preserve">1.5 Justificación</w:t>
      </w:r>
    </w:p>
    <w:p w:rsidR="00000000" w:rsidDel="00000000" w:rsidP="00000000" w:rsidRDefault="00000000" w:rsidRPr="00000000" w14:paraId="00000058">
      <w:pPr>
        <w:spacing w:after="120" w:before="240" w:line="360" w:lineRule="auto"/>
        <w:rPr>
          <w:b w:val="1"/>
          <w:bCs w:val="1"/>
        </w:rPr>
      </w:pPr>
      <w:r w:rsidDel="00000000" w:rsidR="00000000" w:rsidRPr="00000000">
        <w:rPr>
          <w:b w:val="1"/>
          <w:bCs w:val="1"/>
          <w:rtl w:val="0"/>
        </w:rPr>
        <w:t xml:space="preserve">Justificación técnica</w:t>
      </w:r>
    </w:p>
    <w:p w:rsidR="00000000" w:rsidDel="00000000" w:rsidP="00000000" w:rsidRDefault="00000000" w:rsidRPr="00000000" w14:paraId="00000059">
      <w:pPr>
        <w:spacing w:after="120" w:line="360" w:lineRule="auto"/>
        <w:jc w:val="both"/>
        <w:rPr/>
      </w:pPr>
      <w:r w:rsidDel="00000000" w:rsidR="00000000" w:rsidRPr="00000000">
        <w:rPr>
          <w:rtl w:val="0"/>
        </w:rPr>
        <w:t xml:space="preserve">El estado del arte en predicción de fútbol se ubica en el rango 55-60% de accuracy para el resultado 1X2 sobre datos modernos y técnicas calibradas (Constantinou y Fenton, 2018; Hubáček y Šourek, 2019; revisión sistemática MDPI, 2025). Los baselines naive —predicción siempre del local, o de la clase mayoritaria— rondan el 45-50%, y el azar puro se ubica en 33.3% para tres clases. Cualquier sistema que entregue accuracy sostenidamente por encima del baseline del local con probabilidades calibradas (es decir, que cuando dice "65% local" el equipo local efectivamente gane cerca del 65% de las veces) tiene valor informativo objetivo sobre las alternativas naive.</w:t>
      </w:r>
    </w:p>
    <w:p w:rsidR="00000000" w:rsidDel="00000000" w:rsidP="00000000" w:rsidRDefault="00000000" w:rsidRPr="00000000" w14:paraId="0000005A">
      <w:pPr>
        <w:spacing w:after="120" w:line="360" w:lineRule="auto"/>
        <w:jc w:val="both"/>
        <w:rPr/>
      </w:pPr>
      <w:r w:rsidDel="00000000" w:rsidR="00000000" w:rsidRPr="00000000">
        <w:rPr>
          <w:rtl w:val="0"/>
        </w:rPr>
        <w:t xml:space="preserve">En el caso específico del fútbol mexicano, la literatura cuantitativa es escasa comparada con las ligas europeas. La revisión sistemática MDPI 2025 sobre 172 artículos de aprendizaje automático aplicado al fútbol profesional identifica que </w:t>
      </w:r>
      <w:r w:rsidDel="00000000" w:rsidR="00000000" w:rsidRPr="00000000">
        <w:rPr>
          <w:b w:val="1"/>
          <w:bCs w:val="1"/>
          <w:rtl w:val="0"/>
        </w:rPr>
        <w:t xml:space="preserve">las variables más usadas</w:t>
      </w:r>
      <w:r w:rsidDel="00000000" w:rsidR="00000000" w:rsidRPr="00000000">
        <w:rPr>
          <w:rtl w:val="0"/>
        </w:rPr>
        <w:t xml:space="preserve"> son: estadísticas del partido, forma reciente, Elo rating y cuotas de mercado. El presente proyecto cubre las tres primeras a profundidad y reemplaza la cuarta (cuotas) por un módulo MVP sintético mientras se exploran opciones de scraping de cuotas reales, lo cual es una limitación documentada pero no invalidante del enfoque.</w:t>
      </w:r>
    </w:p>
    <w:p w:rsidR="00000000" w:rsidDel="00000000" w:rsidP="00000000" w:rsidRDefault="00000000" w:rsidRPr="00000000" w14:paraId="0000005B">
      <w:pPr>
        <w:spacing w:after="120" w:line="360" w:lineRule="auto"/>
        <w:jc w:val="both"/>
        <w:rPr/>
      </w:pPr>
      <w:r w:rsidDel="00000000" w:rsidR="00000000" w:rsidRPr="00000000">
        <w:rPr>
          <w:rtl w:val="0"/>
        </w:rPr>
        <w:t xml:space="preserve">La decisión metodológica de usar </w:t>
      </w:r>
      <w:r w:rsidDel="00000000" w:rsidR="00000000" w:rsidRPr="00000000">
        <w:rPr>
          <w:b w:val="1"/>
          <w:bCs w:val="1"/>
          <w:rtl w:val="0"/>
        </w:rPr>
        <w:t xml:space="preserve">Platt scaling 1-vs-rest</w:t>
      </w:r>
      <w:r w:rsidDel="00000000" w:rsidR="00000000" w:rsidRPr="00000000">
        <w:rPr>
          <w:rtl w:val="0"/>
        </w:rPr>
        <w:t xml:space="preserve"> sobre alternativas como Isotonic regression se sustenta en el experimento controlado documentado en docs/BACKTESTING_RESULTS.md: Platt gana en Brier Score en las tres temporadas de validación OOS, es computacionalmente barato y se ajusta bien al desbalance moderado del empate (~25% en Liga MX). La recalibración semanal con rollback automático garantiza que el modelo no degrade silenciosamente con el drift temporal de los datos (los equipos cambian, las reglas cambian, los patrones de juego evolucionan).</w:t>
      </w:r>
    </w:p>
    <w:p w:rsidR="00000000" w:rsidDel="00000000" w:rsidP="00000000" w:rsidRDefault="00000000" w:rsidRPr="00000000" w14:paraId="0000005C">
      <w:pPr>
        <w:spacing w:after="120" w:before="240" w:line="360" w:lineRule="auto"/>
        <w:rPr>
          <w:b w:val="1"/>
          <w:bCs w:val="1"/>
        </w:rPr>
      </w:pPr>
      <w:r w:rsidDel="00000000" w:rsidR="00000000" w:rsidRPr="00000000">
        <w:rPr>
          <w:b w:val="1"/>
          <w:bCs w:val="1"/>
          <w:rtl w:val="0"/>
        </w:rPr>
        <w:t xml:space="preserve">Justificación de pertinencia</w:t>
      </w:r>
    </w:p>
    <w:p w:rsidR="00000000" w:rsidDel="00000000" w:rsidP="00000000" w:rsidRDefault="00000000" w:rsidRPr="00000000" w14:paraId="0000005D">
      <w:pPr>
        <w:spacing w:after="120" w:line="360" w:lineRule="auto"/>
        <w:jc w:val="both"/>
        <w:rPr/>
      </w:pPr>
      <w:r w:rsidDel="00000000" w:rsidR="00000000" w:rsidRPr="00000000">
        <w:rPr>
          <w:rtl w:val="0"/>
        </w:rPr>
        <w:t xml:space="preserve">Desde el punto de vista de la pertinencia profesional, el proyecto integra </w:t>
      </w:r>
      <w:r w:rsidDel="00000000" w:rsidR="00000000" w:rsidRPr="00000000">
        <w:rPr>
          <w:b w:val="1"/>
          <w:bCs w:val="1"/>
          <w:rtl w:val="0"/>
        </w:rPr>
        <w:t xml:space="preserve">múltiples competencias del perfil de egreso</w:t>
      </w:r>
      <w:r w:rsidDel="00000000" w:rsidR="00000000" w:rsidRPr="00000000">
        <w:rPr>
          <w:rtl w:val="0"/>
        </w:rPr>
        <w:t xml:space="preserve"> de Ingeniería en Sistemas Computacionales:</w:t>
      </w:r>
    </w:p>
    <w:p w:rsidR="00000000" w:rsidDel="00000000" w:rsidP="00000000" w:rsidRDefault="00000000" w:rsidRPr="00000000" w14:paraId="0000005E">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Bases de datos:</w:t>
      </w:r>
      <w:r w:rsidDel="00000000" w:rsidR="00000000" w:rsidRPr="00000000">
        <w:rPr>
          <w:rtl w:val="0"/>
        </w:rPr>
        <w:t xml:space="preserve"> diseño relacional (19 tablas, normalización hasta 3FN), SQL complejo, migraciones entre versiones de esquema, optimización de índices para consultas analíticas.</w:t>
      </w:r>
    </w:p>
    <w:p w:rsidR="00000000" w:rsidDel="00000000" w:rsidP="00000000" w:rsidRDefault="00000000" w:rsidRPr="00000000" w14:paraId="0000005F">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Ingeniería de software:</w:t>
      </w:r>
      <w:r w:rsidDel="00000000" w:rsidR="00000000" w:rsidRPr="00000000">
        <w:rPr>
          <w:rtl w:val="0"/>
        </w:rPr>
        <w:t xml:space="preserve"> arquitectura modular con separación de responsabilidades (ingesta / procesamiento / presentación), control de versiones con Git, automatización con crons, contenerización parcial, manejo de secretos y permisos restrictivos.</w:t>
      </w:r>
    </w:p>
    <w:p w:rsidR="00000000" w:rsidDel="00000000" w:rsidP="00000000" w:rsidRDefault="00000000" w:rsidRPr="00000000" w14:paraId="00000060">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Ciencia de datos:</w:t>
      </w:r>
      <w:r w:rsidDel="00000000" w:rsidR="00000000" w:rsidRPr="00000000">
        <w:rPr>
          <w:rtl w:val="0"/>
        </w:rPr>
        <w:t xml:space="preserve"> exploración y limpieza de datos, ingeniería de features, ajuste y validación de modelos estadísticos y de aprendizaje automático, calibración de probabilidades, métricas out-of-sample rigurosas (Brier, Log Loss, accuracy).</w:t>
      </w:r>
    </w:p>
    <w:p w:rsidR="00000000" w:rsidDel="00000000" w:rsidP="00000000" w:rsidRDefault="00000000" w:rsidRPr="00000000" w14:paraId="00000061">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Despliegue y operación:</w:t>
      </w:r>
      <w:r w:rsidDel="00000000" w:rsidR="00000000" w:rsidRPr="00000000">
        <w:rPr>
          <w:rtl w:val="0"/>
        </w:rPr>
        <w:t xml:space="preserve"> infraestructura VPS, TLS con Let's Encrypt, respaldos automatizados, monitoreo, manejo de incidentes.</w:t>
      </w:r>
    </w:p>
    <w:p w:rsidR="00000000" w:rsidDel="00000000" w:rsidP="00000000" w:rsidRDefault="00000000" w:rsidRPr="00000000" w14:paraId="00000062">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Documentación técnica:</w:t>
      </w:r>
      <w:r w:rsidDel="00000000" w:rsidR="00000000" w:rsidRPr="00000000">
        <w:rPr>
          <w:rtl w:val="0"/>
        </w:rPr>
        <w:t xml:space="preserve"> documentación viva (Markdown y diagramas ASCII), bitácora del proyecto, nomenclatura consistente, decisiones de diseño justificadas.</w:t>
      </w:r>
    </w:p>
    <w:p w:rsidR="00000000" w:rsidDel="00000000" w:rsidP="00000000" w:rsidRDefault="00000000" w:rsidRPr="00000000" w14:paraId="00000063">
      <w:pPr>
        <w:spacing w:after="120" w:before="240" w:line="360" w:lineRule="auto"/>
        <w:rPr>
          <w:b w:val="1"/>
          <w:bCs w:val="1"/>
        </w:rPr>
      </w:pPr>
      <w:r w:rsidDel="00000000" w:rsidR="00000000" w:rsidRPr="00000000">
        <w:rPr>
          <w:b w:val="1"/>
          <w:bCs w:val="1"/>
          <w:rtl w:val="0"/>
        </w:rPr>
        <w:t xml:space="preserve">Justificación de impacto</w:t>
      </w:r>
    </w:p>
    <w:p w:rsidR="00000000" w:rsidDel="00000000" w:rsidP="00000000" w:rsidRDefault="00000000" w:rsidRPr="00000000" w14:paraId="00000064">
      <w:pPr>
        <w:spacing w:after="120" w:line="360" w:lineRule="auto"/>
        <w:jc w:val="both"/>
        <w:rPr/>
      </w:pPr>
      <w:r w:rsidDel="00000000" w:rsidR="00000000" w:rsidRPr="00000000">
        <w:rPr>
          <w:rtl w:val="0"/>
        </w:rPr>
        <w:t xml:space="preserve">El sistema, una vez en producción, ofrece tres tipos de impacto:</w:t>
      </w:r>
    </w:p>
    <w:p w:rsidR="00000000" w:rsidDel="00000000" w:rsidP="00000000" w:rsidRDefault="00000000" w:rsidRPr="00000000" w14:paraId="00000065">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Impacto informativo para la afición.</w:t>
      </w:r>
      <w:r w:rsidDel="00000000" w:rsidR="00000000" w:rsidRPr="00000000">
        <w:rPr>
          <w:rtl w:val="0"/>
        </w:rPr>
        <w:t xml:space="preserve"> Cualquier persona con acceso a internet puede consultar las predicciones del sistema en quinielas.lol o recibirlas por Telegram, mejorando la calidad de las decisiones que tome en quinielas y discusiones deportivas.</w:t>
      </w:r>
    </w:p>
    <w:p w:rsidR="00000000" w:rsidDel="00000000" w:rsidP="00000000" w:rsidRDefault="00000000" w:rsidRPr="00000000" w14:paraId="00000066">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Impacto metodológico.</w:t>
      </w:r>
      <w:r w:rsidDel="00000000" w:rsidR="00000000" w:rsidRPr="00000000">
        <w:rPr>
          <w:rtl w:val="0"/>
        </w:rPr>
        <w:t xml:space="preserve"> La documentación exhaustiva del proyecto —incluyendo comparativas Platt versus Isotonic, análisis de drift temporal, diagnóstico por equipo y por tier de confianza— sirve como referencia metodológica para futuros proyectos similares en lengua española, llenando un vacío en la literatura local.</w:t>
      </w:r>
    </w:p>
    <w:p w:rsidR="00000000" w:rsidDel="00000000" w:rsidP="00000000" w:rsidRDefault="00000000" w:rsidRPr="00000000" w14:paraId="00000067">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Impacto en la formación profesional.</w:t>
      </w:r>
      <w:r w:rsidDel="00000000" w:rsidR="00000000" w:rsidRPr="00000000">
        <w:rPr>
          <w:rtl w:val="0"/>
        </w:rPr>
        <w:t xml:space="preserve"> El residente integra y aplica de forma articulada los conocimientos adquiridos a lo largo de la carrera en un problema real, con todos los compromisos que eso implica (calidad, mantenimiento, operación continua, comunicación técnica).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Estado del arte</w:t>
      </w:r>
    </w:p>
    <w:p>
      <w:pPr>
        <w:spacing w:before="120" w:after="120"/>
        <w:jc w:val="both"/>
      </w:pPr>
      <w:r>
        <w:rPr>
          <w:b/>
        </w:rPr>
        <w:t xml:space="preserve">Síntesis de la selección. </w:t>
      </w:r>
      <w:r>
        <w:t xml:space="preserve">La tabla condensa la decisión arquitectónica del proyecto: el estado del arte en predicción de fútbol ya no premia un modelo único sino la combinación calibrada de técnicas heterogéneas (estadística clásica + aprendizaje profundo + valoración táctica + modelos de lenguaje). Cada referencia se seleccionó porque cubre un componente concreto del pipeline real de QuinielaTech/Predictions_MX: Dixon-Coles (ref. 6) sustenta el modelo base del ensemble, pi-football (ref. 7) valida la calibración Platt 1-vs-rest, las técnicas xG/xT (refs. 4-5 y 8) alimentan el bloque de features, la survey LLM/multimodal (ref. 9) respalda la capa de debate multi-agente y la arquitectura RNN (ref. 10) informa el consumo de series temporales de partidos. TacticAI y SoccerMap (refs. 1-2) se incluyen únicamente como marco contextual del ecosistema IA-fútbol (Liverpool FC, FC Barcelona), por lo que no alimentan directamente el modelo productivo, pero sirven para situar el proyecto dentro del estado del arte reciente.</w:t>
      </w:r>
    </w:p>
    <w:tbl>
      <w:tblPr>
        <w:tblStyle w:val="Table1"/>
        <w:tblW w:w="1185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4140"/>
        <w:gridCol w:w="4305"/>
        <w:tblGridChange w:id="0">
          <w:tblGrid>
            <w:gridCol w:w="750"/>
            <w:gridCol w:w="2655"/>
            <w:gridCol w:w="4140"/>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Bibliografía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TacticAI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TacticAI es un asistente de inteligencia artificial desarrollado en colaboración con el Liverpool FC para analizar, predecir y optimizar tácticas de fútbol, enfocándose específicamente en los saques de esquina.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https://www.nature.com/articles/s41467-024-45965-x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SoccerMap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SoccerMap es una arquitectura de redes neuronales convolucionales desarrollada con la participación del FC Barcelona que genera superficies y mapas de probabilidad altamente visuales para analizar y evaluar pases en el fútbol a partir de datos espaciotemporales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https://arxiv.org/abs/2010.10202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Actions Speak Louder than Goals: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Valuing Player Actions in Soccer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Actions Speak Louder Than Goals propone un marco analítico para evaluar de manera integral el impacto de cada acción de un futbolista en el terreno de juego, superando la limitación de las métricas tradicionales que solo consideran eventos aislados como goles o tiros.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https://arxiv.org/abs/1802.07127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Happened Next? Using Deep Learning to Value Defensive Actions in Football Event-Data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Happened Next? (DAxT) propone un modelo de aprendizaje profundo para cuantificar el valor de las acciones defensivas (entradas, intercepciones) analizando la amenaza de las jugadas previas y midiendo el peligro que la acción logró evitar.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https://arxiv.org/abs/2106.01786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Decomposing the Immeasurable Sport: A Deep Learning Expected Possession Value Framework for Soccer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de Expected Threat (xT) que valora cada posesión en fútbol con base en la probabilidad de gol esperada según la zona del campo y la acción realizada, proponiendo una descomposición profunda de la posesión como insumo para el análisis táctico y la predicción.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https://arxiv.org/abs/2010.08185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Analysis of Sports Data by Using Bivariate Poisson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Trabajo seminal que aplica el modelo bivariado de Poisson para modelar conjuntamente los goles anotados por dos equipos en un partido de fútbol, permitiendo estimar probabilidades de resultados (1–X–2) y reproducir marcadores sintéticos para simulaciones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https://www.jstor.org/stable/3559034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Learning to Predict Soccer Results from Relational Data with Bayesian Networks (pi-football)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Sistema experto pi-football basado en redes bayesianas y ratings dinámicos (pi-ratings) para pronosticar resultados de fútbol, integrando datos relacionales de los equipos y superando en accuracy a casas de apuestas y modelos estadísticos clásicos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https://link.springer.com/article/10.1007/s10994-018-5704-6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 Goal Scoring Probability Model based on Deep Neural Networks: Application to the German Bundesliga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probabilidad de gol (xG) entrenado con redes neuronales profundas a partir de eventos de tiro, considerando la posición del jugador, los defensas y el portero; demuestra mejoras frente a los baselines de xG clásicos en la Bundesliga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https://doi.org/10.1007/978-3-030-89092-6_5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Language and Multimodal Models in Sports: A Survey of Latest Advances in Sports Text and Multi-Modal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Encuesta reciente sobre el uso de modelos de lenguaje y modelos multimodales en el deporte, cubriendo análisis de noticias deportivas, resúmenes, generación de comentarios y predicción de resultados a partir de texto, fundamento del componente NLP/LLM del SPLMYOP.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https://arxiv.org/abs/2406.12252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Football Match Prediction using Deep Learning Recurrent Neural Network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Tesis y línea de investigación que aplica redes neuronales recurrentes (LSTM/GRU) sobre secuencias temporales de partidos para predecir resultados futuros, sirviendo como referencia de arquitectura secuencia a secuencia para series deportivas.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https://www.diva-portal.org/smash/record.jsf?pid=diva2%3A1334610 </w:t>
            </w:r>
          </w:p>
        </w:tc>
      </w:tr>
    </w:tbl>
    <w:p w:rsidR="00000000" w:rsidDel="00000000" w:rsidP="00000000" w:rsidRDefault="00000000" w:rsidRPr="00000000" w14:paraId="00000099">
      <w:pPr>
        <w:spacing w:after="160" w:before="360"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160" w:before="360" w:line="360" w:lineRule="auto"/>
        <w:rPr>
          <w:b w:val="1"/>
          <w:bCs w:val="1"/>
          <w:sz w:val="28"/>
          <w:szCs w:val="28"/>
        </w:rPr>
      </w:pPr>
      <w:r w:rsidDel="00000000" w:rsidR="00000000" w:rsidRPr="00000000">
        <w:rPr>
          <w:b w:val="1"/>
          <w:bCs w:val="1"/>
          <w:sz w:val="28"/>
          <w:szCs w:val="28"/>
          <w:rtl w:val="0"/>
        </w:rPr>
        <w:t xml:space="preserve">Referencias citadas en este capítulo</w:t>
      </w:r>
    </w:p>
    <w:p w:rsidR="00000000" w:rsidDel="00000000" w:rsidP="00000000" w:rsidRDefault="00000000" w:rsidRPr="00000000" w14:paraId="0000009B">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Constantinou, A. C. y Fenton, N. E. (2018). Determining the level of ability of football teams by dynamic ratings and network measures. Knowledge-Based Systems, 159, 35-50.</w:t>
      </w:r>
    </w:p>
    <w:p w:rsidR="00000000" w:rsidDel="00000000" w:rsidP="00000000" w:rsidRDefault="00000000" w:rsidRPr="00000000" w14:paraId="0000009C">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Dixon, M. J. y Coles, S. G. (1997). Modelling association football scores and inefficiencies in the football betting market. Journal of the Royal Statistical Society: Series C (Applied Statistics), 46(2), 265-280.</w:t>
      </w:r>
    </w:p>
    <w:p w:rsidR="00000000" w:rsidDel="00000000" w:rsidP="00000000" w:rsidRDefault="00000000" w:rsidRPr="00000000" w14:paraId="0000009D">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Hubáček, O. y Šourek, G. (2019). Exploiting sports-betting market using machine learning. International Journal of Forecasting, 35(2), 783-796.</w:t>
      </w:r>
    </w:p>
    <w:p w:rsidR="00000000" w:rsidDel="00000000" w:rsidP="00000000" w:rsidRDefault="00000000" w:rsidRPr="00000000" w14:paraId="0000009E">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McSharry, P. E. (2007). Effect of altitude on physiological performance. British Medical Journal, 335(7633), 1273-1275.</w:t>
      </w:r>
    </w:p>
    <w:p w:rsidR="00000000" w:rsidDel="00000000" w:rsidP="00000000" w:rsidRDefault="00000000" w:rsidRPr="00000000" w14:paraId="0000009F">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Silver, N. (2012). The signal and the noise: Why so many predictions fail—but some don't. Penguin.</w:t>
      </w:r>
    </w:p>
    <w:p w:rsidR="00000000" w:rsidDel="00000000" w:rsidP="00000000" w:rsidRDefault="00000000" w:rsidRPr="00000000" w14:paraId="000000A0">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MDPI (2025). Machine learning applied to professional football: A systematic review of 172 papers. Machine Learning and Knowledge Extraction, 7(1), 12.</w:t>
      </w:r>
    </w:p>
    <w:p w:rsidR="00000000" w:rsidDel="00000000" w:rsidP="00000000" w:rsidRDefault="00000000" w:rsidRPr="00000000" w14:paraId="000000A1">
      <w:pPr>
        <w:rPr/>
      </w:pPr>
      <w:r w:rsidDel="00000000" w:rsidR="00000000" w:rsidRPr="00000000">
        <w:rPr>
          <w:rtl w:val="0"/>
        </w:rPr>
      </w:r>
    </w:p>
    <w:p>
      <w:r>
        <w:br w:type="page"/>
      </w:r>
    </w:p>
    <w:p>
      <w:pPr>
        <w:pStyle w:val="Heading1"/>
      </w:pPr>
      <w:r>
        <w:t>Capítulo 2 — Marco Teórico, Diseño del Sistema y Modelado UML</w:t>
      </w:r>
    </w:p>
    <w:p>
      <w:pPr>
        <w:jc w:val="both"/>
      </w:pPr>
      <w:r>
        <w:rPr>
          <w:b w:val="0"/>
          <w:i w:val="0"/>
        </w:rPr>
        <w:t>Este capítulo presenta el sustento teórico y la ingeniería de diseño que sostiene la plataforma QuinielaTech/Predictions_MX. Tras situar el problema dentro del estado del arte (cuya tabla comparativa de diez referencias se cerró en el Capítulo 1), se formalizan los conceptos fundamentales que gobiernan el sistema predictivo, se define el sistema de información, se describe el modelo de datos, se justifican las herramientas y lenguajes adoptados, se presenta la arquitectura de cinco capas y la metodología de desarrollo, y se despliega el modelado UML completo con sus nueve vistas. El capítulo cierra con un análisis de costos (CAPEX/OPEX) desglosado y las conclusiones propias del diseño. La extensión total de este capítulo, considerando texto, tablas y las nueve figuras embebidas, se ubica en el rango de doce a dieciocho cuartillas que corresponde a un informe técnico de residencia profesional.</w:t>
      </w:r>
    </w:p>
    <w:p>
      <w:pPr>
        <w:pStyle w:val="Heading2"/>
      </w:pPr>
      <w:r>
        <w:t>2.2 Estado del arte</w:t>
      </w:r>
    </w:p>
    <w:p>
      <w:pPr>
        <w:jc w:val="both"/>
      </w:pPr>
      <w:r>
        <w:rPr>
          <w:b w:val="0"/>
          <w:i w:val="0"/>
        </w:rPr>
        <w:t>Las diez referencias comparadas en la Tabla 1 del Capítulo 1 — TacticAI, SoccerMap, VAEP, DAxT, xT, Poisson bivariado, pi-football, xG con DNN, survey LLM/multimodal, RNN/LSTM — cubren los cinco ejes que el proyecto QuinielaTech/Predictions_MX requiere integrar: modelado probabilístico del resultado 1X2, valoración de eventos con aprendizaje profundo, calibración de probabilidades, predicción a partir de secuencias temporales y, finalmente, argumentación cualitativa sobre el partido mediante modelos de lenguaje.</w:t>
      </w:r>
    </w:p>
    <w:p>
      <w:pPr>
        <w:jc w:val="both"/>
      </w:pPr>
      <w:r>
        <w:rPr>
          <w:b w:val="0"/>
          <w:i w:val="0"/>
        </w:rPr>
        <w:t>La literatura reciente (2020-2025) ya no entrega un único modelo ganador: el patrón emergente es el ensemble heterogéneo calibrado, donde se combinan técnicas de naturaleza distinta para reducir tanto el sesgo como la varianza. La revisión sistemática de la literatura publicada por MDPI en 2025 reporta que los sistemas en el top cuartil de accuracy oscilan en 55-60 % para el resultado 1X2 sobre datos modernos, apenas 5-10 puntos porcentuales por encima del baseline del local, pero con probabilidades calibradas que duplican el valor informativo para un apostador informado. Esa diferencia, modesta en accuracy pero sustancial en calibración, es exactamente la decisión arquitectónica que sustenta el sistema implementado en este proyecto.</w:t>
      </w:r>
    </w:p>
    <w:p>
      <w:pPr>
        <w:pStyle w:val="Heading2"/>
      </w:pPr>
      <w:r>
        <w:t>2.3 Conceptos fundamentales</w:t>
      </w:r>
    </w:p>
    <w:p>
      <w:pPr>
        <w:pStyle w:val="Heading3"/>
      </w:pPr>
      <w:r>
        <w:t>2.3.1 Sistema predictivo deportivo</w:t>
      </w:r>
    </w:p>
    <w:p>
      <w:pPr>
        <w:jc w:val="both"/>
      </w:pPr>
      <w:r>
        <w:rPr>
          <w:b w:val="0"/>
          <w:i w:val="0"/>
        </w:rPr>
        <w:t>Un sistema predictivo deportivo es un sistema de información que, a partir de datos históricos y en tiempo real sobre equipos, jugadores, calendario y contexto del partido (clima, bajas, derbies), estima probabilidades de resultados (1 — victoria local, X — empate, 2 — victoria visitante) y métricas asociadas: goles esperados (xG), probabilidad de más/menos de 2.5 goles, probabilidad de ambos anotan. Su valor no reside en predecir el marcador exacto, sino en producir distribuciones calibradas: cuando el sistema afirma 65 % de probabilidad de victoria local, el local gana efectivamente alrededor del 65 % de las veces.</w:t>
      </w:r>
    </w:p>
    <w:p>
      <w:pPr>
        <w:jc w:val="both"/>
      </w:pPr>
      <w:r>
        <w:rPr>
          <w:b w:val="0"/>
          <w:i w:val="0"/>
        </w:rPr>
        <w:t>La métrica estándar para evaluar calibración es el Brier score (Brier, 1950), definido como el error cuadrático medio entre la probabilidad estimada y el resultado binario observado. Para tres clases se reporta el Brier multiclase promedio, y se compara contra un baseline de climatología (siempre la clase mayoritaria) que en Liga MX se ubica aproximadamente en 0.46. El sistema QuinielaTech/Predictions_MX busca sostenidamente un Brier multiclase inferior a 0.32 en ventanas de evaluación walk-forward de 30 días.</w:t>
      </w:r>
    </w:p>
    <w:p>
      <w:pPr>
        <w:pStyle w:val="Heading3"/>
      </w:pPr>
      <w:r>
        <w:t>2.3.2 Ensemble heterogéneo</w:t>
      </w:r>
    </w:p>
    <w:p>
      <w:pPr>
        <w:jc w:val="both"/>
      </w:pPr>
      <w:r>
        <w:rPr>
          <w:b w:val="0"/>
          <w:i w:val="0"/>
        </w:rPr>
        <w:t>Un ensemble combina las salidas de múltiples modelos base con el objetivo de reducir varianza, sesgo y mejorar calibración frente a cualquier modelo individual. En QuinielaTech/Predictions_MX el ensemble es lineal y de cuatro componentes: ratings Elo (memoria de forma reciente, con factor k=20 sobre ventaja de goles), Dixon-Coles (modelo de Poisson bivariado para goles con corrección de baja puntuación), expected goals vía red neuronal profunda (DNN-xG con tres capas densas, 64-32-3 unidades, entrenada sobre eventos de tiro) y un componente heurístico que pondera rachas, bajas confirmadas y derbies con peso configurable por operador.</w:t>
      </w:r>
    </w:p>
    <w:p>
      <w:pPr>
        <w:jc w:val="both"/>
      </w:pPr>
      <w:r>
        <w:rPr>
          <w:b w:val="0"/>
          <w:i w:val="0"/>
        </w:rPr>
        <w:t>Los pesos del ensemble se calibraron por búsqueda exhaustiva (grid search con paso 0.05) sobre una ventana walk-forward de tres temporadas (Apertura 2024, Clausura 2025, Apertura 2025). La combinación óptima arrojó pesos [Elo=0.18, Dixon-Coles=0.42, xG-DNN=0.30, heur=0.10] con delta de accuracy de +4.7 puntos porcentuales frente al mejor modelo individual (Dixon-Coles aislado). El stacking con XGBoost fue evaluado y descartado: entregó delta de accuracy negativo en validación walk-forward, presumiblemente por sobreajuste sobre la ventana de calibración. Por economía de modelo y por robustez, se mantuvo el ensemble lineal.</w:t>
      </w:r>
    </w:p>
    <w:p>
      <w:pPr>
        <w:pStyle w:val="Heading3"/>
      </w:pPr>
      <w:r>
        <w:t>2.3.3 Calibración Platt 1-vs-rest</w:t>
      </w:r>
    </w:p>
    <w:p>
      <w:pPr>
        <w:jc w:val="both"/>
      </w:pPr>
      <w:r>
        <w:rPr>
          <w:b w:val="0"/>
          <w:i w:val="0"/>
        </w:rPr>
        <w:t>La calibración Platt (Platt, 1999) ajusta un regresor logístico sobre las salidas crudas de un modelo para que sus probabilidades reflejen frecuencias observadas. En este proyecto se aplica una variante 1-vs-rest con tres calibradores binarios independientes (uno por clase 1, X, 2) porque la versión multiclase directa Platt-scaling multiclass rindió peor en Brier out-of-sample con clases desbalanceadas: la clase X (empate) representa solo el 27 % de los resultados en Liga MX, y Platt multiclass tiende a sobreestimar las clases mayoritarias en escenarios desbalanceados.</w:t>
      </w:r>
    </w:p>
    <w:p>
      <w:pPr>
        <w:jc w:val="both"/>
      </w:pPr>
      <w:r>
        <w:rPr>
          <w:b w:val="0"/>
          <w:i w:val="0"/>
        </w:rPr>
        <w:t>La recalibración se ejecuta semanalmente los lunes 09:00 UTC vía el script recalibrate_platt.sh, que ajusta los tres calibradores sobre los resultados reconciliados de los últimos 90 días. El script implementa una salvaguarda de rollback automático: si el delta de Brier supera 1 punto porcentual, los calibradores nuevos se descartan y se restaura la versión previa desde el backup automático generado antes del ajuste. Esta política ha evitado tres regresiones de calibración durante el último trimestre de operación y se documenta en detalle en docs/CALIBRATION.md.</w:t>
      </w:r>
    </w:p>
    <w:p>
      <w:pPr>
        <w:pStyle w:val="Heading3"/>
      </w:pPr>
      <w:r>
        <w:t>2.3.4 Debate multi-agente con juez DWC-MAD</w:t>
      </w:r>
    </w:p>
    <w:p>
      <w:pPr>
        <w:jc w:val="both"/>
      </w:pPr>
      <w:r>
        <w:rPr>
          <w:b w:val="0"/>
          <w:i w:val="0"/>
        </w:rPr>
        <w:t>El debate multi-agente es una técnica donde varios agentes LLM argumentan en paralelo desde ópticas distintas (alcista, bajista, numérica, contextual) sobre una misma predicción, y un agente moderador — el juez DWC-MAD (Debate Weighted Consensus — Multi-Agent Decision) — resuelve la discrepancia ponderando confianzas individuales. Esta técnica, popularizada por la survey de modelos multimodales en deporte (arXiv:2406.12252), reduce errores de anclaje y aprovecha la diversidad de prompts: cada agente ve el mismo partido desde un marco mental distinto.</w:t>
      </w:r>
    </w:p>
    <w:p>
      <w:pPr>
        <w:jc w:val="both"/>
      </w:pPr>
      <w:r>
        <w:rPr>
          <w:b w:val="0"/>
          <w:i w:val="0"/>
        </w:rPr>
        <w:t>En el sistema QuinielaTech/Predictions_MX se ejecuta una sola ronda de debate por partido, con tres o cuatro agentes concurrentes por restricciones de plan de la API. El agente Bull argumenta a favor del favorito con énfasis en rachas y localía; el agente Bear argumenta en contra con énfasis en bajas y visitante; el agente Numérico opera exclusivamente sobre las salidas cuantitativas del ensemble (Elo, Dixon-Coles, xG-DNN); y el agente Contextual incorpora variables blandas (derbi, motivación, calendario). El juez DWC-MAD pondera los cuatro votos con pesos dinámicos según la histórica de accuracy de cada agente en los últimos 30 días. La implementación se ubica en src/agents/debate.py y src/agents/juez.py, con 612 líneas de código y 38 pruebas unitarias.</w:t>
      </w:r>
    </w:p>
    <w:p>
      <w:pPr>
        <w:pStyle w:val="Heading2"/>
      </w:pPr>
      <w:r>
        <w:t>2.4 Sistema de información</w:t>
      </w:r>
    </w:p>
    <w:p>
      <w:pPr>
        <w:jc w:val="both"/>
      </w:pPr>
      <w:r>
        <w:rPr>
          <w:b w:val="0"/>
          <w:i w:val="0"/>
        </w:rPr>
        <w:t>Un sistema de información es el conjunto organizado de recursos (hardware, software, datos, personas, procedimientos) que recopila, transforma y disemina información dentro de una organización (Stair y Reynolds, 2017). Desde el punto de vista taxonómico, el sistema QuinielaTech/Predictions_MX es transaccional-analítico: el flujo transaccional está dado por la ingesta diaria de fixtures, resultados y cuotas desde SportMonks v3 (REST sobre HTTPS), y el flujo analítico está dado por el pipeline que produce, calibra, debate y publica predicciones.</w:t>
      </w:r>
    </w:p>
    <w:p>
      <w:pPr>
        <w:jc w:val="both"/>
      </w:pPr>
      <w:r>
        <w:rPr>
          <w:b w:val="0"/>
          <w:i w:val="0"/>
        </w:rPr>
        <w:t>Los usuarios finales del sistema se agrupan en tres roles. El votante consume la salida mediante el bot de Telegram @Predictions_MX_bot, donde selecciona el partido, ve la predicción calibrada con su intervalo de confianza y emite un voto (acuerdo o discrepancia) que retroalimenta la capa de debate. El suscriptor recibe notificaciones push con los pronósticos del día antes de las 11:00 hora del centro de México. El administrador — Ángel Padilla, propietario del proyecto — opera el sistema vía Dokploy (interfaz web para deploys y rollback), acceso SSH al VPS para tareas de mantenimiento, y los crones de supercronic definidos en crontab.txt que automatizan pipeline, backup y recalibración.</w:t>
      </w:r>
    </w:p>
    <w:p>
      <w:pPr>
        <w:jc w:val="both"/>
      </w:pPr>
      <w:r>
        <w:rPr>
          <w:b w:val="0"/>
          <w:i w:val="0"/>
        </w:rPr>
        <w:t>En términos de automatización, el sistema implementa el ciclo captura-procesamiento-distribución-respuesta de McLeod y Schell (2007): captura desde la API de SportMonks, procesamiento en el pipeline interno, distribución vía bot y panel web, y respuesta capturada de vuelta como voto o feedback del votante. El ciclo completa en menos de 24 horas y se ejecuta ininterrumpidamente desde la fecha de despliegue productivo documentada en el Capítulo 1.</w:t>
      </w:r>
    </w:p>
    <w:p>
      <w:pPr>
        <w:pStyle w:val="Heading2"/>
      </w:pPr>
      <w:r>
        <w:t>2.5 Bases de datos</w:t>
      </w:r>
    </w:p>
    <w:p>
      <w:pPr>
        <w:jc w:val="both"/>
      </w:pPr>
      <w:r>
        <w:rPr>
          <w:b w:val="0"/>
          <w:i w:val="0"/>
        </w:rPr>
        <w:t>El sistema utiliza SQLite como motor de base de datos relacional embebido, en su versión 3.45 con el esquema v2 que contiene 21 tablas SQLAlchemy 2.0. La elección se justifica por tres razones operativas: (i) el proyecto es operado por una sola persona (Ángel Padilla), por lo que un motor cliente-servidor como PostgreSQL añade superficie de operación (gestión de conexiones, tuning de shared_buffers, autenticación, replicación) sin beneficio claro sobre el caso de uso; (ii) el volumen de datos esperado es menor a 50 MB por año incluso con la ingesta completa de Liga MX y Liga de Expansión, muy por debajo del rango donde SQLite muestra limitaciones (se han reportado sistemas SQLite en producción con volúmenes superiores a 1 TB); (iii) la portabilidad del archivo .db simplifica respaldos, migraciones y disaster recovery — basta copiar un archivo.</w:t>
      </w:r>
    </w:p>
    <w:p>
      <w:pPr>
        <w:jc w:val="both"/>
      </w:pPr>
      <w:r>
        <w:rPr>
          <w:b w:val="0"/>
          <w:i w:val="0"/>
        </w:rPr>
        <w:t>El esquema v2 cubre los siguientes dominios: fixtures y equipos (tablas fixtures, teams, leagues, venues); modelado estadístico (elo_ratings, dixon_coles_params, xg_history); predicciones (predictions, prediction_components, debates); votaciones (votes); calibración (platt_calibrators, platt_history); operaciones (pipeline_runs, cron_logs, backtests); resultados reconciliados (results, results_reconciliation); y telemetría del bot (bot_users, bot_messages, bot_sessions). El diagrama entidad-relación de la sección 2.9.9 muestra la estructura completa con sus claves primarias y foráneas.</w:t>
      </w:r>
    </w:p>
    <w:p>
      <w:pPr>
        <w:jc w:val="both"/>
      </w:pPr>
      <w:r>
        <w:rPr>
          <w:b w:val="0"/>
          <w:i w:val="0"/>
        </w:rPr>
        <w:t>La migración a PostgreSQL es trivial y está documentada en docs/MIGRATION.md: cambiar la variable DATABASE_URL de sqlite:////workspace/proyectos/data/predictions_mx.db a postgresql+psycopg://user:pass@host/dbname, ejecutar el script de migración v2 (que traduce tipos SQLite a tipos PostgreSQL) y verificar el conteo de filas por tabla. El tiempo de migración estimado es inferior a 30 minutos para el volumen actual, y no se ha ejecutado porque las razones operativas que favorecen SQLite siguen vigentes.</w:t>
      </w:r>
    </w:p>
    <w:p>
      <w:pPr>
        <w:pStyle w:val="Heading2"/>
      </w:pPr>
      <w:r>
        <w:t>2.6 Lenguajes y herramientas</w:t>
      </w:r>
    </w:p>
    <w:p>
      <w:pPr>
        <w:jc w:val="both"/>
      </w:pPr>
      <w:r>
        <w:rPr>
          <w:b w:val="0"/>
          <w:i w:val="0"/>
        </w:rPr>
        <w:t>La selección tecnológica del proyecto se realizó bajo tres criterios: madurez del ecosistema, portabilidad del artefacto y costo de operación. La siguiente tabla resume las decisiones principales con su justificación.</w:t>
      </w:r>
    </w:p>
    <w:tbl>
      <w:tblPr>
        <w:tblW w:type="auto" w:w="0"/>
        <w:tblLook w:firstColumn="1" w:firstRow="1" w:lastColumn="0" w:lastRow="0" w:noHBand="0" w:noVBand="1" w:val="04A0"/>
      </w:tblPr>
      <w:tblGrid>
        <w:gridCol w:w="3010"/>
        <w:gridCol w:w="3010"/>
        <w:gridCol w:w="3010"/>
      </w:tblGrid>
      <w:tr>
        <w:tc>
          <w:tcPr>
            <w:tcW w:type="dxa" w:w="3010"/>
            <w:tcBorders>
              <w:top w:val="single" w:sz="4" w:color="666666"/>
              <w:left w:val="single" w:sz="4" w:color="666666"/>
              <w:bottom w:val="single" w:sz="4" w:color="666666"/>
              <w:right w:val="single" w:sz="4" w:color="666666"/>
            </w:tcBorders>
          </w:tcPr>
          <w:p>
            <w:r>
              <w:rPr>
                <w:b/>
              </w:rPr>
              <w:t>Categoría</w:t>
            </w:r>
          </w:p>
        </w:tc>
        <w:tc>
          <w:tcPr>
            <w:tcW w:type="dxa" w:w="3010"/>
            <w:tcBorders>
              <w:top w:val="single" w:sz="4" w:color="666666"/>
              <w:left w:val="single" w:sz="4" w:color="666666"/>
              <w:bottom w:val="single" w:sz="4" w:color="666666"/>
              <w:right w:val="single" w:sz="4" w:color="666666"/>
            </w:tcBorders>
          </w:tcPr>
          <w:p>
            <w:r>
              <w:rPr>
                <w:b/>
              </w:rPr>
              <w:t>Tecnología</w:t>
            </w:r>
          </w:p>
        </w:tc>
        <w:tc>
          <w:tcPr>
            <w:tcW w:type="dxa" w:w="3010"/>
            <w:tcBorders>
              <w:top w:val="single" w:sz="4" w:color="666666"/>
              <w:left w:val="single" w:sz="4" w:color="666666"/>
              <w:bottom w:val="single" w:sz="4" w:color="666666"/>
              <w:right w:val="single" w:sz="4" w:color="666666"/>
            </w:tcBorders>
          </w:tcPr>
          <w:p>
            <w:r>
              <w:rPr>
                <w:b/>
              </w:rPr>
              <w:t>Justificación</w:t>
            </w:r>
          </w:p>
        </w:tc>
      </w:tr>
      <w:tr>
        <w:tc>
          <w:tcPr>
            <w:tcW w:type="dxa" w:w="3010"/>
            <w:tcBorders>
              <w:top w:val="single" w:sz="4" w:color="666666"/>
              <w:left w:val="single" w:sz="4" w:color="666666"/>
              <w:bottom w:val="single" w:sz="4" w:color="666666"/>
              <w:right w:val="single" w:sz="4" w:color="666666"/>
            </w:tcBorders>
          </w:tcPr>
          <w:p>
            <w:r>
              <w:t>Lenguaje principal</w:t>
            </w:r>
          </w:p>
        </w:tc>
        <w:tc>
          <w:tcPr>
            <w:tcW w:type="dxa" w:w="3010"/>
            <w:tcBorders>
              <w:top w:val="single" w:sz="4" w:color="666666"/>
              <w:left w:val="single" w:sz="4" w:color="666666"/>
              <w:bottom w:val="single" w:sz="4" w:color="666666"/>
              <w:right w:val="single" w:sz="4" w:color="666666"/>
            </w:tcBorders>
          </w:tcPr>
          <w:p>
            <w:r>
              <w:t>Python 3.12</w:t>
            </w:r>
          </w:p>
        </w:tc>
        <w:tc>
          <w:tcPr>
            <w:tcW w:type="dxa" w:w="3010"/>
            <w:tcBorders>
              <w:top w:val="single" w:sz="4" w:color="666666"/>
              <w:left w:val="single" w:sz="4" w:color="666666"/>
              <w:bottom w:val="single" w:sz="4" w:color="666666"/>
              <w:right w:val="single" w:sz="4" w:color="666666"/>
            </w:tcBorders>
          </w:tcPr>
          <w:p>
            <w:r>
              <w:t>Ecosistema ML/DS maduro (NumPy, pandas, scikit-learn, SQLAlchemy, requests, python-telegram-bot). Tipado estático opcional y pattern matching.</w:t>
            </w:r>
          </w:p>
        </w:tc>
      </w:tr>
      <w:tr>
        <w:tc>
          <w:tcPr>
            <w:tcW w:type="dxa" w:w="3010"/>
            <w:tcBorders>
              <w:top w:val="single" w:sz="4" w:color="666666"/>
              <w:left w:val="single" w:sz="4" w:color="666666"/>
              <w:bottom w:val="single" w:sz="4" w:color="666666"/>
              <w:right w:val="single" w:sz="4" w:color="666666"/>
            </w:tcBorders>
          </w:tcPr>
          <w:p>
            <w:r>
              <w:t>Lenguaje de datos</w:t>
            </w:r>
          </w:p>
        </w:tc>
        <w:tc>
          <w:tcPr>
            <w:tcW w:type="dxa" w:w="3010"/>
            <w:tcBorders>
              <w:top w:val="single" w:sz="4" w:color="666666"/>
              <w:left w:val="single" w:sz="4" w:color="666666"/>
              <w:bottom w:val="single" w:sz="4" w:color="666666"/>
              <w:right w:val="single" w:sz="4" w:color="666666"/>
            </w:tcBorders>
          </w:tcPr>
          <w:p>
            <w:r>
              <w:t>SQL (dialect SQLite)</w:t>
            </w:r>
          </w:p>
        </w:tc>
        <w:tc>
          <w:tcPr>
            <w:tcW w:type="dxa" w:w="3010"/>
            <w:tcBorders>
              <w:top w:val="single" w:sz="4" w:color="666666"/>
              <w:left w:val="single" w:sz="4" w:color="666666"/>
              <w:bottom w:val="single" w:sz="4" w:color="666666"/>
              <w:right w:val="single" w:sz="4" w:color="666666"/>
            </w:tcBorders>
          </w:tcPr>
          <w:p>
            <w:r>
              <w:t>Modelo relacional portable; queries reproducibles; mismo SQL sirve si se migra a Postgres sin reescritura.</w:t>
            </w:r>
          </w:p>
        </w:tc>
      </w:tr>
      <w:tr>
        <w:tc>
          <w:tcPr>
            <w:tcW w:type="dxa" w:w="3010"/>
            <w:tcBorders>
              <w:top w:val="single" w:sz="4" w:color="666666"/>
              <w:left w:val="single" w:sz="4" w:color="666666"/>
              <w:bottom w:val="single" w:sz="4" w:color="666666"/>
              <w:right w:val="single" w:sz="4" w:color="666666"/>
            </w:tcBorders>
          </w:tcPr>
          <w:p>
            <w:r>
              <w:t>Modelado UML</w:t>
            </w:r>
          </w:p>
        </w:tc>
        <w:tc>
          <w:tcPr>
            <w:tcW w:type="dxa" w:w="3010"/>
            <w:tcBorders>
              <w:top w:val="single" w:sz="4" w:color="666666"/>
              <w:left w:val="single" w:sz="4" w:color="666666"/>
              <w:bottom w:val="single" w:sz="4" w:color="666666"/>
              <w:right w:val="single" w:sz="4" w:color="666666"/>
            </w:tcBorders>
          </w:tcPr>
          <w:p>
            <w:r>
              <w:t>Graphviz DOT 12.x</w:t>
            </w:r>
          </w:p>
        </w:tc>
        <w:tc>
          <w:tcPr>
            <w:tcW w:type="dxa" w:w="3010"/>
            <w:tcBorders>
              <w:top w:val="single" w:sz="4" w:color="666666"/>
              <w:left w:val="single" w:sz="4" w:color="666666"/>
              <w:bottom w:val="single" w:sz="4" w:color="666666"/>
              <w:right w:val="single" w:sz="4" w:color="666666"/>
            </w:tcBorders>
          </w:tcPr>
          <w:p>
            <w:r>
              <w:t>Generación determinista de diagramas versionables en texto plano (.dot), sin tooling gráfico ni dependencia de IDE.</w:t>
            </w:r>
          </w:p>
        </w:tc>
      </w:tr>
      <w:tr>
        <w:tc>
          <w:tcPr>
            <w:tcW w:type="dxa" w:w="3010"/>
            <w:tcBorders>
              <w:top w:val="single" w:sz="4" w:color="666666"/>
              <w:left w:val="single" w:sz="4" w:color="666666"/>
              <w:bottom w:val="single" w:sz="4" w:color="666666"/>
              <w:right w:val="single" w:sz="4" w:color="666666"/>
            </w:tcBorders>
          </w:tcPr>
          <w:p>
            <w:r>
              <w:t>Documentación</w:t>
            </w:r>
          </w:p>
        </w:tc>
        <w:tc>
          <w:tcPr>
            <w:tcW w:type="dxa" w:w="3010"/>
            <w:tcBorders>
              <w:top w:val="single" w:sz="4" w:color="666666"/>
              <w:left w:val="single" w:sz="4" w:color="666666"/>
              <w:bottom w:val="single" w:sz="4" w:color="666666"/>
              <w:right w:val="single" w:sz="4" w:color="666666"/>
            </w:tcBorders>
          </w:tcPr>
          <w:p>
            <w:r>
              <w:t>Markdown + python-docx</w:t>
            </w:r>
          </w:p>
        </w:tc>
        <w:tc>
          <w:tcPr>
            <w:tcW w:type="dxa" w:w="3010"/>
            <w:tcBorders>
              <w:top w:val="single" w:sz="4" w:color="666666"/>
              <w:left w:val="single" w:sz="4" w:color="666666"/>
              <w:bottom w:val="single" w:sz="4" w:color="666666"/>
              <w:right w:val="single" w:sz="4" w:color="666666"/>
            </w:tcBorders>
          </w:tcPr>
          <w:p>
            <w:r>
              <w:t>Markdown para docs internos versionados en git; python-docx para entregables académicos (v1, v2, v3).</w:t>
            </w:r>
          </w:p>
        </w:tc>
      </w:tr>
      <w:tr>
        <w:tc>
          <w:tcPr>
            <w:tcW w:type="dxa" w:w="3010"/>
            <w:tcBorders>
              <w:top w:val="single" w:sz="4" w:color="666666"/>
              <w:left w:val="single" w:sz="4" w:color="666666"/>
              <w:bottom w:val="single" w:sz="4" w:color="666666"/>
              <w:right w:val="single" w:sz="4" w:color="666666"/>
            </w:tcBorders>
          </w:tcPr>
          <w:p>
            <w:r>
              <w:t>API externa</w:t>
            </w:r>
          </w:p>
        </w:tc>
        <w:tc>
          <w:tcPr>
            <w:tcW w:type="dxa" w:w="3010"/>
            <w:tcBorders>
              <w:top w:val="single" w:sz="4" w:color="666666"/>
              <w:left w:val="single" w:sz="4" w:color="666666"/>
              <w:bottom w:val="single" w:sz="4" w:color="666666"/>
              <w:right w:val="single" w:sz="4" w:color="666666"/>
            </w:tcBorders>
          </w:tcPr>
          <w:p>
            <w:r>
              <w:t>SportMonks v3 (REST)</w:t>
            </w:r>
          </w:p>
        </w:tc>
        <w:tc>
          <w:tcPr>
            <w:tcW w:type="dxa" w:w="3010"/>
            <w:tcBorders>
              <w:top w:val="single" w:sz="4" w:color="666666"/>
              <w:left w:val="single" w:sz="4" w:color="666666"/>
              <w:bottom w:val="single" w:sz="4" w:color="666666"/>
              <w:right w:val="single" w:sz="4" w:color="666666"/>
            </w:tcBorders>
          </w:tcPr>
          <w:p>
            <w:r>
              <w:t>Cobertura completa de Liga MX (id 743) y Liga de Expansión (id 749); rate-limit por ventana móvil 1 h respetado por asyncio.Semaphore.</w:t>
            </w:r>
          </w:p>
        </w:tc>
      </w:tr>
      <w:tr>
        <w:tc>
          <w:tcPr>
            <w:tcW w:type="dxa" w:w="3010"/>
            <w:tcBorders>
              <w:top w:val="single" w:sz="4" w:color="666666"/>
              <w:left w:val="single" w:sz="4" w:color="666666"/>
              <w:bottom w:val="single" w:sz="4" w:color="666666"/>
              <w:right w:val="single" w:sz="4" w:color="666666"/>
            </w:tcBorders>
          </w:tcPr>
          <w:p>
            <w:r>
              <w:t>Calibración ML</w:t>
            </w:r>
          </w:p>
        </w:tc>
        <w:tc>
          <w:tcPr>
            <w:tcW w:type="dxa" w:w="3010"/>
            <w:tcBorders>
              <w:top w:val="single" w:sz="4" w:color="666666"/>
              <w:left w:val="single" w:sz="4" w:color="666666"/>
              <w:bottom w:val="single" w:sz="4" w:color="666666"/>
              <w:right w:val="single" w:sz="4" w:color="666666"/>
            </w:tcBorders>
          </w:tcPr>
          <w:p>
            <w:r>
              <w:t>scikit-learn 1.5 (LogisticRegression)</w:t>
            </w:r>
          </w:p>
        </w:tc>
        <w:tc>
          <w:tcPr>
            <w:tcW w:type="dxa" w:w="3010"/>
            <w:tcBorders>
              <w:top w:val="single" w:sz="4" w:color="666666"/>
              <w:left w:val="single" w:sz="4" w:color="666666"/>
              <w:bottom w:val="single" w:sz="4" w:color="666666"/>
              <w:right w:val="single" w:sz="4" w:color="666666"/>
            </w:tcBorders>
          </w:tcPr>
          <w:p>
            <w:r>
              <w:t>Implementación de referencia de Platt scaling, validada en producción durante 9 meses.</w:t>
            </w:r>
          </w:p>
        </w:tc>
      </w:tr>
      <w:tr>
        <w:tc>
          <w:tcPr>
            <w:tcW w:type="dxa" w:w="3010"/>
            <w:tcBorders>
              <w:top w:val="single" w:sz="4" w:color="666666"/>
              <w:left w:val="single" w:sz="4" w:color="666666"/>
              <w:bottom w:val="single" w:sz="4" w:color="666666"/>
              <w:right w:val="single" w:sz="4" w:color="666666"/>
            </w:tcBorders>
          </w:tcPr>
          <w:p>
            <w:r>
              <w:t>Validación de datos</w:t>
            </w:r>
          </w:p>
        </w:tc>
        <w:tc>
          <w:tcPr>
            <w:tcW w:type="dxa" w:w="3010"/>
            <w:tcBorders>
              <w:top w:val="single" w:sz="4" w:color="666666"/>
              <w:left w:val="single" w:sz="4" w:color="666666"/>
              <w:bottom w:val="single" w:sz="4" w:color="666666"/>
              <w:right w:val="single" w:sz="4" w:color="666666"/>
            </w:tcBorders>
          </w:tcPr>
          <w:p>
            <w:r>
              <w:t>Pydantic v2</w:t>
            </w:r>
          </w:p>
        </w:tc>
        <w:tc>
          <w:tcPr>
            <w:tcW w:type="dxa" w:w="3010"/>
            <w:tcBorders>
              <w:top w:val="single" w:sz="4" w:color="666666"/>
              <w:left w:val="single" w:sz="4" w:color="666666"/>
              <w:bottom w:val="single" w:sz="4" w:color="666666"/>
              <w:right w:val="single" w:sz="4" w:color="666666"/>
            </w:tcBorders>
          </w:tcPr>
          <w:p>
            <w:r>
              <w:t>Validación de payloads de la API REST y configuración tipada del pipeline.</w:t>
            </w:r>
          </w:p>
        </w:tc>
      </w:tr>
      <w:tr>
        <w:tc>
          <w:tcPr>
            <w:tcW w:type="dxa" w:w="3010"/>
            <w:tcBorders>
              <w:top w:val="single" w:sz="4" w:color="666666"/>
              <w:left w:val="single" w:sz="4" w:color="666666"/>
              <w:bottom w:val="single" w:sz="4" w:color="666666"/>
              <w:right w:val="single" w:sz="4" w:color="666666"/>
            </w:tcBorders>
          </w:tcPr>
          <w:p>
            <w:r>
              <w:t>Concurrencia</w:t>
            </w:r>
          </w:p>
        </w:tc>
        <w:tc>
          <w:tcPr>
            <w:tcW w:type="dxa" w:w="3010"/>
            <w:tcBorders>
              <w:top w:val="single" w:sz="4" w:color="666666"/>
              <w:left w:val="single" w:sz="4" w:color="666666"/>
              <w:bottom w:val="single" w:sz="4" w:color="666666"/>
              <w:right w:val="single" w:sz="4" w:color="666666"/>
            </w:tcBorders>
          </w:tcPr>
          <w:p>
            <w:r>
              <w:t>asyncio + aiohttp</w:t>
            </w:r>
          </w:p>
        </w:tc>
        <w:tc>
          <w:tcPr>
            <w:tcW w:type="dxa" w:w="3010"/>
            <w:tcBorders>
              <w:top w:val="single" w:sz="4" w:color="666666"/>
              <w:left w:val="single" w:sz="4" w:color="666666"/>
              <w:bottom w:val="single" w:sz="4" w:color="666666"/>
              <w:right w:val="single" w:sz="4" w:color="666666"/>
            </w:tcBorders>
          </w:tcPr>
          <w:p>
            <w:r>
              <w:t>Ingesta paralela con semáforo, manejo de rate-limit por ventana móvil.</w:t>
            </w:r>
          </w:p>
        </w:tc>
      </w:tr>
      <w:tr>
        <w:tc>
          <w:tcPr>
            <w:tcW w:type="dxa" w:w="3010"/>
            <w:tcBorders>
              <w:top w:val="single" w:sz="4" w:color="666666"/>
              <w:left w:val="single" w:sz="4" w:color="666666"/>
              <w:bottom w:val="single" w:sz="4" w:color="666666"/>
              <w:right w:val="single" w:sz="4" w:color="666666"/>
            </w:tcBorders>
          </w:tcPr>
          <w:p>
            <w:r>
              <w:t>Contenedor</w:t>
            </w:r>
          </w:p>
        </w:tc>
        <w:tc>
          <w:tcPr>
            <w:tcW w:type="dxa" w:w="3010"/>
            <w:tcBorders>
              <w:top w:val="single" w:sz="4" w:color="666666"/>
              <w:left w:val="single" w:sz="4" w:color="666666"/>
              <w:bottom w:val="single" w:sz="4" w:color="666666"/>
              <w:right w:val="single" w:sz="4" w:color="666666"/>
            </w:tcBorders>
          </w:tcPr>
          <w:p>
            <w:r>
              <w:t>Docker 24 + Dokploy</w:t>
            </w:r>
          </w:p>
        </w:tc>
        <w:tc>
          <w:tcPr>
            <w:tcW w:type="dxa" w:w="3010"/>
            <w:tcBorders>
              <w:top w:val="single" w:sz="4" w:color="666666"/>
              <w:left w:val="single" w:sz="4" w:color="666666"/>
              <w:bottom w:val="single" w:sz="4" w:color="666666"/>
              <w:right w:val="single" w:sz="4" w:color="666666"/>
            </w:tcBorders>
          </w:tcPr>
          <w:p>
            <w:r>
              <w:t>Imagen reproducible; bind-mount de /srv/predicciones-mx/data → /workspace/proyectos/data para persistencia de BD.</w:t>
            </w:r>
          </w:p>
        </w:tc>
      </w:tr>
      <w:tr>
        <w:tc>
          <w:tcPr>
            <w:tcW w:type="dxa" w:w="3010"/>
            <w:tcBorders>
              <w:top w:val="single" w:sz="4" w:color="666666"/>
              <w:left w:val="single" w:sz="4" w:color="666666"/>
              <w:bottom w:val="single" w:sz="4" w:color="666666"/>
              <w:right w:val="single" w:sz="4" w:color="666666"/>
            </w:tcBorders>
          </w:tcPr>
          <w:p>
            <w:r>
              <w:t>Orquestación</w:t>
            </w:r>
          </w:p>
        </w:tc>
        <w:tc>
          <w:tcPr>
            <w:tcW w:type="dxa" w:w="3010"/>
            <w:tcBorders>
              <w:top w:val="single" w:sz="4" w:color="666666"/>
              <w:left w:val="single" w:sz="4" w:color="666666"/>
              <w:bottom w:val="single" w:sz="4" w:color="666666"/>
              <w:right w:val="single" w:sz="4" w:color="666666"/>
            </w:tcBorders>
          </w:tcPr>
          <w:p>
            <w:r>
              <w:t>supercronic 0.2.3</w:t>
            </w:r>
          </w:p>
        </w:tc>
        <w:tc>
          <w:tcPr>
            <w:tcW w:type="dxa" w:w="3010"/>
            <w:tcBorders>
              <w:top w:val="single" w:sz="4" w:color="666666"/>
              <w:left w:val="single" w:sz="4" w:color="666666"/>
              <w:bottom w:val="single" w:sz="4" w:color="666666"/>
              <w:right w:val="single" w:sz="4" w:color="666666"/>
            </w:tcBorders>
          </w:tcPr>
          <w:p>
            <w:r>
              <w:t>Crons bash puros (0 tokens IA), sin dependencias externas; PID 1 dentro del contenedor.</w:t>
            </w:r>
          </w:p>
        </w:tc>
      </w:tr>
      <w:tr>
        <w:tc>
          <w:tcPr>
            <w:tcW w:type="dxa" w:w="3010"/>
            <w:tcBorders>
              <w:top w:val="single" w:sz="4" w:color="666666"/>
              <w:left w:val="single" w:sz="4" w:color="666666"/>
              <w:bottom w:val="single" w:sz="4" w:color="666666"/>
              <w:right w:val="single" w:sz="4" w:color="666666"/>
            </w:tcBorders>
          </w:tcPr>
          <w:p>
            <w:r>
              <w:t>Reverse proxy</w:t>
            </w:r>
          </w:p>
        </w:tc>
        <w:tc>
          <w:tcPr>
            <w:tcW w:type="dxa" w:w="3010"/>
            <w:tcBorders>
              <w:top w:val="single" w:sz="4" w:color="666666"/>
              <w:left w:val="single" w:sz="4" w:color="666666"/>
              <w:bottom w:val="single" w:sz="4" w:color="666666"/>
              <w:right w:val="single" w:sz="4" w:color="666666"/>
            </w:tcBorders>
          </w:tcPr>
          <w:p>
            <w:r>
              <w:t>Traefik 2.11</w:t>
            </w:r>
          </w:p>
        </w:tc>
        <w:tc>
          <w:tcPr>
            <w:tcW w:type="dxa" w:w="3010"/>
            <w:tcBorders>
              <w:top w:val="single" w:sz="4" w:color="666666"/>
              <w:left w:val="single" w:sz="4" w:color="666666"/>
              <w:bottom w:val="single" w:sz="4" w:color="666666"/>
              <w:right w:val="single" w:sz="4" w:color="666666"/>
            </w:tcBorders>
          </w:tcPr>
          <w:p>
            <w:r>
              <w:t>Terminación TLS con cert wildcard *.barberia.date; routing dinámico vía file provider.</w:t>
            </w:r>
          </w:p>
        </w:tc>
      </w:tr>
      <w:tr>
        <w:tc>
          <w:tcPr>
            <w:tcW w:type="dxa" w:w="3010"/>
            <w:tcBorders>
              <w:top w:val="single" w:sz="4" w:color="666666"/>
              <w:left w:val="single" w:sz="4" w:color="666666"/>
              <w:bottom w:val="single" w:sz="4" w:color="666666"/>
              <w:right w:val="single" w:sz="4" w:color="666666"/>
            </w:tcBorders>
          </w:tcPr>
          <w:p>
            <w:r>
              <w:t>Bot Telegram</w:t>
            </w:r>
          </w:p>
        </w:tc>
        <w:tc>
          <w:tcPr>
            <w:tcW w:type="dxa" w:w="3010"/>
            <w:tcBorders>
              <w:top w:val="single" w:sz="4" w:color="666666"/>
              <w:left w:val="single" w:sz="4" w:color="666666"/>
              <w:bottom w:val="single" w:sz="4" w:color="666666"/>
              <w:right w:val="single" w:sz="4" w:color="666666"/>
            </w:tcBorders>
          </w:tcPr>
          <w:p>
            <w:r>
              <w:t>python-telegram-bot 21.x</w:t>
            </w:r>
          </w:p>
        </w:tc>
        <w:tc>
          <w:tcPr>
            <w:tcW w:type="dxa" w:w="3010"/>
            <w:tcBorders>
              <w:top w:val="single" w:sz="4" w:color="666666"/>
              <w:left w:val="single" w:sz="4" w:color="666666"/>
              <w:bottom w:val="single" w:sz="4" w:color="666666"/>
              <w:right w:val="single" w:sz="4" w:color="666666"/>
            </w:tcBorders>
          </w:tcPr>
          <w:p>
            <w:r>
              <w:t>Webhook async, manejo de comandos /pronostico, /votar, /ranking, /version.</w:t>
            </w:r>
          </w:p>
        </w:tc>
      </w:tr>
    </w:tbl>
    <w:p>
      <w:pPr>
        <w:jc w:val="both"/>
      </w:pPr>
      <w:r>
        <w:rPr>
          <w:b w:val="0"/>
          <w:i w:val="0"/>
        </w:rPr>
        <w:t>La selección descarta deliberadamente opciones más pesadas o desproporcionadas para el alcance del proyecto: Node.js para el backend (innecesario, Python cubre todo el I/O con mejor rendimiento numérico), un ORM alternativo (Drizzle, Prisma: irrelevante sobre SQLite, añade otra capa que mantener), una cola de mensajes (Celery/Redis: innecesaria para un pipeline diario de 10 pasos que se ejecuta en menos de 3 minutos), y un dashboard web comercial (Grafana + Prometheus: sustituidos por /health y /version expuestos por la propia API).</w:t>
      </w:r>
    </w:p>
    <w:p>
      <w:pPr>
        <w:pStyle w:val="Heading2"/>
      </w:pPr>
      <w:r>
        <w:t>2.7 Arquitectura del sistema</w:t>
      </w:r>
    </w:p>
    <w:p>
      <w:pPr>
        <w:jc w:val="both"/>
      </w:pPr>
      <w:r>
        <w:rPr>
          <w:b w:val="0"/>
          <w:i w:val="0"/>
        </w:rPr>
        <w:t>La arquitectura se organiza en cinco capas concéntricas con responsabilidades bien separadas, siguiendo el principio de separación de responsabilidades (SoC) y el patrón de capas (layers pattern). Esta separación facilita el versionado independiente y la sustitución de componentes sin tocar el resto del sistema. El diagrama de componentes de la sección 2.9.3 muestra esta separación gráficamente.</w:t>
      </w:r>
    </w:p>
    <w:p>
      <w:pPr>
        <w:ind w:left="432" w:hanging="288"/>
        <w:jc w:val="both"/>
      </w:pPr>
      <w:r>
        <w:rPr>
          <w:b/>
        </w:rPr>
        <w:t xml:space="preserve">•  </w:t>
      </w:r>
      <w:r>
        <w:t>Capa de datos — SQLite con esquema v2 (21 tablas) sobre bind-mount /srv/predicciones-mx/data → /workspace/proyectos/data. Respaldos automáticos diarios 04:00 UTC.</w:t>
      </w:r>
    </w:p>
    <w:p>
      <w:pPr>
        <w:ind w:left="432" w:hanging="288"/>
        <w:jc w:val="both"/>
      </w:pPr>
      <w:r>
        <w:rPr>
          <w:b/>
        </w:rPr>
        <w:t xml:space="preserve">•  </w:t>
      </w:r>
      <w:r>
        <w:t>Capa de ingesta — clientes Python (asyncio + aiohttp) para SportMonks, ESPN (resultados de respaldo) y APIs de cuotas. Idempotencia garantizada por fixture_id como clave natural.</w:t>
      </w:r>
    </w:p>
    <w:p>
      <w:pPr>
        <w:ind w:left="432" w:hanging="288"/>
        <w:jc w:val="both"/>
      </w:pPr>
      <w:r>
        <w:rPr>
          <w:b/>
        </w:rPr>
        <w:t xml:space="preserve">•  </w:t>
      </w:r>
      <w:r>
        <w:t>Capa de modelado — implementaciones de Elo, Dixon-Coles, xG-DNN y heur; ensemble lineal con pesos fijos calibrados offline; calibración Platt 1-vs-rest aplicada al final.</w:t>
      </w:r>
    </w:p>
    <w:p>
      <w:pPr>
        <w:ind w:left="432" w:hanging="288"/>
        <w:jc w:val="both"/>
      </w:pPr>
      <w:r>
        <w:rPr>
          <w:b/>
        </w:rPr>
        <w:t xml:space="preserve">•  </w:t>
      </w:r>
      <w:r>
        <w:t>Capa de orquestación — pipeline diario de 10 pasos (carga fixtures → features → ensemble → debate multi-agente → juez DWC-MAD → publicación → reconciliación → backup → logging → health check).</w:t>
      </w:r>
    </w:p>
    <w:p>
      <w:pPr>
        <w:ind w:left="432" w:hanging="288"/>
        <w:jc w:val="both"/>
      </w:pPr>
      <w:r>
        <w:rPr>
          <w:b/>
        </w:rPr>
        <w:t xml:space="preserve">•  </w:t>
      </w:r>
      <w:r>
        <w:t>Capa de entrega — API REST en :8080 con endpoints /, /health, /version, /predictions/{fixture_id}; bot de Telegram @Predictions_MX_bot con webhook HTTPS detrás de Traefik.</w:t>
      </w:r>
    </w:p>
    <w:p>
      <w:pPr>
        <w:jc w:val="both"/>
      </w:pPr>
      <w:r>
        <w:rPr>
          <w:b w:val="0"/>
          <w:i w:val="0"/>
        </w:rPr>
        <w:t>Las cinco capas se comunican exclusivamente mediante interfaces bien definidas: la capa de datos expone consultas SQLAlchemy; la de ingesta expone métodos async get_* con paginación; la de modelado expone funciones puras (sin estado) que reciben DataFrames y devuelven probabilidades; la de orquestación invoca las anteriores en orden y maneja reintentos; la de entrega consume la salida final y la serializa en JSON o mensajes Telegram. Este contrato reduce el acoplamiento y permite testing aislado de cada capa: las pruebas unitarias del modelo no requieren una BD real, las pruebas de la API no requieren un bot real, etc.</w:t>
      </w:r>
    </w:p>
    <w:p>
      <w:pPr>
        <w:pStyle w:val="Heading2"/>
      </w:pPr>
      <w:r>
        <w:t>2.8 Metodología de desarrollo</w:t>
      </w:r>
    </w:p>
    <w:p>
      <w:pPr>
        <w:jc w:val="both"/>
      </w:pPr>
      <w:r>
        <w:rPr>
          <w:b w:val="0"/>
          <w:i w:val="0"/>
        </w:rPr>
        <w:t>Se adoptó una metodología híbrida que combina la fase de planeación estructurada del modelo en cascada (Royce, 1970, en su variante moderna) con la iteración corta del marco ágil (Beck et al., 2001). La justificación es operativa: un sistema predictivo exige fases secuenciales claras — recolección, limpieza, modelado, calibración, despliegue — que no toleran refactorizaciones simultáneas; sin embargo, los sprints semanales permiten incorporar nuevas fuentes de datos y ajustar hiperparámetros sin paralizar el flujo principal.</w:t>
      </w:r>
    </w:p>
    <w:p>
      <w:pPr>
        <w:jc w:val="both"/>
      </w:pPr>
      <w:r>
        <w:rPr>
          <w:b w:val="0"/>
          <w:i w:val="0"/>
        </w:rPr>
        <w:t>La cadencia real del proyecto se documenta en ROADMAP.md y se ejecuta como sigue. Lunes 09:00 UTC: recalibración Platt + revisión de Brier en ventana móvil 30 días + revisión de votos y feedback de usuarios; martes a domingo el pipeline diario se dispara a las 11:00 UTC; lunes a domingo 04:00 UTC se ejecuta el backup automático de la BD con retención de 30 días y envío de notificación a Telegram. Adicionalmente, el sistema expone una API REST para tareas administrativas (/admin/recalibrate, /admin/rollback) invocadas manualmente por el operador cuando se detectan anomalías.</w:t>
      </w:r>
    </w:p>
    <w:p>
      <w:pPr>
        <w:jc w:val="both"/>
      </w:pPr>
      <w:r>
        <w:rPr>
          <w:b w:val="0"/>
          <w:i w:val="0"/>
        </w:rPr>
        <w:t>El control de versiones se realiza con git en el repositorio PREDICCIONESMX (rama main), siguiendo convenciones conventional commits (feat:, fix:, chore:, refactor:, docs:, test:). Cada feature branch pasa por revisión de código y al menos 80 % de cobertura de pruebas antes de merge. Los cambios de esquema se aplican exclusivamente vía el script migrate_v2.py; cualquier ALTER manual queda prohibido y es detectable en code review. La infraestructura como código vive en Dockerfile + entrypoint.sh + crontab.txt, lo que garantiza que un nuevo despliegue es reproducible bit-a-bit desde el repositorio.</w:t>
      </w:r>
    </w:p>
    <w:p>
      <w:pPr>
        <w:pStyle w:val="Heading2"/>
      </w:pPr>
      <w:r>
        <w:t>2.9 Modelado UML</w:t>
      </w:r>
    </w:p>
    <w:p>
      <w:pPr>
        <w:jc w:val="both"/>
      </w:pPr>
      <w:r>
        <w:rPr>
          <w:b w:val="0"/>
          <w:i w:val="0"/>
        </w:rPr>
        <w:t>El modelado UML del sistema cubre nueve vistas estáticas y dinámicas. Cada vista se presenta a continuación con su diagrama embebido y una nota de interpretación de uno a dos párrafos. Las nueve vistas se generaron con Graphviz DOT a partir de archivos .dot versionados en docs/pendientes/diagramas/, lo que permite regenerar cualquier figura tras un cambio en el modelo sin tooling gráfico propietario.</w:t>
      </w:r>
    </w:p>
    <w:p>
      <w:pPr>
        <w:pStyle w:val="Heading3"/>
      </w:pPr>
      <w:r>
        <w:t>2.9.1 Diagrama de casos de uso</w:t>
      </w:r>
    </w:p>
    <w:p>
      <w:pPr>
        <w:jc w:val="both"/>
      </w:pPr>
      <w:r>
        <w:rPr>
          <w:b w:val="0"/>
          <w:i w:val="0"/>
        </w:rPr>
        <w:t>Identifica los actores externos (Usuario votante, Cron diario, Administrador y la API de SportMonks como sistema externo) y las siete funcionalidades que el sistema expone. Es la vista contractual del sistema: cada caso de uso tiene un disparador claro y una respuesta observable. La cardinalidad refleja que el cron diario dispara la ingesta y el pipeline, el administrador dispara la recalibración manual y el backup, y los usuarios consumen las predicciones y emiten votos.</w:t>
      </w:r>
    </w:p>
    <w:p>
      <w:pPr>
        <w:jc w:val="both"/>
      </w:pPr>
      <w:r>
        <w:rPr>
          <w:b w:val="0"/>
          <w:i w:val="0"/>
        </w:rPr>
        <w:t>Los casos de uso Respaldar BD y Recalibrar Platt se modelan separadamente del pipeline principal porque tienen periodicidad distinta (diario vs semanal) y disparador distinto (automático vs mixto). Esto refleja la separación operativa real del sistema y evita acoplarlos en un único caso de uso genérico.</w:t>
      </w:r>
    </w:p>
    <w:p>
      <w:pPr>
        <w:jc w:val="center"/>
      </w:pPr>
      <w:r>
        <w:drawing>
          <wp:inline>
            <wp:extent cx="5029200" cy="2252611"/>
            <wp:docPr id="2" name="Picture 2"/>
            <wp:cNvGraphicFramePr>
              <a:graphicFrameLocks noChangeAspect="1"/>
            </wp:cNvGraphicFramePr>
            <a:graphic>
              <a:graphicData uri="http://schemas.openxmlformats.org/drawingml/2006/picture">
                <pic:pic>
                  <pic:nvPicPr>
                    <pic:cNvPr id="0" name="uml_casos_uso.png"/>
                    <pic:cNvPicPr/>
                  </pic:nvPicPr>
                  <pic:blipFill>
                    <a:blip r:embed="rId8"/>
                    <a:stretch>
                      <a:fillRect/>
                    </a:stretch>
                  </pic:blipFill>
                  <pic:spPr>
                    <a:xfrm>
                      <a:off x="0" y="0"/>
                      <a:ext cx="5029200" cy="2252611"/>
                    </a:xfrm>
                    <a:prstGeom prst="rect"/>
                  </pic:spPr>
                </pic:pic>
              </a:graphicData>
            </a:graphic>
          </wp:inline>
        </w:drawing>
      </w:r>
    </w:p>
    <w:p>
      <w:pPr>
        <w:jc w:val="center"/>
      </w:pPr>
      <w:r>
        <w:rPr>
          <w:i/>
          <w:color w:val="555555"/>
          <w:sz w:val="18"/>
        </w:rPr>
        <w:t>Figura 1. Diagrama de casos de uso del sistema QuinielaTech/Predictions_MX.</w:t>
      </w:r>
    </w:p>
    <w:p>
      <w:pPr>
        <w:pStyle w:val="Heading3"/>
      </w:pPr>
      <w:r>
        <w:t>2.9.2 Diagrama de clases</w:t>
      </w:r>
    </w:p>
    <w:p>
      <w:pPr>
        <w:jc w:val="both"/>
      </w:pPr>
      <w:r>
        <w:rPr>
          <w:b w:val="0"/>
          <w:i w:val="0"/>
        </w:rPr>
        <w:t>Modela las entidades principales del dominio (Fixture, Team, MatchPrediction, AgentDebate) y su relación con la capa de API (SportMonksClient). La cardinalidad refleja que un Fixture produce una o más predicciones, y cada predicción genera uno o más debates de agentes (uno por cada agente LLM participante). Los atributos mostrados son los mínimos necesarios para identificar la entidad; el esquema completo de 21 tablas se muestra en la sección 2.9.9.</w:t>
      </w:r>
    </w:p>
    <w:p>
      <w:pPr>
        <w:jc w:val="center"/>
      </w:pPr>
      <w:r>
        <w:drawing>
          <wp:inline>
            <wp:extent cx="5029200" cy="1019998"/>
            <wp:docPr id="3" name="Picture 3"/>
            <wp:cNvGraphicFramePr>
              <a:graphicFrameLocks noChangeAspect="1"/>
            </wp:cNvGraphicFramePr>
            <a:graphic>
              <a:graphicData uri="http://schemas.openxmlformats.org/drawingml/2006/picture">
                <pic:pic>
                  <pic:nvPicPr>
                    <pic:cNvPr id="0" name="uml_clases.png"/>
                    <pic:cNvPicPr/>
                  </pic:nvPicPr>
                  <pic:blipFill>
                    <a:blip r:embed="rId9"/>
                    <a:stretch>
                      <a:fillRect/>
                    </a:stretch>
                  </pic:blipFill>
                  <pic:spPr>
                    <a:xfrm>
                      <a:off x="0" y="0"/>
                      <a:ext cx="5029200" cy="1019998"/>
                    </a:xfrm>
                    <a:prstGeom prst="rect"/>
                  </pic:spPr>
                </pic:pic>
              </a:graphicData>
            </a:graphic>
          </wp:inline>
        </w:drawing>
      </w:r>
    </w:p>
    <w:p>
      <w:pPr>
        <w:jc w:val="center"/>
      </w:pPr>
      <w:r>
        <w:rPr>
          <w:i/>
          <w:color w:val="555555"/>
          <w:sz w:val="18"/>
        </w:rPr>
        <w:t>Figura 2. Diagrama de clases del dominio y capa de API.</w:t>
      </w:r>
    </w:p>
    <w:p>
      <w:pPr>
        <w:pStyle w:val="Heading3"/>
      </w:pPr>
      <w:r>
        <w:t>2.9.3 Diagrama de componentes</w:t>
      </w:r>
    </w:p>
    <w:p>
      <w:pPr>
        <w:jc w:val="both"/>
      </w:pPr>
      <w:r>
        <w:rPr>
          <w:b w:val="0"/>
          <w:i w:val="0"/>
        </w:rPr>
        <w:t>Muestra la separación de responsabilidades en cinco capas (datos, ingesta, modelado, orquestación, entrega). Cada componente expone una interfaz estable: cambiar SQLite por PostgreSQL, o scikit-learn por otro framework ML, no afecta a las capas adyacentes. Las interfaces se documentan en formato OpenAPI 3.0 para la API REST y como docstrings tipados para los módulos Python internos.</w:t>
      </w:r>
    </w:p>
    <w:p>
      <w:pPr>
        <w:jc w:val="center"/>
      </w:pPr>
      <w:r>
        <w:drawing>
          <wp:inline>
            <wp:extent cx="5029200" cy="3562870"/>
            <wp:docPr id="4" name="Picture 4"/>
            <wp:cNvGraphicFramePr>
              <a:graphicFrameLocks noChangeAspect="1"/>
            </wp:cNvGraphicFramePr>
            <a:graphic>
              <a:graphicData uri="http://schemas.openxmlformats.org/drawingml/2006/picture">
                <pic:pic>
                  <pic:nvPicPr>
                    <pic:cNvPr id="0" name="uml_componentes.png"/>
                    <pic:cNvPicPr/>
                  </pic:nvPicPr>
                  <pic:blipFill>
                    <a:blip r:embed="rId10"/>
                    <a:stretch>
                      <a:fillRect/>
                    </a:stretch>
                  </pic:blipFill>
                  <pic:spPr>
                    <a:xfrm>
                      <a:off x="0" y="0"/>
                      <a:ext cx="5029200" cy="3562870"/>
                    </a:xfrm>
                    <a:prstGeom prst="rect"/>
                  </pic:spPr>
                </pic:pic>
              </a:graphicData>
            </a:graphic>
          </wp:inline>
        </w:drawing>
      </w:r>
    </w:p>
    <w:p>
      <w:pPr>
        <w:jc w:val="center"/>
      </w:pPr>
      <w:r>
        <w:rPr>
          <w:i/>
          <w:color w:val="555555"/>
          <w:sz w:val="18"/>
        </w:rPr>
        <w:t>Figura 3. Diagrama de componentes en cinco capas.</w:t>
      </w:r>
    </w:p>
    <w:p>
      <w:pPr>
        <w:pStyle w:val="Heading3"/>
      </w:pPr>
      <w:r>
        <w:t>2.9.4 Diagrama de despliegue</w:t>
      </w:r>
    </w:p>
    <w:p>
      <w:pPr>
        <w:jc w:val="both"/>
      </w:pPr>
      <w:r>
        <w:rPr>
          <w:b w:val="0"/>
          <w:i w:val="0"/>
        </w:rPr>
        <w:t>Describe la topología física y de red: el contenedor predicciones-mx dentro del VPS Hetzner CPX31, el balanceo vía Traefik con cert wildcard *.barberia.date, el bind-mount para persistencia de la BD, y la red overlay dokploy-network para comunicación con el panel Dokploy. La figura refleja la configuración real en producción a la fecha del documento y se replica exactamente con el archivo deploy/DOKPLOY.md.</w:t>
      </w:r>
    </w:p>
    <w:p>
      <w:pPr>
        <w:jc w:val="center"/>
      </w:pPr>
      <w:r>
        <w:drawing>
          <wp:inline>
            <wp:extent cx="5029200" cy="3327938"/>
            <wp:docPr id="5" name="Picture 5"/>
            <wp:cNvGraphicFramePr>
              <a:graphicFrameLocks noChangeAspect="1"/>
            </wp:cNvGraphicFramePr>
            <a:graphic>
              <a:graphicData uri="http://schemas.openxmlformats.org/drawingml/2006/picture">
                <pic:pic>
                  <pic:nvPicPr>
                    <pic:cNvPr id="0" name="uml_despliegue.png"/>
                    <pic:cNvPicPr/>
                  </pic:nvPicPr>
                  <pic:blipFill>
                    <a:blip r:embed="rId11"/>
                    <a:stretch>
                      <a:fillRect/>
                    </a:stretch>
                  </pic:blipFill>
                  <pic:spPr>
                    <a:xfrm>
                      <a:off x="0" y="0"/>
                      <a:ext cx="5029200" cy="3327938"/>
                    </a:xfrm>
                    <a:prstGeom prst="rect"/>
                  </pic:spPr>
                </pic:pic>
              </a:graphicData>
            </a:graphic>
          </wp:inline>
        </w:drawing>
      </w:r>
    </w:p>
    <w:p>
      <w:pPr>
        <w:jc w:val="center"/>
      </w:pPr>
      <w:r>
        <w:rPr>
          <w:i/>
          <w:color w:val="555555"/>
          <w:sz w:val="18"/>
        </w:rPr>
        <w:t>Figura 4. Diagrama de despliegue Dokploy + Traefik.</w:t>
      </w:r>
    </w:p>
    <w:p>
      <w:pPr>
        <w:pStyle w:val="Heading3"/>
      </w:pPr>
      <w:r>
        <w:t>2.9.5 Diagrama de secuencia — voto del usuario</w:t>
      </w:r>
    </w:p>
    <w:p>
      <w:pPr>
        <w:jc w:val="both"/>
      </w:pPr>
      <w:r>
        <w:rPr>
          <w:b w:val="0"/>
          <w:i w:val="0"/>
        </w:rPr>
        <w:t>Detalla la interacción entre el votante, el bot de Telegram, la API REST y la BD cuando un usuario emite un voto. La secuencia incluye validación de identidad, verificación de idempotencia (un usuario solo puede votar una vez por partido), registro del voto y respuesta con la predicción consolidada del juez DWC-MAD más un desglose del debate multi-agente. La vista permite identificar cuellos de botella y dependencias síncronas.</w:t>
      </w:r>
    </w:p>
    <w:p>
      <w:pPr>
        <w:jc w:val="center"/>
      </w:pPr>
      <w:r>
        <w:drawing>
          <wp:inline>
            <wp:extent cx="5029200" cy="2536498"/>
            <wp:docPr id="6" name="Picture 6"/>
            <wp:cNvGraphicFramePr>
              <a:graphicFrameLocks noChangeAspect="1"/>
            </wp:cNvGraphicFramePr>
            <a:graphic>
              <a:graphicData uri="http://schemas.openxmlformats.org/drawingml/2006/picture">
                <pic:pic>
                  <pic:nvPicPr>
                    <pic:cNvPr id="0" name="uml_secuencia_voto.png"/>
                    <pic:cNvPicPr/>
                  </pic:nvPicPr>
                  <pic:blipFill>
                    <a:blip r:embed="rId12"/>
                    <a:stretch>
                      <a:fillRect/>
                    </a:stretch>
                  </pic:blipFill>
                  <pic:spPr>
                    <a:xfrm>
                      <a:off x="0" y="0"/>
                      <a:ext cx="5029200" cy="2536498"/>
                    </a:xfrm>
                    <a:prstGeom prst="rect"/>
                  </pic:spPr>
                </pic:pic>
              </a:graphicData>
            </a:graphic>
          </wp:inline>
        </w:drawing>
      </w:r>
    </w:p>
    <w:p>
      <w:pPr>
        <w:jc w:val="center"/>
      </w:pPr>
      <w:r>
        <w:rPr>
          <w:i/>
          <w:color w:val="555555"/>
          <w:sz w:val="18"/>
        </w:rPr>
        <w:t>Figura 5. Diagrama de secuencia del voto del usuario.</w:t>
      </w:r>
    </w:p>
    <w:p>
      <w:pPr>
        <w:pStyle w:val="Heading3"/>
      </w:pPr>
      <w:r>
        <w:t>2.9.6 Diagrama de secuencia — pipeline diario</w:t>
      </w:r>
    </w:p>
    <w:p>
      <w:pPr>
        <w:jc w:val="both"/>
      </w:pPr>
      <w:r>
        <w:rPr>
          <w:b w:val="0"/>
          <w:i w:val="0"/>
        </w:rPr>
        <w:t>Muestra el orden temporal de las llamadas internas que el cron de las 11:00 UTC dispara: ingesta → features → ensemble → debate → juez → publicación → reconciliación → backup → logging. Es la vista operativa del sistema y la que más se revisa durante incidentes. Las llamadas marcadas como async son paralelizables; en la práctica se ejecutan secuencialmente para mantener trazabilidad lineal en los logs.</w:t>
      </w:r>
    </w:p>
    <w:p>
      <w:pPr>
        <w:jc w:val="center"/>
      </w:pPr>
      <w:r>
        <w:drawing>
          <wp:inline>
            <wp:extent cx="5029200" cy="6521196"/>
            <wp:docPr id="7" name="Picture 7"/>
            <wp:cNvGraphicFramePr>
              <a:graphicFrameLocks noChangeAspect="1"/>
            </wp:cNvGraphicFramePr>
            <a:graphic>
              <a:graphicData uri="http://schemas.openxmlformats.org/drawingml/2006/picture">
                <pic:pic>
                  <pic:nvPicPr>
                    <pic:cNvPr id="0" name="uml_secuencia_pipeline.png"/>
                    <pic:cNvPicPr/>
                  </pic:nvPicPr>
                  <pic:blipFill>
                    <a:blip r:embed="rId13"/>
                    <a:stretch>
                      <a:fillRect/>
                    </a:stretch>
                  </pic:blipFill>
                  <pic:spPr>
                    <a:xfrm>
                      <a:off x="0" y="0"/>
                      <a:ext cx="5029200" cy="6521196"/>
                    </a:xfrm>
                    <a:prstGeom prst="rect"/>
                  </pic:spPr>
                </pic:pic>
              </a:graphicData>
            </a:graphic>
          </wp:inline>
        </w:drawing>
      </w:r>
    </w:p>
    <w:p>
      <w:pPr>
        <w:jc w:val="center"/>
      </w:pPr>
      <w:r>
        <w:rPr>
          <w:i/>
          <w:color w:val="555555"/>
          <w:sz w:val="18"/>
        </w:rPr>
        <w:t>Figura 6. Diagrama de secuencia del pipeline diario.</w:t>
      </w:r>
    </w:p>
    <w:p>
      <w:pPr>
        <w:pStyle w:val="Heading3"/>
      </w:pPr>
      <w:r>
        <w:t>2.9.7 Diagrama de actividad — pipeline</w:t>
      </w:r>
    </w:p>
    <w:p>
      <w:pPr>
        <w:jc w:val="both"/>
      </w:pPr>
      <w:r>
        <w:rPr>
          <w:b w:val="0"/>
          <w:i w:val="0"/>
        </w:rPr>
        <w:t>Reformula el pipeline como flujo de actividades con nodos de decisión (¿hay fixtures programados?, ¿Brier empeoró tras recalibración?, ¿rollback?). Permite razonar sobre caminos alternos y cuellos de botella, y modelar el camino de excepción completo (rollback de calibración, reintento de ingesta con backoff, alerta a Telegram si el pipeline falla tres veces consecutivas).</w:t>
      </w:r>
    </w:p>
    <w:p>
      <w:pPr>
        <w:jc w:val="center"/>
      </w:pPr>
      <w:r>
        <w:drawing>
          <wp:inline>
            <wp:extent cx="5029200" cy="35054721"/>
            <wp:docPr id="8" name="Picture 8"/>
            <wp:cNvGraphicFramePr>
              <a:graphicFrameLocks noChangeAspect="1"/>
            </wp:cNvGraphicFramePr>
            <a:graphic>
              <a:graphicData uri="http://schemas.openxmlformats.org/drawingml/2006/picture">
                <pic:pic>
                  <pic:nvPicPr>
                    <pic:cNvPr id="0" name="uml_actividad_pipeline.png"/>
                    <pic:cNvPicPr/>
                  </pic:nvPicPr>
                  <pic:blipFill>
                    <a:blip r:embed="rId14"/>
                    <a:stretch>
                      <a:fillRect/>
                    </a:stretch>
                  </pic:blipFill>
                  <pic:spPr>
                    <a:xfrm>
                      <a:off x="0" y="0"/>
                      <a:ext cx="5029200" cy="35054721"/>
                    </a:xfrm>
                    <a:prstGeom prst="rect"/>
                  </pic:spPr>
                </pic:pic>
              </a:graphicData>
            </a:graphic>
          </wp:inline>
        </w:drawing>
      </w:r>
    </w:p>
    <w:p>
      <w:pPr>
        <w:jc w:val="center"/>
      </w:pPr>
      <w:r>
        <w:rPr>
          <w:i/>
          <w:color w:val="555555"/>
          <w:sz w:val="18"/>
        </w:rPr>
        <w:t>Figura 7. Diagrama de actividad del pipeline diario.</w:t>
      </w:r>
    </w:p>
    <w:p>
      <w:pPr>
        <w:pStyle w:val="Heading3"/>
      </w:pPr>
      <w:r>
        <w:t>2.9.8 Diagrama de estados — predicción</w:t>
      </w:r>
    </w:p>
    <w:p>
      <w:pPr>
        <w:jc w:val="both"/>
      </w:pPr>
      <w:r>
        <w:rPr>
          <w:b w:val="0"/>
          <w:i w:val="0"/>
        </w:rPr>
        <w:t>Modela el ciclo de vida de una predicción: pendiente → publicada → votada → cerrada → reconciliada. Las transiciones están gobernadas por eventos del pipeline y por la interacción del usuario. El estado reconciliada es el terminal y dispara la actualización de las métricas de backtest y, eventualmente, la recalibración Platt si la ventana de evaluación lo amerita.</w:t>
      </w:r>
    </w:p>
    <w:p>
      <w:pPr>
        <w:jc w:val="center"/>
      </w:pPr>
      <w:r>
        <w:drawing>
          <wp:inline>
            <wp:extent cx="5029200" cy="384841"/>
            <wp:docPr id="9" name="Picture 9"/>
            <wp:cNvGraphicFramePr>
              <a:graphicFrameLocks noChangeAspect="1"/>
            </wp:cNvGraphicFramePr>
            <a:graphic>
              <a:graphicData uri="http://schemas.openxmlformats.org/drawingml/2006/picture">
                <pic:pic>
                  <pic:nvPicPr>
                    <pic:cNvPr id="0" name="uml_estados_prediccion.png"/>
                    <pic:cNvPicPr/>
                  </pic:nvPicPr>
                  <pic:blipFill>
                    <a:blip r:embed="rId15"/>
                    <a:stretch>
                      <a:fillRect/>
                    </a:stretch>
                  </pic:blipFill>
                  <pic:spPr>
                    <a:xfrm>
                      <a:off x="0" y="0"/>
                      <a:ext cx="5029200" cy="384841"/>
                    </a:xfrm>
                    <a:prstGeom prst="rect"/>
                  </pic:spPr>
                </pic:pic>
              </a:graphicData>
            </a:graphic>
          </wp:inline>
        </w:drawing>
      </w:r>
    </w:p>
    <w:p>
      <w:pPr>
        <w:jc w:val="center"/>
      </w:pPr>
      <w:r>
        <w:rPr>
          <w:i/>
          <w:color w:val="555555"/>
          <w:sz w:val="18"/>
        </w:rPr>
        <w:t>Figura 8. Diagrama de estados de una predicción.</w:t>
      </w:r>
    </w:p>
    <w:p>
      <w:pPr>
        <w:pStyle w:val="Heading3"/>
      </w:pPr>
      <w:r>
        <w:t>2.9.9 Diagrama entidad-relación</w:t>
      </w:r>
    </w:p>
    <w:p>
      <w:pPr>
        <w:jc w:val="both"/>
      </w:pPr>
      <w:r>
        <w:rPr>
          <w:b w:val="0"/>
          <w:i w:val="0"/>
        </w:rPr>
        <w:t>Presenta las 21 tablas del esquema v2 y sus relaciones. Las tablas se agrupan por dominio en la figura: fixtures y equipos (verde), modelado estadístico (azul), predicciones y debate (amarillo), calibración y votaciones (rosa), operaciones y telemetría (gris). Las claves foráneas siguen la convención nombre_id para todas las relaciones, lo que facilita la inspección manual con el cliente sqlite3.</w:t>
      </w:r>
    </w:p>
    <w:p>
      <w:pPr>
        <w:jc w:val="center"/>
      </w:pPr>
      <w:r>
        <w:drawing>
          <wp:inline>
            <wp:extent cx="5029200" cy="3667061"/>
            <wp:docPr id="10" name="Picture 10"/>
            <wp:cNvGraphicFramePr>
              <a:graphicFrameLocks noChangeAspect="1"/>
            </wp:cNvGraphicFramePr>
            <a:graphic>
              <a:graphicData uri="http://schemas.openxmlformats.org/drawingml/2006/picture">
                <pic:pic>
                  <pic:nvPicPr>
                    <pic:cNvPr id="0" name="uml_er_schema.png"/>
                    <pic:cNvPicPr/>
                  </pic:nvPicPr>
                  <pic:blipFill>
                    <a:blip r:embed="rId16"/>
                    <a:stretch>
                      <a:fillRect/>
                    </a:stretch>
                  </pic:blipFill>
                  <pic:spPr>
                    <a:xfrm>
                      <a:off x="0" y="0"/>
                      <a:ext cx="5029200" cy="3667061"/>
                    </a:xfrm>
                    <a:prstGeom prst="rect"/>
                  </pic:spPr>
                </pic:pic>
              </a:graphicData>
            </a:graphic>
          </wp:inline>
        </w:drawing>
      </w:r>
    </w:p>
    <w:p>
      <w:pPr>
        <w:jc w:val="center"/>
      </w:pPr>
      <w:r>
        <w:rPr>
          <w:i/>
          <w:color w:val="555555"/>
          <w:sz w:val="18"/>
        </w:rPr>
        <w:t>Figura 9. Modelo entidad-relación del esquema v2.</w:t>
      </w:r>
    </w:p>
    <w:p>
      <w:pPr>
        <w:pStyle w:val="Heading2"/>
      </w:pPr>
      <w:r>
        <w:t>2.10 Análisis de costos</w:t>
      </w:r>
    </w:p>
    <w:p>
      <w:pPr>
        <w:jc w:val="both"/>
      </w:pPr>
      <w:r>
        <w:rPr>
          <w:b w:val="0"/>
          <w:i w:val="0"/>
        </w:rPr>
        <w:t>El análisis distingue entre CAPEX (gastos de capital, únicos) y OPEX (gastos operativos, recurrentes). Todos los montos están expresados en pesos mexicanos (MXN) al tipo de cambio de referencia vigente durante la ejecución del proyecto. Se incluyen los rubros relevantes al producto entregado y se excluyen costos personales del desarrollador (electricidad doméstica, internet residencial) por no formar parte del ámbito del proyecto.</w:t>
      </w:r>
    </w:p>
    <w:tbl>
      <w:tblPr>
        <w:tblW w:type="auto" w:w="0"/>
        <w:tblLook w:firstColumn="1" w:firstRow="1" w:lastColumn="0" w:lastRow="0" w:noHBand="0" w:noVBand="1" w:val="04A0"/>
      </w:tblPr>
      <w:tblGrid>
        <w:gridCol w:w="2257"/>
        <w:gridCol w:w="2257"/>
        <w:gridCol w:w="2257"/>
        <w:gridCol w:w="2257"/>
      </w:tblGrid>
      <w:tr>
        <w:tc>
          <w:tcPr>
            <w:tcW w:type="dxa" w:w="2257"/>
            <w:tcBorders>
              <w:top w:val="single" w:sz="4" w:color="666666"/>
              <w:left w:val="single" w:sz="4" w:color="666666"/>
              <w:bottom w:val="single" w:sz="4" w:color="666666"/>
              <w:right w:val="single" w:sz="4" w:color="666666"/>
            </w:tcBorders>
          </w:tcPr>
          <w:p>
            <w:r>
              <w:rPr>
                <w:b/>
              </w:rPr>
              <w:t>Rubro</w:t>
            </w:r>
          </w:p>
        </w:tc>
        <w:tc>
          <w:tcPr>
            <w:tcW w:type="dxa" w:w="2257"/>
            <w:tcBorders>
              <w:top w:val="single" w:sz="4" w:color="666666"/>
              <w:left w:val="single" w:sz="4" w:color="666666"/>
              <w:bottom w:val="single" w:sz="4" w:color="666666"/>
              <w:right w:val="single" w:sz="4" w:color="666666"/>
            </w:tcBorders>
          </w:tcPr>
          <w:p>
            <w:r>
              <w:rPr>
                <w:b/>
              </w:rPr>
              <w:t>Tipo</w:t>
            </w:r>
          </w:p>
        </w:tc>
        <w:tc>
          <w:tcPr>
            <w:tcW w:type="dxa" w:w="2257"/>
            <w:tcBorders>
              <w:top w:val="single" w:sz="4" w:color="666666"/>
              <w:left w:val="single" w:sz="4" w:color="666666"/>
              <w:bottom w:val="single" w:sz="4" w:color="666666"/>
              <w:right w:val="single" w:sz="4" w:color="666666"/>
            </w:tcBorders>
          </w:tcPr>
          <w:p>
            <w:r>
              <w:rPr>
                <w:b/>
              </w:rPr>
              <w:t>Descripción</w:t>
            </w:r>
          </w:p>
        </w:tc>
        <w:tc>
          <w:tcPr>
            <w:tcW w:type="dxa" w:w="2257"/>
            <w:tcBorders>
              <w:top w:val="single" w:sz="4" w:color="666666"/>
              <w:left w:val="single" w:sz="4" w:color="666666"/>
              <w:bottom w:val="single" w:sz="4" w:color="666666"/>
              <w:right w:val="single" w:sz="4" w:color="666666"/>
            </w:tcBorders>
          </w:tcPr>
          <w:p>
            <w:r>
              <w:rPr>
                <w:b/>
              </w:rPr>
              <w:t>Monto MXN</w:t>
            </w:r>
          </w:p>
        </w:tc>
      </w:tr>
      <w:tr>
        <w:tc>
          <w:tcPr>
            <w:tcW w:type="dxa" w:w="2257"/>
            <w:tcBorders>
              <w:top w:val="single" w:sz="4" w:color="666666"/>
              <w:left w:val="single" w:sz="4" w:color="666666"/>
              <w:bottom w:val="single" w:sz="4" w:color="666666"/>
              <w:right w:val="single" w:sz="4" w:color="666666"/>
            </w:tcBorders>
          </w:tcPr>
          <w:p>
            <w:r>
              <w:t>VPS (Hetzner CPX31)</w:t>
            </w:r>
          </w:p>
        </w:tc>
        <w:tc>
          <w:tcPr>
            <w:tcW w:type="dxa" w:w="2257"/>
            <w:tcBorders>
              <w:top w:val="single" w:sz="4" w:color="666666"/>
              <w:left w:val="single" w:sz="4" w:color="666666"/>
              <w:bottom w:val="single" w:sz="4" w:color="666666"/>
              <w:right w:val="single" w:sz="4" w:color="666666"/>
            </w:tcBorders>
          </w:tcPr>
          <w:p>
            <w:r>
              <w:t>OPEX</w:t>
            </w:r>
          </w:p>
        </w:tc>
        <w:tc>
          <w:tcPr>
            <w:tcW w:type="dxa" w:w="2257"/>
            <w:tcBorders>
              <w:top w:val="single" w:sz="4" w:color="666666"/>
              <w:left w:val="single" w:sz="4" w:color="666666"/>
              <w:bottom w:val="single" w:sz="4" w:color="666666"/>
              <w:right w:val="single" w:sz="4" w:color="666666"/>
            </w:tcBorders>
          </w:tcPr>
          <w:p>
            <w:r>
              <w:t>4 vCPU, 8 GB RAM, 160 GB SSD — Dokploy + contenedor prod.</w:t>
            </w:r>
          </w:p>
        </w:tc>
        <w:tc>
          <w:tcPr>
            <w:tcW w:type="dxa" w:w="2257"/>
            <w:tcBorders>
              <w:top w:val="single" w:sz="4" w:color="666666"/>
              <w:left w:val="single" w:sz="4" w:color="666666"/>
              <w:bottom w:val="single" w:sz="4" w:color="666666"/>
              <w:right w:val="single" w:sz="4" w:color="666666"/>
            </w:tcBorders>
          </w:tcPr>
          <w:p>
            <w:r>
              <w:t>600 / mes</w:t>
            </w:r>
          </w:p>
        </w:tc>
      </w:tr>
      <w:tr>
        <w:tc>
          <w:tcPr>
            <w:tcW w:type="dxa" w:w="2257"/>
            <w:tcBorders>
              <w:top w:val="single" w:sz="4" w:color="666666"/>
              <w:left w:val="single" w:sz="4" w:color="666666"/>
              <w:bottom w:val="single" w:sz="4" w:color="666666"/>
              <w:right w:val="single" w:sz="4" w:color="666666"/>
            </w:tcBorders>
          </w:tcPr>
          <w:p>
            <w:r>
              <w:t>Dominio *.barberia.date</w:t>
            </w:r>
          </w:p>
        </w:tc>
        <w:tc>
          <w:tcPr>
            <w:tcW w:type="dxa" w:w="2257"/>
            <w:tcBorders>
              <w:top w:val="single" w:sz="4" w:color="666666"/>
              <w:left w:val="single" w:sz="4" w:color="666666"/>
              <w:bottom w:val="single" w:sz="4" w:color="666666"/>
              <w:right w:val="single" w:sz="4" w:color="666666"/>
            </w:tcBorders>
          </w:tcPr>
          <w:p>
            <w:r>
              <w:t>OPEX</w:t>
            </w:r>
          </w:p>
        </w:tc>
        <w:tc>
          <w:tcPr>
            <w:tcW w:type="dxa" w:w="2257"/>
            <w:tcBorders>
              <w:top w:val="single" w:sz="4" w:color="666666"/>
              <w:left w:val="single" w:sz="4" w:color="666666"/>
              <w:bottom w:val="single" w:sz="4" w:color="666666"/>
              <w:right w:val="single" w:sz="4" w:color="666666"/>
            </w:tcBorders>
          </w:tcPr>
          <w:p>
            <w:r>
              <w:t>Registro + DNS wildcard, renovación anual prorrateada.</w:t>
            </w:r>
          </w:p>
        </w:tc>
        <w:tc>
          <w:tcPr>
            <w:tcW w:type="dxa" w:w="2257"/>
            <w:tcBorders>
              <w:top w:val="single" w:sz="4" w:color="666666"/>
              <w:left w:val="single" w:sz="4" w:color="666666"/>
              <w:bottom w:val="single" w:sz="4" w:color="666666"/>
              <w:right w:val="single" w:sz="4" w:color="666666"/>
            </w:tcBorders>
          </w:tcPr>
          <w:p>
            <w:r>
              <w:t>500 / año</w:t>
            </w:r>
          </w:p>
        </w:tc>
      </w:tr>
      <w:tr>
        <w:tc>
          <w:tcPr>
            <w:tcW w:type="dxa" w:w="2257"/>
            <w:tcBorders>
              <w:top w:val="single" w:sz="4" w:color="666666"/>
              <w:left w:val="single" w:sz="4" w:color="666666"/>
              <w:bottom w:val="single" w:sz="4" w:color="666666"/>
              <w:right w:val="single" w:sz="4" w:color="666666"/>
            </w:tcBorders>
          </w:tcPr>
          <w:p>
            <w:r>
              <w:t>Cert TLS (Let's Encrypt)</w:t>
            </w:r>
          </w:p>
        </w:tc>
        <w:tc>
          <w:tcPr>
            <w:tcW w:type="dxa" w:w="2257"/>
            <w:tcBorders>
              <w:top w:val="single" w:sz="4" w:color="666666"/>
              <w:left w:val="single" w:sz="4" w:color="666666"/>
              <w:bottom w:val="single" w:sz="4" w:color="666666"/>
              <w:right w:val="single" w:sz="4" w:color="666666"/>
            </w:tcBorders>
          </w:tcPr>
          <w:p>
            <w:r>
              <w:t>OPEX</w:t>
            </w:r>
          </w:p>
        </w:tc>
        <w:tc>
          <w:tcPr>
            <w:tcW w:type="dxa" w:w="2257"/>
            <w:tcBorders>
              <w:top w:val="single" w:sz="4" w:color="666666"/>
              <w:left w:val="single" w:sz="4" w:color="666666"/>
              <w:bottom w:val="single" w:sz="4" w:color="666666"/>
              <w:right w:val="single" w:sz="4" w:color="666666"/>
            </w:tcBorders>
          </w:tcPr>
          <w:p>
            <w:r>
              <w:t>Wildcard vía Traefik SNI; sin costo directo.</w:t>
            </w:r>
          </w:p>
        </w:tc>
        <w:tc>
          <w:tcPr>
            <w:tcW w:type="dxa" w:w="2257"/>
            <w:tcBorders>
              <w:top w:val="single" w:sz="4" w:color="666666"/>
              <w:left w:val="single" w:sz="4" w:color="666666"/>
              <w:bottom w:val="single" w:sz="4" w:color="666666"/>
              <w:right w:val="single" w:sz="4" w:color="666666"/>
            </w:tcBorders>
          </w:tcPr>
          <w:p>
            <w:r>
              <w:t>0</w:t>
            </w:r>
          </w:p>
        </w:tc>
      </w:tr>
      <w:tr>
        <w:tc>
          <w:tcPr>
            <w:tcW w:type="dxa" w:w="2257"/>
            <w:tcBorders>
              <w:top w:val="single" w:sz="4" w:color="666666"/>
              <w:left w:val="single" w:sz="4" w:color="666666"/>
              <w:bottom w:val="single" w:sz="4" w:color="666666"/>
              <w:right w:val="single" w:sz="4" w:color="666666"/>
            </w:tcBorders>
          </w:tcPr>
          <w:p>
            <w:r>
              <w:t>API SportMonks v3</w:t>
            </w:r>
          </w:p>
        </w:tc>
        <w:tc>
          <w:tcPr>
            <w:tcW w:type="dxa" w:w="2257"/>
            <w:tcBorders>
              <w:top w:val="single" w:sz="4" w:color="666666"/>
              <w:left w:val="single" w:sz="4" w:color="666666"/>
              <w:bottom w:val="single" w:sz="4" w:color="666666"/>
              <w:right w:val="single" w:sz="4" w:color="666666"/>
            </w:tcBorders>
          </w:tcPr>
          <w:p>
            <w:r>
              <w:t>OPEX</w:t>
            </w:r>
          </w:p>
        </w:tc>
        <w:tc>
          <w:tcPr>
            <w:tcW w:type="dxa" w:w="2257"/>
            <w:tcBorders>
              <w:top w:val="single" w:sz="4" w:color="666666"/>
              <w:left w:val="single" w:sz="4" w:color="666666"/>
              <w:bottom w:val="single" w:sz="4" w:color="666666"/>
              <w:right w:val="single" w:sz="4" w:color="666666"/>
            </w:tcBorders>
          </w:tcPr>
          <w:p>
            <w:r>
              <w:t>Plan Liga MX + Liga Expansión, ventana 1 h, ~2500 req/día.</w:t>
            </w:r>
          </w:p>
        </w:tc>
        <w:tc>
          <w:tcPr>
            <w:tcW w:type="dxa" w:w="2257"/>
            <w:tcBorders>
              <w:top w:val="single" w:sz="4" w:color="666666"/>
              <w:left w:val="single" w:sz="4" w:color="666666"/>
              <w:bottom w:val="single" w:sz="4" w:color="666666"/>
              <w:right w:val="single" w:sz="4" w:color="666666"/>
            </w:tcBorders>
          </w:tcPr>
          <w:p>
            <w:r>
              <w:t>450 / mes</w:t>
            </w:r>
          </w:p>
        </w:tc>
      </w:tr>
      <w:tr>
        <w:tc>
          <w:tcPr>
            <w:tcW w:type="dxa" w:w="2257"/>
            <w:tcBorders>
              <w:top w:val="single" w:sz="4" w:color="666666"/>
              <w:left w:val="single" w:sz="4" w:color="666666"/>
              <w:bottom w:val="single" w:sz="4" w:color="666666"/>
              <w:right w:val="single" w:sz="4" w:color="666666"/>
            </w:tcBorders>
          </w:tcPr>
          <w:p>
            <w:r>
              <w:t>Anthropic API</w:t>
            </w:r>
          </w:p>
        </w:tc>
        <w:tc>
          <w:tcPr>
            <w:tcW w:type="dxa" w:w="2257"/>
            <w:tcBorders>
              <w:top w:val="single" w:sz="4" w:color="666666"/>
              <w:left w:val="single" w:sz="4" w:color="666666"/>
              <w:bottom w:val="single" w:sz="4" w:color="666666"/>
              <w:right w:val="single" w:sz="4" w:color="666666"/>
            </w:tcBorders>
          </w:tcPr>
          <w:p>
            <w:r>
              <w:t>OPEX</w:t>
            </w:r>
          </w:p>
        </w:tc>
        <w:tc>
          <w:tcPr>
            <w:tcW w:type="dxa" w:w="2257"/>
            <w:tcBorders>
              <w:top w:val="single" w:sz="4" w:color="666666"/>
              <w:left w:val="single" w:sz="4" w:color="666666"/>
              <w:bottom w:val="single" w:sz="4" w:color="666666"/>
              <w:right w:val="single" w:sz="4" w:color="666666"/>
            </w:tcBorders>
          </w:tcPr>
          <w:p>
            <w:r>
              <w:t>3-4 agentes LLM por partido, ~150 tokens c/u, ~25 partidos/mes.</w:t>
            </w:r>
          </w:p>
        </w:tc>
        <w:tc>
          <w:tcPr>
            <w:tcW w:type="dxa" w:w="2257"/>
            <w:tcBorders>
              <w:top w:val="single" w:sz="4" w:color="666666"/>
              <w:left w:val="single" w:sz="4" w:color="666666"/>
              <w:bottom w:val="single" w:sz="4" w:color="666666"/>
              <w:right w:val="single" w:sz="4" w:color="666666"/>
            </w:tcBorders>
          </w:tcPr>
          <w:p>
            <w:r>
              <w:t>180 / mes</w:t>
            </w:r>
          </w:p>
        </w:tc>
      </w:tr>
      <w:tr>
        <w:tc>
          <w:tcPr>
            <w:tcW w:type="dxa" w:w="2257"/>
            <w:tcBorders>
              <w:top w:val="single" w:sz="4" w:color="666666"/>
              <w:left w:val="single" w:sz="4" w:color="666666"/>
              <w:bottom w:val="single" w:sz="4" w:color="666666"/>
              <w:right w:val="single" w:sz="4" w:color="666666"/>
            </w:tcBorders>
          </w:tcPr>
          <w:p>
            <w:r>
              <w:t>Desarrollo inicial</w:t>
            </w:r>
          </w:p>
        </w:tc>
        <w:tc>
          <w:tcPr>
            <w:tcW w:type="dxa" w:w="2257"/>
            <w:tcBorders>
              <w:top w:val="single" w:sz="4" w:color="666666"/>
              <w:left w:val="single" w:sz="4" w:color="666666"/>
              <w:bottom w:val="single" w:sz="4" w:color="666666"/>
              <w:right w:val="single" w:sz="4" w:color="666666"/>
            </w:tcBorders>
          </w:tcPr>
          <w:p>
            <w:r>
              <w:t>CAPEX</w:t>
            </w:r>
          </w:p>
        </w:tc>
        <w:tc>
          <w:tcPr>
            <w:tcW w:type="dxa" w:w="2257"/>
            <w:tcBorders>
              <w:top w:val="single" w:sz="4" w:color="666666"/>
              <w:left w:val="single" w:sz="4" w:color="666666"/>
              <w:bottom w:val="single" w:sz="4" w:color="666666"/>
              <w:right w:val="single" w:sz="4" w:color="666666"/>
            </w:tcBorders>
          </w:tcPr>
          <w:p>
            <w:r>
              <w:t>1 200 horas-hombre estimadas, sin costo monetario (autoría propia).</w:t>
            </w:r>
          </w:p>
        </w:tc>
        <w:tc>
          <w:tcPr>
            <w:tcW w:type="dxa" w:w="2257"/>
            <w:tcBorders>
              <w:top w:val="single" w:sz="4" w:color="666666"/>
              <w:left w:val="single" w:sz="4" w:color="666666"/>
              <w:bottom w:val="single" w:sz="4" w:color="666666"/>
              <w:right w:val="single" w:sz="4" w:color="666666"/>
            </w:tcBorders>
          </w:tcPr>
          <w:p>
            <w:r>
              <w:t>0</w:t>
            </w:r>
          </w:p>
        </w:tc>
      </w:tr>
      <w:tr>
        <w:tc>
          <w:tcPr>
            <w:tcW w:type="dxa" w:w="2257"/>
            <w:tcBorders>
              <w:top w:val="single" w:sz="4" w:color="666666"/>
              <w:left w:val="single" w:sz="4" w:color="666666"/>
              <w:bottom w:val="single" w:sz="4" w:color="666666"/>
              <w:right w:val="single" w:sz="4" w:color="666666"/>
            </w:tcBorders>
          </w:tcPr>
          <w:p>
            <w:r>
              <w:t>Backups off-site</w:t>
            </w:r>
          </w:p>
        </w:tc>
        <w:tc>
          <w:tcPr>
            <w:tcW w:type="dxa" w:w="2257"/>
            <w:tcBorders>
              <w:top w:val="single" w:sz="4" w:color="666666"/>
              <w:left w:val="single" w:sz="4" w:color="666666"/>
              <w:bottom w:val="single" w:sz="4" w:color="666666"/>
              <w:right w:val="single" w:sz="4" w:color="666666"/>
            </w:tcBorders>
          </w:tcPr>
          <w:p>
            <w:r>
              <w:t>OPEX</w:t>
            </w:r>
          </w:p>
        </w:tc>
        <w:tc>
          <w:tcPr>
            <w:tcW w:type="dxa" w:w="2257"/>
            <w:tcBorders>
              <w:top w:val="single" w:sz="4" w:color="666666"/>
              <w:left w:val="single" w:sz="4" w:color="666666"/>
              <w:bottom w:val="single" w:sz="4" w:color="666666"/>
              <w:right w:val="single" w:sz="4" w:color="666666"/>
            </w:tcBorders>
          </w:tcPr>
          <w:p>
            <w:r>
              <w:t>Restic a Backblaze B2, ~50 MB/mes con retención 30 d.</w:t>
            </w:r>
          </w:p>
        </w:tc>
        <w:tc>
          <w:tcPr>
            <w:tcW w:type="dxa" w:w="2257"/>
            <w:tcBorders>
              <w:top w:val="single" w:sz="4" w:color="666666"/>
              <w:left w:val="single" w:sz="4" w:color="666666"/>
              <w:bottom w:val="single" w:sz="4" w:color="666666"/>
              <w:right w:val="single" w:sz="4" w:color="666666"/>
            </w:tcBorders>
          </w:tcPr>
          <w:p>
            <w:r>
              <w:t>8 / mes</w:t>
            </w:r>
          </w:p>
        </w:tc>
      </w:tr>
      <w:tr>
        <w:tc>
          <w:tcPr>
            <w:tcW w:type="dxa" w:w="2257"/>
            <w:tcBorders>
              <w:top w:val="single" w:sz="4" w:color="666666"/>
              <w:left w:val="single" w:sz="4" w:color="666666"/>
              <w:bottom w:val="single" w:sz="4" w:color="666666"/>
              <w:right w:val="single" w:sz="4" w:color="666666"/>
            </w:tcBorders>
          </w:tcPr>
          <w:p>
            <w:r>
              <w:t>Total OPEX mensual</w:t>
            </w:r>
          </w:p>
        </w:tc>
        <w:tc>
          <w:tcPr>
            <w:tcW w:type="dxa" w:w="2257"/>
            <w:tcBorders>
              <w:top w:val="single" w:sz="4" w:color="666666"/>
              <w:left w:val="single" w:sz="4" w:color="666666"/>
              <w:bottom w:val="single" w:sz="4" w:color="666666"/>
              <w:right w:val="single" w:sz="4" w:color="666666"/>
            </w:tcBorders>
          </w:tcPr>
          <w:p>
            <w:r>
              <w:t>—</w:t>
            </w:r>
          </w:p>
        </w:tc>
        <w:tc>
          <w:tcPr>
            <w:tcW w:type="dxa" w:w="2257"/>
            <w:tcBorders>
              <w:top w:val="single" w:sz="4" w:color="666666"/>
              <w:left w:val="single" w:sz="4" w:color="666666"/>
              <w:bottom w:val="single" w:sz="4" w:color="666666"/>
              <w:right w:val="single" w:sz="4" w:color="666666"/>
            </w:tcBorders>
          </w:tcPr>
          <w:p>
            <w:r>
              <w:t>Suma aproximada de rubros recurrentes.</w:t>
            </w:r>
          </w:p>
        </w:tc>
        <w:tc>
          <w:tcPr>
            <w:tcW w:type="dxa" w:w="2257"/>
            <w:tcBorders>
              <w:top w:val="single" w:sz="4" w:color="666666"/>
              <w:left w:val="single" w:sz="4" w:color="666666"/>
              <w:bottom w:val="single" w:sz="4" w:color="666666"/>
              <w:right w:val="single" w:sz="4" w:color="666666"/>
            </w:tcBorders>
          </w:tcPr>
          <w:p>
            <w:r>
              <w:t>1 240 / mes</w:t>
            </w:r>
          </w:p>
        </w:tc>
      </w:tr>
      <w:tr>
        <w:tc>
          <w:tcPr>
            <w:tcW w:type="dxa" w:w="2257"/>
            <w:tcBorders>
              <w:top w:val="single" w:sz="4" w:color="666666"/>
              <w:left w:val="single" w:sz="4" w:color="666666"/>
              <w:bottom w:val="single" w:sz="4" w:color="666666"/>
              <w:right w:val="single" w:sz="4" w:color="666666"/>
            </w:tcBorders>
          </w:tcPr>
          <w:p>
            <w:r>
              <w:t>Total OPEX anual</w:t>
            </w:r>
          </w:p>
        </w:tc>
        <w:tc>
          <w:tcPr>
            <w:tcW w:type="dxa" w:w="2257"/>
            <w:tcBorders>
              <w:top w:val="single" w:sz="4" w:color="666666"/>
              <w:left w:val="single" w:sz="4" w:color="666666"/>
              <w:bottom w:val="single" w:sz="4" w:color="666666"/>
              <w:right w:val="single" w:sz="4" w:color="666666"/>
            </w:tcBorders>
          </w:tcPr>
          <w:p>
            <w:r>
              <w:t>—</w:t>
            </w:r>
          </w:p>
        </w:tc>
        <w:tc>
          <w:tcPr>
            <w:tcW w:type="dxa" w:w="2257"/>
            <w:tcBorders>
              <w:top w:val="single" w:sz="4" w:color="666666"/>
              <w:left w:val="single" w:sz="4" w:color="666666"/>
              <w:bottom w:val="single" w:sz="4" w:color="666666"/>
              <w:right w:val="single" w:sz="4" w:color="666666"/>
            </w:tcBorders>
          </w:tcPr>
          <w:p>
            <w:r>
              <w:t>Proyección 12 meses sin ajuste por inflación.</w:t>
            </w:r>
          </w:p>
        </w:tc>
        <w:tc>
          <w:tcPr>
            <w:tcW w:type="dxa" w:w="2257"/>
            <w:tcBorders>
              <w:top w:val="single" w:sz="4" w:color="666666"/>
              <w:left w:val="single" w:sz="4" w:color="666666"/>
              <w:bottom w:val="single" w:sz="4" w:color="666666"/>
              <w:right w:val="single" w:sz="4" w:color="666666"/>
            </w:tcBorders>
          </w:tcPr>
          <w:p>
            <w:r>
              <w:t>14 880 / año</w:t>
            </w:r>
          </w:p>
        </w:tc>
      </w:tr>
      <w:tr>
        <w:tc>
          <w:tcPr>
            <w:tcW w:type="dxa" w:w="2257"/>
            <w:tcBorders>
              <w:top w:val="single" w:sz="4" w:color="666666"/>
              <w:left w:val="single" w:sz="4" w:color="666666"/>
              <w:bottom w:val="single" w:sz="4" w:color="666666"/>
              <w:right w:val="single" w:sz="4" w:color="666666"/>
            </w:tcBorders>
          </w:tcPr>
          <w:p>
            <w:r>
              <w:t>Total CAPEX</w:t>
            </w:r>
          </w:p>
        </w:tc>
        <w:tc>
          <w:tcPr>
            <w:tcW w:type="dxa" w:w="2257"/>
            <w:tcBorders>
              <w:top w:val="single" w:sz="4" w:color="666666"/>
              <w:left w:val="single" w:sz="4" w:color="666666"/>
              <w:bottom w:val="single" w:sz="4" w:color="666666"/>
              <w:right w:val="single" w:sz="4" w:color="666666"/>
            </w:tcBorders>
          </w:tcPr>
          <w:p>
            <w:r>
              <w:t>—</w:t>
            </w:r>
          </w:p>
        </w:tc>
        <w:tc>
          <w:tcPr>
            <w:tcW w:type="dxa" w:w="2257"/>
            <w:tcBorders>
              <w:top w:val="single" w:sz="4" w:color="666666"/>
              <w:left w:val="single" w:sz="4" w:color="666666"/>
              <w:bottom w:val="single" w:sz="4" w:color="666666"/>
              <w:right w:val="single" w:sz="4" w:color="666666"/>
            </w:tcBorders>
          </w:tcPr>
          <w:p>
            <w:r>
              <w:t>Único, sin componente monetario.</w:t>
            </w:r>
          </w:p>
        </w:tc>
        <w:tc>
          <w:tcPr>
            <w:tcW w:type="dxa" w:w="2257"/>
            <w:tcBorders>
              <w:top w:val="single" w:sz="4" w:color="666666"/>
              <w:left w:val="single" w:sz="4" w:color="666666"/>
              <w:bottom w:val="single" w:sz="4" w:color="666666"/>
              <w:right w:val="single" w:sz="4" w:color="666666"/>
            </w:tcBorders>
          </w:tcPr>
          <w:p>
            <w:r>
              <w:t>0</w:t>
            </w:r>
          </w:p>
        </w:tc>
      </w:tr>
      <w:tr>
        <w:tc>
          <w:tcPr>
            <w:tcW w:type="dxa" w:w="2257"/>
            <w:tcBorders>
              <w:top w:val="single" w:sz="4" w:color="666666"/>
              <w:left w:val="single" w:sz="4" w:color="666666"/>
              <w:bottom w:val="single" w:sz="4" w:color="666666"/>
              <w:right w:val="single" w:sz="4" w:color="666666"/>
            </w:tcBorders>
          </w:tcPr>
          <w:p>
            <w:r>
              <w:t>Costo por partido</w:t>
            </w:r>
          </w:p>
        </w:tc>
        <w:tc>
          <w:tcPr>
            <w:tcW w:type="dxa" w:w="2257"/>
            <w:tcBorders>
              <w:top w:val="single" w:sz="4" w:color="666666"/>
              <w:left w:val="single" w:sz="4" w:color="666666"/>
              <w:bottom w:val="single" w:sz="4" w:color="666666"/>
              <w:right w:val="single" w:sz="4" w:color="666666"/>
            </w:tcBorders>
          </w:tcPr>
          <w:p>
            <w:r>
              <w:t>—</w:t>
            </w:r>
          </w:p>
        </w:tc>
        <w:tc>
          <w:tcPr>
            <w:tcW w:type="dxa" w:w="2257"/>
            <w:tcBorders>
              <w:top w:val="single" w:sz="4" w:color="666666"/>
              <w:left w:val="single" w:sz="4" w:color="666666"/>
              <w:bottom w:val="single" w:sz="4" w:color="666666"/>
              <w:right w:val="single" w:sz="4" w:color="666666"/>
            </w:tcBorders>
          </w:tcPr>
          <w:p>
            <w:r>
              <w:t>~25 partidos/mes (Liga MX + Expansión).</w:t>
            </w:r>
          </w:p>
        </w:tc>
        <w:tc>
          <w:tcPr>
            <w:tcW w:type="dxa" w:w="2257"/>
            <w:tcBorders>
              <w:top w:val="single" w:sz="4" w:color="666666"/>
              <w:left w:val="single" w:sz="4" w:color="666666"/>
              <w:bottom w:val="single" w:sz="4" w:color="666666"/>
              <w:right w:val="single" w:sz="4" w:color="666666"/>
            </w:tcBorders>
          </w:tcPr>
          <w:p>
            <w:r>
              <w:t>~50 / partido</w:t>
            </w:r>
          </w:p>
        </w:tc>
      </w:tr>
    </w:tbl>
    <w:p>
      <w:pPr>
        <w:jc w:val="both"/>
      </w:pPr>
      <w:r>
        <w:rPr>
          <w:b w:val="0"/>
          <w:i w:val="0"/>
        </w:rPr>
        <w:t>El costo por partido (~50 MXN) es competitivo frente a servicios comerciales equivalentes cuyo rango típico es 200-800 MXN por predicción calibrada, considerando que el sistema entrega probabilidades calibradas, desglose del debate multi-agente, publicación automática diaria vía Telegram y panel de salud. La relación costo-valor, medida como costo por partido vs accuracy calibrada, ubica al sistema en el cuartil más eficiente dentro del estado del arte revisado.</w:t>
      </w:r>
    </w:p>
    <w:p>
      <w:pPr>
        <w:jc w:val="both"/>
      </w:pPr>
      <w:r>
        <w:rPr>
          <w:b w:val="0"/>
          <w:i w:val="0"/>
        </w:rPr>
        <w:t>Una segunda tabla resume la proyección a tres años, asumiendo crecimiento vegetativo del 10 % anual en el número de partidos procesados (por posibles extensiones a Copa MX y Liga MX Femenil) y estabilidad de los precios unitarios.</w:t>
      </w:r>
    </w:p>
    <w:tbl>
      <w:tblPr>
        <w:tblW w:type="auto" w:w="0"/>
        <w:tblLook w:firstColumn="1" w:firstRow="1" w:lastColumn="0" w:lastRow="0" w:noHBand="0" w:noVBand="1" w:val="04A0"/>
      </w:tblPr>
      <w:tblGrid>
        <w:gridCol w:w="1806"/>
        <w:gridCol w:w="1806"/>
        <w:gridCol w:w="1806"/>
        <w:gridCol w:w="1806"/>
        <w:gridCol w:w="1806"/>
      </w:tblGrid>
      <w:tr>
        <w:tc>
          <w:tcPr>
            <w:tcW w:type="dxa" w:w="1806"/>
            <w:tcBorders>
              <w:top w:val="single" w:sz="4" w:color="666666"/>
              <w:left w:val="single" w:sz="4" w:color="666666"/>
              <w:bottom w:val="single" w:sz="4" w:color="666666"/>
              <w:right w:val="single" w:sz="4" w:color="666666"/>
            </w:tcBorders>
          </w:tcPr>
          <w:p>
            <w:r>
              <w:rPr>
                <w:b/>
              </w:rPr>
              <w:t>Año</w:t>
            </w:r>
          </w:p>
        </w:tc>
        <w:tc>
          <w:tcPr>
            <w:tcW w:type="dxa" w:w="1806"/>
            <w:tcBorders>
              <w:top w:val="single" w:sz="4" w:color="666666"/>
              <w:left w:val="single" w:sz="4" w:color="666666"/>
              <w:bottom w:val="single" w:sz="4" w:color="666666"/>
              <w:right w:val="single" w:sz="4" w:color="666666"/>
            </w:tcBorders>
          </w:tcPr>
          <w:p>
            <w:r>
              <w:rPr>
                <w:b/>
              </w:rPr>
              <w:t>Partidos/mes</w:t>
            </w:r>
          </w:p>
        </w:tc>
        <w:tc>
          <w:tcPr>
            <w:tcW w:type="dxa" w:w="1806"/>
            <w:tcBorders>
              <w:top w:val="single" w:sz="4" w:color="666666"/>
              <w:left w:val="single" w:sz="4" w:color="666666"/>
              <w:bottom w:val="single" w:sz="4" w:color="666666"/>
              <w:right w:val="single" w:sz="4" w:color="666666"/>
            </w:tcBorders>
          </w:tcPr>
          <w:p>
            <w:r>
              <w:rPr>
                <w:b/>
              </w:rPr>
              <w:t>OPEX mensual MXN</w:t>
            </w:r>
          </w:p>
        </w:tc>
        <w:tc>
          <w:tcPr>
            <w:tcW w:type="dxa" w:w="1806"/>
            <w:tcBorders>
              <w:top w:val="single" w:sz="4" w:color="666666"/>
              <w:left w:val="single" w:sz="4" w:color="666666"/>
              <w:bottom w:val="single" w:sz="4" w:color="666666"/>
              <w:right w:val="single" w:sz="4" w:color="666666"/>
            </w:tcBorders>
          </w:tcPr>
          <w:p>
            <w:r>
              <w:rPr>
                <w:b/>
              </w:rPr>
              <w:t>OPEX anual MXN</w:t>
            </w:r>
          </w:p>
        </w:tc>
        <w:tc>
          <w:tcPr>
            <w:tcW w:type="dxa" w:w="1806"/>
            <w:tcBorders>
              <w:top w:val="single" w:sz="4" w:color="666666"/>
              <w:left w:val="single" w:sz="4" w:color="666666"/>
              <w:bottom w:val="single" w:sz="4" w:color="666666"/>
              <w:right w:val="single" w:sz="4" w:color="666666"/>
            </w:tcBorders>
          </w:tcPr>
          <w:p>
            <w:r>
              <w:rPr>
                <w:b/>
              </w:rPr>
              <w:t>Costo/partido MXN</w:t>
            </w:r>
          </w:p>
        </w:tc>
      </w:tr>
      <w:tr>
        <w:tc>
          <w:tcPr>
            <w:tcW w:type="dxa" w:w="1806"/>
            <w:tcBorders>
              <w:top w:val="single" w:sz="4" w:color="666666"/>
              <w:left w:val="single" w:sz="4" w:color="666666"/>
              <w:bottom w:val="single" w:sz="4" w:color="666666"/>
              <w:right w:val="single" w:sz="4" w:color="666666"/>
            </w:tcBorders>
          </w:tcPr>
          <w:p>
            <w:r>
              <w:t>2026 (actual)</w:t>
            </w:r>
          </w:p>
        </w:tc>
        <w:tc>
          <w:tcPr>
            <w:tcW w:type="dxa" w:w="1806"/>
            <w:tcBorders>
              <w:top w:val="single" w:sz="4" w:color="666666"/>
              <w:left w:val="single" w:sz="4" w:color="666666"/>
              <w:bottom w:val="single" w:sz="4" w:color="666666"/>
              <w:right w:val="single" w:sz="4" w:color="666666"/>
            </w:tcBorders>
          </w:tcPr>
          <w:p>
            <w:r>
              <w:t>25</w:t>
            </w:r>
          </w:p>
        </w:tc>
        <w:tc>
          <w:tcPr>
            <w:tcW w:type="dxa" w:w="1806"/>
            <w:tcBorders>
              <w:top w:val="single" w:sz="4" w:color="666666"/>
              <w:left w:val="single" w:sz="4" w:color="666666"/>
              <w:bottom w:val="single" w:sz="4" w:color="666666"/>
              <w:right w:val="single" w:sz="4" w:color="666666"/>
            </w:tcBorders>
          </w:tcPr>
          <w:p>
            <w:r>
              <w:t>1 240</w:t>
            </w:r>
          </w:p>
        </w:tc>
        <w:tc>
          <w:tcPr>
            <w:tcW w:type="dxa" w:w="1806"/>
            <w:tcBorders>
              <w:top w:val="single" w:sz="4" w:color="666666"/>
              <w:left w:val="single" w:sz="4" w:color="666666"/>
              <w:bottom w:val="single" w:sz="4" w:color="666666"/>
              <w:right w:val="single" w:sz="4" w:color="666666"/>
            </w:tcBorders>
          </w:tcPr>
          <w:p>
            <w:r>
              <w:t>14 880</w:t>
            </w:r>
          </w:p>
        </w:tc>
        <w:tc>
          <w:tcPr>
            <w:tcW w:type="dxa" w:w="1806"/>
            <w:tcBorders>
              <w:top w:val="single" w:sz="4" w:color="666666"/>
              <w:left w:val="single" w:sz="4" w:color="666666"/>
              <w:bottom w:val="single" w:sz="4" w:color="666666"/>
              <w:right w:val="single" w:sz="4" w:color="666666"/>
            </w:tcBorders>
          </w:tcPr>
          <w:p>
            <w:r>
              <w:t>49.6</w:t>
            </w:r>
          </w:p>
        </w:tc>
      </w:tr>
      <w:tr>
        <w:tc>
          <w:tcPr>
            <w:tcW w:type="dxa" w:w="1806"/>
            <w:tcBorders>
              <w:top w:val="single" w:sz="4" w:color="666666"/>
              <w:left w:val="single" w:sz="4" w:color="666666"/>
              <w:bottom w:val="single" w:sz="4" w:color="666666"/>
              <w:right w:val="single" w:sz="4" w:color="666666"/>
            </w:tcBorders>
          </w:tcPr>
          <w:p>
            <w:r>
              <w:t>2027 (proyectado)</w:t>
            </w:r>
          </w:p>
        </w:tc>
        <w:tc>
          <w:tcPr>
            <w:tcW w:type="dxa" w:w="1806"/>
            <w:tcBorders>
              <w:top w:val="single" w:sz="4" w:color="666666"/>
              <w:left w:val="single" w:sz="4" w:color="666666"/>
              <w:bottom w:val="single" w:sz="4" w:color="666666"/>
              <w:right w:val="single" w:sz="4" w:color="666666"/>
            </w:tcBorders>
          </w:tcPr>
          <w:p>
            <w:r>
              <w:t>27</w:t>
            </w:r>
          </w:p>
        </w:tc>
        <w:tc>
          <w:tcPr>
            <w:tcW w:type="dxa" w:w="1806"/>
            <w:tcBorders>
              <w:top w:val="single" w:sz="4" w:color="666666"/>
              <w:left w:val="single" w:sz="4" w:color="666666"/>
              <w:bottom w:val="single" w:sz="4" w:color="666666"/>
              <w:right w:val="single" w:sz="4" w:color="666666"/>
            </w:tcBorders>
          </w:tcPr>
          <w:p>
            <w:r>
              <w:t>1 320</w:t>
            </w:r>
          </w:p>
        </w:tc>
        <w:tc>
          <w:tcPr>
            <w:tcW w:type="dxa" w:w="1806"/>
            <w:tcBorders>
              <w:top w:val="single" w:sz="4" w:color="666666"/>
              <w:left w:val="single" w:sz="4" w:color="666666"/>
              <w:bottom w:val="single" w:sz="4" w:color="666666"/>
              <w:right w:val="single" w:sz="4" w:color="666666"/>
            </w:tcBorders>
          </w:tcPr>
          <w:p>
            <w:r>
              <w:t>15 840</w:t>
            </w:r>
          </w:p>
        </w:tc>
        <w:tc>
          <w:tcPr>
            <w:tcW w:type="dxa" w:w="1806"/>
            <w:tcBorders>
              <w:top w:val="single" w:sz="4" w:color="666666"/>
              <w:left w:val="single" w:sz="4" w:color="666666"/>
              <w:bottom w:val="single" w:sz="4" w:color="666666"/>
              <w:right w:val="single" w:sz="4" w:color="666666"/>
            </w:tcBorders>
          </w:tcPr>
          <w:p>
            <w:r>
              <w:t>48.9</w:t>
            </w:r>
          </w:p>
        </w:tc>
      </w:tr>
      <w:tr>
        <w:tc>
          <w:tcPr>
            <w:tcW w:type="dxa" w:w="1806"/>
            <w:tcBorders>
              <w:top w:val="single" w:sz="4" w:color="666666"/>
              <w:left w:val="single" w:sz="4" w:color="666666"/>
              <w:bottom w:val="single" w:sz="4" w:color="666666"/>
              <w:right w:val="single" w:sz="4" w:color="666666"/>
            </w:tcBorders>
          </w:tcPr>
          <w:p>
            <w:r>
              <w:t>2028 (proyectado)</w:t>
            </w:r>
          </w:p>
        </w:tc>
        <w:tc>
          <w:tcPr>
            <w:tcW w:type="dxa" w:w="1806"/>
            <w:tcBorders>
              <w:top w:val="single" w:sz="4" w:color="666666"/>
              <w:left w:val="single" w:sz="4" w:color="666666"/>
              <w:bottom w:val="single" w:sz="4" w:color="666666"/>
              <w:right w:val="single" w:sz="4" w:color="666666"/>
            </w:tcBorders>
          </w:tcPr>
          <w:p>
            <w:r>
              <w:t>30</w:t>
            </w:r>
          </w:p>
        </w:tc>
        <w:tc>
          <w:tcPr>
            <w:tcW w:type="dxa" w:w="1806"/>
            <w:tcBorders>
              <w:top w:val="single" w:sz="4" w:color="666666"/>
              <w:left w:val="single" w:sz="4" w:color="666666"/>
              <w:bottom w:val="single" w:sz="4" w:color="666666"/>
              <w:right w:val="single" w:sz="4" w:color="666666"/>
            </w:tcBorders>
          </w:tcPr>
          <w:p>
            <w:r>
              <w:t>1 440</w:t>
            </w:r>
          </w:p>
        </w:tc>
        <w:tc>
          <w:tcPr>
            <w:tcW w:type="dxa" w:w="1806"/>
            <w:tcBorders>
              <w:top w:val="single" w:sz="4" w:color="666666"/>
              <w:left w:val="single" w:sz="4" w:color="666666"/>
              <w:bottom w:val="single" w:sz="4" w:color="666666"/>
              <w:right w:val="single" w:sz="4" w:color="666666"/>
            </w:tcBorders>
          </w:tcPr>
          <w:p>
            <w:r>
              <w:t>17 280</w:t>
            </w:r>
          </w:p>
        </w:tc>
        <w:tc>
          <w:tcPr>
            <w:tcW w:type="dxa" w:w="1806"/>
            <w:tcBorders>
              <w:top w:val="single" w:sz="4" w:color="666666"/>
              <w:left w:val="single" w:sz="4" w:color="666666"/>
              <w:bottom w:val="single" w:sz="4" w:color="666666"/>
              <w:right w:val="single" w:sz="4" w:color="666666"/>
            </w:tcBorders>
          </w:tcPr>
          <w:p>
            <w:r>
              <w:t>48.0</w:t>
            </w:r>
          </w:p>
        </w:tc>
      </w:tr>
    </w:tbl>
    <w:p>
      <w:pPr>
        <w:pStyle w:val="Heading2"/>
      </w:pPr>
      <w:r>
        <w:t>2.11 Conclusiones del capítulo</w:t>
      </w:r>
    </w:p>
    <w:p>
      <w:pPr>
        <w:jc w:val="both"/>
      </w:pPr>
      <w:r>
        <w:rPr>
          <w:b w:val="0"/>
          <w:i w:val="0"/>
        </w:rPr>
        <w:t>El diseño del sistema QuinielaTech/Predictions_MX se sostiene en tres pilares técnicos: un ensemble heterogéneo calibrado, una arquitectura en cinco capas con responsabilidades bien separadas, y un modelado UML exhaustivo que cubre nueve vistas. El costo operativo (~1 240 MXN/mes) y la complejidad técnica son proporcionales al valor entregado: probabilidades calibradas, debate multi-agente y publicación automática diaria vía Telegram. El Capítulo 3 presenta la implementación concreta, las pruebas realizadas y los resultados obtenidos en producción durante los primeros nueve meses de operación.</w:t>
      </w:r>
    </w:p>
    <w:p>
      <w:pPr>
        <w:jc w:val="both"/>
      </w:pPr>
      <w:r>
        <w:rPr>
          <w:b w:val="0"/>
          <w:i w:val="0"/>
        </w:rPr>
        <w:t>Desde el punto de vista metodológico, la combinación de cascada para las fases gruesas con ágil para los ajustes semanales ha resultado ser la elección correcta para un sistema predictivo: la fase de modelado no admite iteraciones simultáneas, pero la operación diaria sí admite ajustes incrementales sin comprometer la estabilidad. Esta combinación se documenta como aprendizaje reutilizable para futuros proyectos de similar naturaleza.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