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Segoe UI" w:cs="Segoe UI" w:eastAsia="Segoe UI" w:hAnsi="Segoe UI"/>
          <w:b/>
          <w:bCs/>
          <w:color w:val="7DD3FC"/>
          <w:sz w:val="30"/>
          <w:szCs w:val="30"/>
        </w:rPr>
        <w:t xml:space="preserve">Alta Disponibilidad y Escalamiento Automático</w:t>
      </w:r>
    </w:p>
    <w:p>
      <w:pPr>
        <w:spacing w:after="60" w:before="0"/>
        <w:jc w:val="center"/>
      </w:pPr>
      <w:r>
        <w:rPr>
          <w:rFonts w:ascii="Segoe UI" w:cs="Segoe UI" w:eastAsia="Segoe UI" w:hAnsi="Segoe UI"/>
          <w:color w:val="94A3B8"/>
          <w:sz w:val="20"/>
          <w:szCs w:val="20"/>
        </w:rPr>
        <w:t xml:space="preserve">Mapa Conceptual — Sistema de Gestión de Inventarios en la Nube</w:t>
      </w:r>
    </w:p>
    <w:p>
      <w:pPr>
        <w:spacing w:after="300" w:before="0"/>
        <w:jc w:val="center"/>
      </w:pPr>
      <w:r>
        <w:rPr>
          <w:rFonts w:ascii="Segoe UI" w:cs="Segoe UI" w:eastAsia="Segoe UI" w:hAnsi="Segoe UI"/>
          <w:color w:val="94A3B8"/>
          <w:sz w:val="18"/>
          <w:szCs w:val="18"/>
        </w:rPr>
        <w:t xml:space="preserve">Equipo: Los Rojos  ·  Miscelánea familiar, Los Mochis, Sinaloa  ·  AWS Academy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8"/>
              <w:left w:val="single" w:color="38BDF8" w:sz="8"/>
              <w:bottom w:val="single" w:color="38BDF8" w:sz="8"/>
              <w:right w:val="single" w:color="38BDF8" w:sz="8"/>
            </w:tcBorders>
            <w:shd w:fill="1E40AF" w:color="1E40AF" w:val="solid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🖥️  Sistema de Gestión de Inventarios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AE6FD"/>
                <w:sz w:val="18"/>
                <w:szCs w:val="18"/>
              </w:rPr>
              <w:t xml:space="preserve">Miscelánea familiar · Los Mochis, Sinaloa · AWS Academy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</w:tblGrid>
      <w:tr>
        <w:tc>
          <w:tcPr>
            <w:tcBorders>
              <w:top w:val="single" w:color="F87171" w:sz="6"/>
              <w:left w:val="single" w:color="F87171" w:sz="6"/>
              <w:bottom w:val="single" w:color="F87171" w:sz="6"/>
              <w:right w:val="single" w:color="F87171" w:sz="6"/>
            </w:tcBorders>
            <w:shd w:fill="1E293B" w:color="1E293B" w:val="solid"/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22"/>
                <w:szCs w:val="22"/>
              </w:rPr>
              <w:t xml:space="preserve">🔴  Alta Disponibilidad — Que NO se caiga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18"/>
                <w:szCs w:val="18"/>
              </w:rPr>
              <w:t xml:space="preserve">¿Qué puede fallar?  </w:t>
            </w:r>
            <w:r>
              <w:rPr>
                <w:rFonts w:ascii="Segoe UI" w:cs="Segoe UI" w:eastAsia="Segoe UI" w:hAnsi="Segoe UI"/>
                <w:color w:val="CBD5E1"/>
                <w:sz w:val="18"/>
                <w:szCs w:val="18"/>
              </w:rPr>
              <w:t xml:space="preserve">La instancia EC2 (ec2-api-los-rojos) con la API Node.js/Express, o la RDS PostgreSQL con el catálogo de productos y movimientos.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18"/>
                <w:szCs w:val="18"/>
              </w:rPr>
              <w:t xml:space="preserve">¿Quién lo detecta?  </w:t>
            </w:r>
            <w:r>
              <w:rPr>
                <w:rFonts w:ascii="Segoe UI" w:cs="Segoe UI" w:eastAsia="Segoe UI" w:hAnsi="Segoe UI"/>
                <w:color w:val="CBD5E1"/>
                <w:sz w:val="18"/>
                <w:szCs w:val="18"/>
              </w:rPr>
              <w:t xml:space="preserve">El Health Check del Application Load Balancer revisando el endpoint /health (RF-13) que reporta estado de RDS y S3.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18"/>
                <w:szCs w:val="18"/>
              </w:rPr>
              <w:t xml:space="preserve">¿A dónde manda el tráfico?  </w:t>
            </w:r>
            <w:r>
              <w:rPr>
                <w:rFonts w:ascii="Segoe UI" w:cs="Segoe UI" w:eastAsia="Segoe UI" w:hAnsi="Segoe UI"/>
                <w:color w:val="CBD5E1"/>
                <w:sz w:val="18"/>
                <w:szCs w:val="18"/>
              </w:rPr>
              <w:t xml:space="preserve">El ALB redirige al Grupo Destino con instancias saludables; RDS Multi-AZ hace failover automático a la réplica standby.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Disponibilidad SLA: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EC2 99.99% · RDS 99.95% — disponible en E2 (11 nov) y E3 (14 dic)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Punto único de falla eliminado: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ALB frente a las EC2 de la API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Zona de disponibilidad: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us-east-1a (principal) + us-east-1b (standby RDS)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Redundancia: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RDS Multi-AZ con réplica síncrona en segunda AZ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Tolerancia a fallos: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EC2 reemplazada automáticamente por Auto Scaling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Balanceador de carga: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Application Load Balancer capa 7 — HTTP/HTTPS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Grupo destino: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Instancias EC2 con la API del inventario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Verificación de estado: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GET /health → {"db":"ok","s3":"ok"} cada 30 s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7"/>
                <w:szCs w:val="17"/>
              </w:rPr>
              <w:t xml:space="preserve">Grupos de seguridad en cadena: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sg-alb → sg-ec2-api → sg-rds-postgres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</w:tblGrid>
      <w:tr>
        <w:tc>
          <w:tcPr>
            <w:tcBorders>
              <w:top w:val="single" w:color="4ADE80" w:sz="6"/>
              <w:left w:val="single" w:color="4ADE80" w:sz="6"/>
              <w:bottom w:val="single" w:color="4ADE80" w:sz="6"/>
              <w:right w:val="single" w:color="4ADE80" w:sz="6"/>
            </w:tcBorders>
            <w:shd w:fill="1E293B" w:color="1E293B" w:val="solid"/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ADE80"/>
                <w:sz w:val="22"/>
                <w:szCs w:val="22"/>
              </w:rPr>
              <w:t xml:space="preserve">📈  Escalamiento Automático — Que aguante la demanda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4ADE80"/>
                <w:sz w:val="18"/>
                <w:szCs w:val="18"/>
              </w:rPr>
              <w:t xml:space="preserve">¿Cuántos servidores?  </w:t>
            </w:r>
            <w:r>
              <w:rPr>
                <w:rFonts w:ascii="Segoe UI" w:cs="Segoe UI" w:eastAsia="Segoe UI" w:hAnsi="Segoe UI"/>
                <w:color w:val="CBD5E1"/>
                <w:sz w:val="18"/>
                <w:szCs w:val="18"/>
              </w:rPr>
              <w:t xml:space="preserve">Mínimo 1 EC2 t3.micro (Free Tier), máximo 3. El límite de créditos AWS Academy determina el techo.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4ADE80"/>
                <w:sz w:val="18"/>
                <w:szCs w:val="18"/>
              </w:rPr>
              <w:t xml:space="preserve">¿Quién decide?  </w:t>
            </w:r>
            <w:r>
              <w:rPr>
                <w:rFonts w:ascii="Segoe UI" w:cs="Segoe UI" w:eastAsia="Segoe UI" w:hAnsi="Segoe UI"/>
                <w:color w:val="CBD5E1"/>
                <w:sz w:val="18"/>
                <w:szCs w:val="18"/>
              </w:rPr>
              <w:t xml:space="preserve">AWS Auto Scaling Group vinculado al ALB, monitoreando métricas de CPU vía CloudWatch.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4ADE80"/>
                <w:sz w:val="18"/>
                <w:szCs w:val="18"/>
              </w:rPr>
              <w:t xml:space="preserve">¿Con qué regla?  </w:t>
            </w:r>
            <w:r>
              <w:rPr>
                <w:rFonts w:ascii="Segoe UI" w:cs="Segoe UI" w:eastAsia="Segoe UI" w:hAnsi="Segoe UI"/>
                <w:color w:val="CBD5E1"/>
                <w:sz w:val="18"/>
                <w:szCs w:val="18"/>
              </w:rPr>
              <w:t xml:space="preserve">Política de objetivo: CPU promedio ≥ 70% → agrega instancias. CPU &lt; 30% → reduce.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4ADE80"/>
                <w:sz w:val="18"/>
                <w:szCs w:val="18"/>
              </w:rPr>
              <w:t xml:space="preserve">¿Cuánto cuesta?  </w:t>
            </w:r>
            <w:r>
              <w:rPr>
                <w:rFonts w:ascii="Segoe UI" w:cs="Segoe UI" w:eastAsia="Segoe UI" w:hAnsi="Segoe UI"/>
                <w:color w:val="CBD5E1"/>
                <w:sz w:val="18"/>
                <w:szCs w:val="18"/>
              </w:rPr>
              <w:t xml:space="preserve">EC2 t3.micro cubierta por Free Tier/créditos Academy. Sin NAT Gateway activo permanente (restricción L-02).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4ADE80"/>
                <w:sz w:val="17"/>
                <w:szCs w:val="17"/>
              </w:rPr>
              <w:t xml:space="preserve">Escalamiento Vertical: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Cambiar t3.micro → t3.small en consola sin hardware adicional (RNF-03)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4ADE80"/>
                <w:sz w:val="17"/>
                <w:szCs w:val="17"/>
              </w:rPr>
              <w:t xml:space="preserve">Escalamiento Horizontal: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Auto Scaling Group añade EC2 t3.micro detrás del ALB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4ADE80"/>
                <w:sz w:val="17"/>
                <w:szCs w:val="17"/>
              </w:rPr>
              <w:t xml:space="preserve">Plantilla de lanzamiento: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AMI con Node.js + API preconfigurada + variables .env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4ADE80"/>
                <w:sz w:val="17"/>
                <w:szCs w:val="17"/>
              </w:rPr>
              <w:t xml:space="preserve">Política objetivo: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CPU ≥ 70% → scale out · CPU &lt; 30% → scale in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4ADE80"/>
                <w:sz w:val="17"/>
                <w:szCs w:val="17"/>
              </w:rPr>
              <w:t xml:space="preserve">Métrica y umbral: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CPUUtilization vía CloudWatch cada 60 s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4ADE80"/>
                <w:sz w:val="17"/>
                <w:szCs w:val="17"/>
              </w:rPr>
              <w:t xml:space="preserve">Período de calentamiento: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120 s para que la nueva EC2 arranque la API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4ADE80"/>
                <w:sz w:val="17"/>
                <w:szCs w:val="17"/>
              </w:rPr>
              <w:t xml:space="preserve">Período de gracia: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60 s antes de que el health check juzgue la nueva instancia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</w:tblGrid>
      <w:tr>
        <w:tc>
          <w:tcPr>
            <w:tcBorders>
              <w:top w:val="single" w:color="60A5FA" w:sz="6"/>
              <w:left w:val="single" w:color="60A5FA" w:sz="6"/>
              <w:bottom w:val="single" w:color="60A5FA" w:sz="6"/>
              <w:right w:val="single" w:color="60A5FA" w:sz="6"/>
            </w:tcBorders>
            <w:shd w:fill="1E293B" w:color="1E293B" w:val="solid"/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0A5FA"/>
                <w:sz w:val="22"/>
                <w:szCs w:val="22"/>
              </w:rPr>
              <w:t xml:space="preserve">🏗️  Arquitectura AWS del Sistema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17"/>
                <w:szCs w:val="17"/>
              </w:rPr>
              <w:t xml:space="preserve">Frontend: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SPA HTML/CSS/JS en S3 bucket-los-rojos (OE-05)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17"/>
                <w:szCs w:val="17"/>
              </w:rPr>
              <w:t xml:space="preserve">API: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Node.js + Express en EC2 t3.micro — ec2-api (OE-01)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17"/>
                <w:szCs w:val="17"/>
              </w:rPr>
              <w:t xml:space="preserve">Base de datos: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RDS PostgreSQL db.t3.micro — rds-los-rojos (OE-02)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17"/>
                <w:szCs w:val="17"/>
              </w:rPr>
              <w:t xml:space="preserve">Almacenamiento imágenes: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S3 estándar → URL pública por producto (RF-12)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17"/>
                <w:szCs w:val="17"/>
              </w:rPr>
              <w:t xml:space="preserve">Red: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VPC con subred pública (EC2, ALB) y subred privada (RDS)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17"/>
                <w:szCs w:val="17"/>
              </w:rPr>
              <w:t xml:space="preserve">Seguridad en cadena: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sg-alb (80/443) → sg-api (3000) → sg-rds (5432)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17"/>
                <w:szCs w:val="17"/>
              </w:rPr>
              <w:t xml:space="preserve">Credenciales: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Instance Profile con rol IAM — sin llaves hardcoded (RNF-05)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17"/>
                <w:szCs w:val="17"/>
              </w:rPr>
              <w:t xml:space="preserve">HTTPS: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TLS 1.2+ en toda comunicación cliente ↔ API ↔ RDS (RNF-02)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</w:tblGrid>
      <w:tr>
        <w:tc>
          <w:tcPr>
            <w:tcBorders>
              <w:top w:val="single" w:color="FBBF24" w:sz="6"/>
              <w:left w:val="single" w:color="FBBF24" w:sz="6"/>
              <w:bottom w:val="single" w:color="FBBF24" w:sz="6"/>
              <w:right w:val="single" w:color="FBBF24" w:sz="6"/>
            </w:tcBorders>
            <w:shd w:fill="1E293B" w:color="1E293B" w:val="solid"/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BBF24"/>
                <w:sz w:val="22"/>
                <w:szCs w:val="22"/>
              </w:rPr>
              <w:t xml:space="preserve">🔗  ¿Qué conecta las dos ramas?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Load Balancer: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Distribuye peticiones de cajeros, bodegueros y admin entre EC2 disponibles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Auto Scaling: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Durante el corte diario o si varios cajeros registran ventas simultáneas, agrega una EC2 automáticamente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Health Check /health: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Detecta EC2 con API caída, la saca del grupo destino y Auto Scaling lanza reemplazo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RDS Multi-AZ: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Si la AZ primaria falla durante una venta, el failover preserva los movimientos sin pérdida de datos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S3 99.999999999%: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Imágenes y frontend siempre disponibles independiente del estado de las EC2</w:t>
            </w:r>
          </w:p>
        </w:tc>
      </w:tr>
      <w:tr>
        <w:tc>
          <w:tcPr>
            <w:tcBorders>
              <w:top w:val="single" w:color="FBBF24" w:sz="6"/>
              <w:left w:val="single" w:color="FBBF24" w:sz="6"/>
              <w:bottom w:val="single" w:color="FBBF24" w:sz="6"/>
              <w:right w:val="single" w:color="FBBF24" w:sz="6"/>
            </w:tcBorders>
            <w:shd w:fill="0F172A" w:color="0F172A" w:val="solid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BF24"/>
                <w:sz w:val="18"/>
                <w:szCs w:val="18"/>
              </w:rPr>
              <w:t xml:space="preserve">T3 — Requisito: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Mínimo 3 instancias (min=1, deseado=2, máx=3). Cada instancia sirve a los 3 roles: Administrador · Bodega · Cajero. Funcionamiento visible INDIVIDUAL por endpoint.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</w:tblGrid>
      <w:tr>
        <w:tc>
          <w:tcPr>
            <w:tcBorders>
              <w:top w:val="single" w:color="C084FC" w:sz="6"/>
              <w:left w:val="single" w:color="C084FC" w:sz="6"/>
              <w:bottom w:val="single" w:color="C084FC" w:sz="6"/>
              <w:right w:val="single" w:color="C084FC" w:sz="6"/>
            </w:tcBorders>
            <w:shd w:fill="1E293B" w:color="1E293B" w:val="solid"/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84FC"/>
                <w:sz w:val="22"/>
                <w:szCs w:val="22"/>
              </w:rPr>
              <w:t xml:space="preserve">📚  Conceptos OBLIGATORIOS — Aplicación en el proyecto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Disponibilidad: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SLA EC2 99.99% / RDS 99.95% — sistema accesible durante E2 (11 nov) y E3 (14 dic)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Punto único de falla: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Eliminado con ALB + Multi-AZ RDS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Zona de disponibilidad: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us-east-1a (principal) + us-east-1b (standby RDS)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Redundancia: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Réplica síncrona de RDS; múltiples EC2 detrás del ALB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Tolerancia a fallos: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Auto Scaling reemplaza instancias no saludables automáticamente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Balanceador de carga (Aplicación):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ALB enruta /api/* a EC2 y /* a S3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Grupo destino: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EC2 con la API del inventario (Node.js puerto 3000)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Verificación de estado: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Endpoint /health cada 30 s, umbral 2 fallos = unhealthy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Grupos de seguridad en cadena: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ALB → EC2 → RDS (tráfico mínimo necesario)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Base Multi-AZ: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RDS PostgreSQL con failover automático activado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Escalamiento Vertical: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t3.micro → t3.small si el tráfico crece post-semestre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Escalamiento Horizontal: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Auto Scaling Group 1→3 instancias EC2 t3.micro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Plantilla de lanzamiento: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AMI con API preconfigurada + user-data script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Política objetivo: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CPUUtilization target 70%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Métrica y umbral: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CPU ≥ 70% → +1 EC2 · CPU &lt; 30% → -1 EC2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17"/>
                <w:szCs w:val="17"/>
              </w:rPr>
              <w:t xml:space="preserve">Calentamiento / Período de gracia: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120 s arranque · 60 s antes del primer health check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</w:tblGrid>
      <w:tr>
        <w:tc>
          <w:tcPr>
            <w:tcBorders>
              <w:top w:val="single" w:color="2DD4BF" w:sz="6"/>
              <w:left w:val="single" w:color="2DD4BF" w:sz="6"/>
              <w:bottom w:val="single" w:color="2DD4BF" w:sz="6"/>
              <w:right w:val="single" w:color="2DD4BF" w:sz="6"/>
            </w:tcBorders>
            <w:shd w:fill="1E293B" w:color="1E293B" w:val="solid"/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DD4BF"/>
                <w:sz w:val="22"/>
                <w:szCs w:val="22"/>
              </w:rPr>
              <w:t xml:space="preserve">🏪  ¿Por qué lo necesita la miscelánea?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2DD4BF"/>
                <w:sz w:val="17"/>
                <w:szCs w:val="17"/>
              </w:rPr>
              <w:t xml:space="preserve">Sin caída en caja: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Una venta genera salida en inventario (RF-03/RF-04) — si la EC2 cae a mitad del registro, la transacción se pierde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2DD4BF"/>
                <w:sz w:val="17"/>
                <w:szCs w:val="17"/>
              </w:rPr>
              <w:t xml:space="preserve">Alerta de stock: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El sistema detecta stock ≤ mínimo (RF-05) en tiempo real — una caída de 5 min puede significar no detectar un agotamiento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2DD4BF"/>
                <w:sz w:val="17"/>
                <w:szCs w:val="17"/>
              </w:rPr>
              <w:t xml:space="preserve">Acceso remoto de la propietaria: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Consulta inventario desde casa 24h (problema original) — necesita alta disponibilidad constante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2DD4BF"/>
                <w:sz w:val="17"/>
                <w:szCs w:val="17"/>
              </w:rPr>
              <w:t xml:space="preserve">Corte diario: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Si hay carga simultánea cajero + bodeguero + propietaria, el escalamiento evita superar 500 ms (RNF-01)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▸  </w:t>
            </w:r>
            <w:r>
              <w:rPr>
                <w:rFonts w:ascii="Segoe UI" w:cs="Segoe UI" w:eastAsia="Segoe UI" w:hAnsi="Segoe UI"/>
                <w:b/>
                <w:bCs/>
                <w:color w:val="2DD4BF"/>
                <w:sz w:val="17"/>
                <w:szCs w:val="17"/>
              </w:rPr>
              <w:t xml:space="preserve">Respaldo automático: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RDS retiene 7 días de backups (RNF-03) — un error en un movimiento puede revertirse</w:t>
            </w:r>
          </w:p>
        </w:tc>
      </w:tr>
    </w:tbl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CBD5E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2026-10-21T02:49:43.966Z</dcterms:created>
  <dcterms:modified xsi:type="dcterms:W3CDTF">2026-10-21T02:49:43.968Z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