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Calibri" w:cs="Calibri" w:eastAsia="Calibri" w:hAnsi="Calibri"/>
          <w:b/>
          <w:bCs/>
          <w:color w:val="D63031"/>
          <w:sz w:val="32"/>
          <w:szCs w:val="32"/>
        </w:rPr>
        <w:t xml:space="preserve">UNIVERSIDAD AUTÓNOMA DE SINALOA</w:t>
      </w:r>
    </w:p>
    <w:p>
      <w:pPr>
        <w:spacing w:after="100"/>
        <w:jc w:val="center"/>
      </w:pPr>
      <w:r>
        <w:rPr>
          <w:rFonts w:ascii="Calibri" w:cs="Calibri" w:eastAsia="Calibri" w:hAnsi="Calibri"/>
          <w:sz w:val="26"/>
          <w:szCs w:val="26"/>
        </w:rPr>
        <w:t xml:space="preserve">Facultad de Ingeniería Mochis</w:t>
      </w:r>
    </w:p>
    <w:p>
      <w:pPr>
        <w:spacing w:after="400"/>
        <w:jc w:val="center"/>
      </w:pPr>
      <w:r>
        <w:rPr>
          <w:rFonts w:ascii="Calibri" w:cs="Calibri" w:eastAsia="Calibri" w:hAnsi="Calibri"/>
          <w:sz w:val="26"/>
          <w:szCs w:val="26"/>
        </w:rPr>
        <w:t xml:space="preserve">Ingeniería de Software</w:t>
      </w:r>
    </w:p>
    <w:p>
      <w:pPr>
        <w:spacing w:after="200"/>
        <w:jc w:val="center"/>
      </w:pPr>
      <w:r>
        <w:rPr>
          <w:rFonts w:ascii="Calibri" w:cs="Calibri" w:eastAsia="Calibri" w:hAnsi="Calibri"/>
          <w:b/>
          <w:bCs/>
          <w:color w:val="D63031"/>
          <w:sz w:val="40"/>
          <w:szCs w:val="40"/>
        </w:rPr>
        <w:t xml:space="preserve">PRÁCTICA 04</w:t>
      </w:r>
    </w:p>
    <w:p>
      <w:pPr>
        <w:spacing w:after="400"/>
        <w:jc w:val="center"/>
      </w:pPr>
      <w:r>
        <w:rPr>
          <w:rFonts w:ascii="Calibri" w:cs="Calibri" w:eastAsia="Calibri" w:hAnsi="Calibri"/>
          <w:b/>
          <w:bCs/>
          <w:sz w:val="28"/>
          <w:szCs w:val="28"/>
        </w:rPr>
        <w:t xml:space="preserve">Almacenamiento de objetos y publicación del sitio del proyecto</w:t>
      </w:r>
    </w:p>
    <w:p>
      <w:pPr>
        <w:spacing w:after="100"/>
      </w:pP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Campo</w:t>
            </w:r>
          </w:p>
        </w:tc>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Valor</w:t>
            </w:r>
          </w:p>
        </w:tc>
      </w:tr>
      <w:tr>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Materia</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Cómputo en la Nube · Grupos 501 y 503</w:t>
            </w:r>
          </w:p>
        </w:tc>
      </w:tr>
      <w:tr>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Maestra</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Elizabeth Gaxiola Carrillo</w:t>
            </w:r>
          </w:p>
        </w:tc>
      </w:tr>
      <w:tr>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Equipo</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Los Rojos</w:t>
            </w:r>
          </w:p>
        </w:tc>
      </w:tr>
      <w:tr>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Integrante 1</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López Payán Kevin Ricardo</w:t>
            </w:r>
          </w:p>
        </w:tc>
      </w:tr>
      <w:tr>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Integrante 2</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Flores Guevara Ángel Gabriel</w:t>
            </w:r>
          </w:p>
        </w:tc>
      </w:tr>
      <w:tr>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Fecha</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Miércoles 30 de septiembre de 2026</w:t>
            </w:r>
          </w:p>
        </w:tc>
      </w:tr>
      <w:tr>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Bucket</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sitio-inventario-cloud-los-rojos</w:t>
            </w:r>
          </w:p>
        </w:tc>
      </w:tr>
      <w:tr>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Región</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us-east-1</w:t>
            </w:r>
          </w:p>
        </w:tc>
      </w:tr>
    </w:tbl>
    <w:p>
      <w:pPr>
        <w:spacing w:after="100"/>
      </w:pPr>
    </w:p>
    <w:p>
      <w:pPr>
        <w:spacing w:after="100"/>
      </w:pPr>
    </w:p>
    <w:p>
      <w:r>
        <w:br w:type="page"/>
      </w:r>
    </w:p>
    <w:p>
      <w:pPr>
        <w:pStyle w:val="Heading1"/>
        <w:spacing w:after="200" w:before="400"/>
      </w:pPr>
      <w:r>
        <w:t xml:space="preserve">1. Bucket etiquetado conforme al esquema del equipo (10 pts)</w:t>
      </w:r>
    </w:p>
    <w:p>
      <w:pPr>
        <w:spacing w:after="160"/>
        <w:jc w:val="both"/>
      </w:pPr>
      <w:r>
        <w:rPr>
          <w:rFonts w:ascii="Calibri" w:cs="Calibri" w:eastAsia="Calibri" w:hAnsi="Calibri"/>
          <w:sz w:val="24"/>
          <w:szCs w:val="24"/>
        </w:rPr>
        <w:t xml:space="preserve">Se creó el bucket sitio-inventario-cloud-los-rojos en la región us-east-1 y se le aplicaron las tres etiquetas del esquema del equipo mediante el comando aws s3api put-bucket-tagging.</w:t>
      </w:r>
    </w:p>
    <w:p>
      <w:pPr>
        <w:spacing w:after="100"/>
      </w:pPr>
    </w:p>
    <w:p>
      <w:pPr>
        <w:pStyle w:val="Heading2"/>
        <w:spacing w:after="150" w:before="300"/>
      </w:pPr>
      <w:r>
        <w:t xml:space="preserve">Comando ejecutado</w:t>
      </w:r>
    </w:p>
    <w:p>
      <w:pPr>
        <w:shd w:fill="F0F2F5" w:val="clear"/>
        <w:spacing w:after="80" w:before="80"/>
        <w:ind w:left="400"/>
      </w:pPr>
      <w:r>
        <w:rPr>
          <w:rFonts w:ascii="Courier New" w:cs="Courier New" w:eastAsia="Courier New" w:hAnsi="Courier New"/>
          <w:color w:val="1a1f36"/>
          <w:sz w:val="20"/>
          <w:szCs w:val="20"/>
        </w:rPr>
        <w:t xml:space="preserve">aws s3api get-bucket-tagging --bucket sitio-inventario-cloud-los-rojos</w:t>
      </w:r>
    </w:p>
    <w:p>
      <w:pPr>
        <w:spacing w:after="100"/>
      </w:pPr>
    </w:p>
    <w:p>
      <w:pPr>
        <w:pStyle w:val="Heading2"/>
        <w:spacing w:after="150" w:before="300"/>
      </w:pPr>
      <w:r>
        <w:t xml:space="preserve">Salida obtenida</w:t>
      </w:r>
    </w:p>
    <w:p>
      <w:pPr>
        <w:shd w:fill="F0F2F5" w:val="clear"/>
        <w:spacing w:after="80" w:before="80"/>
        <w:ind w:left="400"/>
      </w:pPr>
      <w:r>
        <w:rPr>
          <w:rFonts w:ascii="Courier New" w:cs="Courier New" w:eastAsia="Courier New" w:hAnsi="Courier New"/>
          <w:color w:val="1a1f36"/>
          <w:sz w:val="20"/>
          <w:szCs w:val="20"/>
        </w:rPr>
        <w:t xml:space="preserve">{</w:t>
      </w:r>
    </w:p>
    <w:p>
      <w:pPr>
        <w:shd w:fill="F0F2F5" w:val="clear"/>
        <w:spacing w:after="80" w:before="80"/>
        <w:ind w:left="400"/>
      </w:pPr>
      <w:r>
        <w:rPr>
          <w:rFonts w:ascii="Courier New" w:cs="Courier New" w:eastAsia="Courier New" w:hAnsi="Courier New"/>
          <w:color w:val="1a1f36"/>
          <w:sz w:val="20"/>
          <w:szCs w:val="20"/>
        </w:rPr>
        <w:t xml:space="preserve">    "TagSet": [</w:t>
      </w:r>
    </w:p>
    <w:p>
      <w:pPr>
        <w:shd w:fill="F0F2F5" w:val="clear"/>
        <w:spacing w:after="80" w:before="80"/>
        <w:ind w:left="400"/>
      </w:pPr>
      <w:r>
        <w:rPr>
          <w:rFonts w:ascii="Courier New" w:cs="Courier New" w:eastAsia="Courier New" w:hAnsi="Courier New"/>
          <w:color w:val="1a1f36"/>
          <w:sz w:val="20"/>
          <w:szCs w:val="20"/>
        </w:rPr>
        <w:t xml:space="preserve">        { "Key": "proyecto", "Value": "inventario-cloud" },</w:t>
      </w:r>
    </w:p>
    <w:p>
      <w:pPr>
        <w:shd w:fill="F0F2F5" w:val="clear"/>
        <w:spacing w:after="80" w:before="80"/>
        <w:ind w:left="400"/>
      </w:pPr>
      <w:r>
        <w:rPr>
          <w:rFonts w:ascii="Courier New" w:cs="Courier New" w:eastAsia="Courier New" w:hAnsi="Courier New"/>
          <w:color w:val="1a1f36"/>
          <w:sz w:val="20"/>
          <w:szCs w:val="20"/>
        </w:rPr>
        <w:t xml:space="preserve">        { "Key": "ambiente", "Value": "dev" },</w:t>
      </w:r>
    </w:p>
    <w:p>
      <w:pPr>
        <w:shd w:fill="F0F2F5" w:val="clear"/>
        <w:spacing w:after="80" w:before="80"/>
        <w:ind w:left="400"/>
      </w:pPr>
      <w:r>
        <w:rPr>
          <w:rFonts w:ascii="Courier New" w:cs="Courier New" w:eastAsia="Courier New" w:hAnsi="Courier New"/>
          <w:color w:val="1a1f36"/>
          <w:sz w:val="20"/>
          <w:szCs w:val="20"/>
        </w:rPr>
        <w:t xml:space="preserve">        { "Key": "equipo",   "Value": "los-rojos"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w:t>
      </w:r>
    </w:p>
    <w:p>
      <w:pPr>
        <w:spacing w:after="100"/>
      </w:pPr>
    </w:p>
    <w:p>
      <w:pPr>
        <w:shd w:fill="FFEAEA" w:val="clear"/>
        <w:spacing w:after="200" w:before="100"/>
        <w:ind w:left="200"/>
      </w:pPr>
      <w:r>
        <w:rPr>
          <w:rFonts w:ascii="Calibri" w:cs="Calibri" w:eastAsia="Calibri" w:hAnsi="Calibri"/>
          <w:b/>
          <w:bCs/>
          <w:color w:val="D63031"/>
          <w:sz w:val="22"/>
          <w:szCs w:val="22"/>
        </w:rPr>
        <w:t xml:space="preserve">→ INSERTAR CAPTURA: </w:t>
      </w:r>
      <w:r>
        <w:rPr>
          <w:rFonts w:ascii="Calibri" w:cs="Calibri" w:eastAsia="Calibri" w:hAnsi="Calibri"/>
          <w:sz w:val="22"/>
          <w:szCs w:val="22"/>
        </w:rPr>
        <w:t xml:space="preserve">CloudShell con salida de get-bucket-tagging mostrando las 3 etiquetas</w:t>
      </w:r>
    </w:p>
    <w:p>
      <w:r>
        <w:br w:type="page"/>
      </w:r>
    </w:p>
    <w:p>
      <w:pPr>
        <w:pStyle w:val="Heading1"/>
        <w:spacing w:after="200" w:before="400"/>
      </w:pPr>
      <w:r>
        <w:t xml:space="preserve">2. Estado inicial del bloqueo y modificación justificada (20 pts)</w:t>
      </w:r>
    </w:p>
    <w:p>
      <w:pPr>
        <w:spacing w:after="160"/>
        <w:jc w:val="both"/>
      </w:pPr>
      <w:r>
        <w:rPr>
          <w:rFonts w:ascii="Calibri" w:cs="Calibri" w:eastAsia="Calibri" w:hAnsi="Calibri"/>
          <w:sz w:val="24"/>
          <w:szCs w:val="24"/>
        </w:rPr>
        <w:t xml:space="preserve">Al crear el bucket, AWS activa por defecto los cuatro controles de acceso público. Se documentó ese estado inicial antes de modificarlo, y se desactivaron únicamente los dos controles que impiden aplicar una política de bucket pública, dejando activos los que protegen contra ACLs.</w:t>
      </w:r>
    </w:p>
    <w:p>
      <w:pPr>
        <w:spacing w:after="100"/>
      </w:pPr>
    </w:p>
    <w:p>
      <w:pPr>
        <w:pStyle w:val="Heading2"/>
        <w:spacing w:after="150" w:before="300"/>
      </w:pPr>
      <w:r>
        <w:t xml:space="preserve">Estado INICIAL (antes de modificar)</w:t>
      </w:r>
    </w:p>
    <w:p>
      <w:pPr>
        <w:shd w:fill="F0F2F5" w:val="clear"/>
        <w:spacing w:after="80" w:before="80"/>
        <w:ind w:left="400"/>
      </w:pPr>
      <w:r>
        <w:rPr>
          <w:rFonts w:ascii="Courier New" w:cs="Courier New" w:eastAsia="Courier New" w:hAnsi="Courier New"/>
          <w:color w:val="1a1f36"/>
          <w:sz w:val="20"/>
          <w:szCs w:val="20"/>
        </w:rPr>
        <w:t xml:space="preserve">aws s3api get-public-access-block --bucket sitio-inventario-cloud-los-rojos</w:t>
      </w:r>
    </w:p>
    <w:p>
      <w:pPr>
        <w:shd w:fill="F0F2F5" w:val="clear"/>
        <w:spacing w:after="80" w:before="80"/>
        <w:ind w:left="400"/>
      </w:pPr>
      <w:r>
        <w:rPr>
          <w:rFonts w:ascii="Courier New" w:cs="Courier New" w:eastAsia="Courier New" w:hAnsi="Courier New"/>
          <w:color w:val="1a1f36"/>
          <w:sz w:val="20"/>
          <w:szCs w:val="20"/>
        </w:rPr>
        <w:t xml:space="preserve">{</w:t>
      </w:r>
    </w:p>
    <w:p>
      <w:pPr>
        <w:shd w:fill="F0F2F5" w:val="clear"/>
        <w:spacing w:after="80" w:before="80"/>
        <w:ind w:left="400"/>
      </w:pPr>
      <w:r>
        <w:rPr>
          <w:rFonts w:ascii="Courier New" w:cs="Courier New" w:eastAsia="Courier New" w:hAnsi="Courier New"/>
          <w:color w:val="1a1f36"/>
          <w:sz w:val="20"/>
          <w:szCs w:val="20"/>
        </w:rPr>
        <w:t xml:space="preserve">    "PublicAccessBlockConfiguration": {</w:t>
      </w:r>
    </w:p>
    <w:p>
      <w:pPr>
        <w:shd w:fill="F0F2F5" w:val="clear"/>
        <w:spacing w:after="80" w:before="80"/>
        <w:ind w:left="400"/>
      </w:pPr>
      <w:r>
        <w:rPr>
          <w:rFonts w:ascii="Courier New" w:cs="Courier New" w:eastAsia="Courier New" w:hAnsi="Courier New"/>
          <w:color w:val="1a1f36"/>
          <w:sz w:val="20"/>
          <w:szCs w:val="20"/>
        </w:rPr>
        <w:t xml:space="preserve">        "BlockPublicAcls":       true,</w:t>
      </w:r>
    </w:p>
    <w:p>
      <w:pPr>
        <w:shd w:fill="F0F2F5" w:val="clear"/>
        <w:spacing w:after="80" w:before="80"/>
        <w:ind w:left="400"/>
      </w:pPr>
      <w:r>
        <w:rPr>
          <w:rFonts w:ascii="Courier New" w:cs="Courier New" w:eastAsia="Courier New" w:hAnsi="Courier New"/>
          <w:color w:val="1a1f36"/>
          <w:sz w:val="20"/>
          <w:szCs w:val="20"/>
        </w:rPr>
        <w:t xml:space="preserve">        "IgnorePublicAcls":      true,</w:t>
      </w:r>
    </w:p>
    <w:p>
      <w:pPr>
        <w:shd w:fill="F0F2F5" w:val="clear"/>
        <w:spacing w:after="80" w:before="80"/>
        <w:ind w:left="400"/>
      </w:pPr>
      <w:r>
        <w:rPr>
          <w:rFonts w:ascii="Courier New" w:cs="Courier New" w:eastAsia="Courier New" w:hAnsi="Courier New"/>
          <w:color w:val="1a1f36"/>
          <w:sz w:val="20"/>
          <w:szCs w:val="20"/>
        </w:rPr>
        <w:t xml:space="preserve">        "BlockPublicPolicy":     true,   ← impedía aplicar política</w:t>
      </w:r>
    </w:p>
    <w:p>
      <w:pPr>
        <w:shd w:fill="F0F2F5" w:val="clear"/>
        <w:spacing w:after="80" w:before="80"/>
        <w:ind w:left="400"/>
      </w:pPr>
      <w:r>
        <w:rPr>
          <w:rFonts w:ascii="Courier New" w:cs="Courier New" w:eastAsia="Courier New" w:hAnsi="Courier New"/>
          <w:color w:val="1a1f36"/>
          <w:sz w:val="20"/>
          <w:szCs w:val="20"/>
        </w:rPr>
        <w:t xml:space="preserve">        "RestrictPublicBuckets": true    ← ignoraba políticas públicas</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w:t>
      </w:r>
    </w:p>
    <w:p>
      <w:pPr>
        <w:spacing w:after="100"/>
      </w:pPr>
    </w:p>
    <w:p>
      <w:pPr>
        <w:pStyle w:val="Heading2"/>
        <w:spacing w:after="150" w:before="300"/>
      </w:pPr>
      <w:r>
        <w:t xml:space="preserve">Estado FINAL (después de la modificación mínima)</w:t>
      </w:r>
    </w:p>
    <w:p>
      <w:pPr>
        <w:shd w:fill="F0F2F5" w:val="clear"/>
        <w:spacing w:after="80" w:before="80"/>
        <w:ind w:left="400"/>
      </w:pPr>
      <w:r>
        <w:rPr>
          <w:rFonts w:ascii="Courier New" w:cs="Courier New" w:eastAsia="Courier New" w:hAnsi="Courier New"/>
          <w:color w:val="1a1f36"/>
          <w:sz w:val="20"/>
          <w:szCs w:val="20"/>
        </w:rPr>
        <w:t xml:space="preserve">{</w:t>
      </w:r>
    </w:p>
    <w:p>
      <w:pPr>
        <w:shd w:fill="F0F2F5" w:val="clear"/>
        <w:spacing w:after="80" w:before="80"/>
        <w:ind w:left="400"/>
      </w:pPr>
      <w:r>
        <w:rPr>
          <w:rFonts w:ascii="Courier New" w:cs="Courier New" w:eastAsia="Courier New" w:hAnsi="Courier New"/>
          <w:color w:val="1a1f36"/>
          <w:sz w:val="20"/>
          <w:szCs w:val="20"/>
        </w:rPr>
        <w:t xml:space="preserve">    "PublicAccessBlockConfiguration": {</w:t>
      </w:r>
    </w:p>
    <w:p>
      <w:pPr>
        <w:shd w:fill="F0F2F5" w:val="clear"/>
        <w:spacing w:after="80" w:before="80"/>
        <w:ind w:left="400"/>
      </w:pPr>
      <w:r>
        <w:rPr>
          <w:rFonts w:ascii="Courier New" w:cs="Courier New" w:eastAsia="Courier New" w:hAnsi="Courier New"/>
          <w:color w:val="1a1f36"/>
          <w:sz w:val="20"/>
          <w:szCs w:val="20"/>
        </w:rPr>
        <w:t xml:space="preserve">        "BlockPublicAcls":       true,   ← MANTENIDO  (no usamos ACLs)</w:t>
      </w:r>
    </w:p>
    <w:p>
      <w:pPr>
        <w:shd w:fill="F0F2F5" w:val="clear"/>
        <w:spacing w:after="80" w:before="80"/>
        <w:ind w:left="400"/>
      </w:pPr>
      <w:r>
        <w:rPr>
          <w:rFonts w:ascii="Courier New" w:cs="Courier New" w:eastAsia="Courier New" w:hAnsi="Courier New"/>
          <w:color w:val="1a1f36"/>
          <w:sz w:val="20"/>
          <w:szCs w:val="20"/>
        </w:rPr>
        <w:t xml:space="preserve">        "IgnorePublicAcls":      true,   ← MANTENIDO  (seguridad extra)</w:t>
      </w:r>
    </w:p>
    <w:p>
      <w:pPr>
        <w:shd w:fill="F0F2F5" w:val="clear"/>
        <w:spacing w:after="80" w:before="80"/>
        <w:ind w:left="400"/>
      </w:pPr>
      <w:r>
        <w:rPr>
          <w:rFonts w:ascii="Courier New" w:cs="Courier New" w:eastAsia="Courier New" w:hAnsi="Courier New"/>
          <w:color w:val="1a1f36"/>
          <w:sz w:val="20"/>
          <w:szCs w:val="20"/>
        </w:rPr>
        <w:t xml:space="preserve">        "BlockPublicPolicy":     false,  ← MODIFICADO (permite la policy)</w:t>
      </w:r>
    </w:p>
    <w:p>
      <w:pPr>
        <w:shd w:fill="F0F2F5" w:val="clear"/>
        <w:spacing w:after="80" w:before="80"/>
        <w:ind w:left="400"/>
      </w:pPr>
      <w:r>
        <w:rPr>
          <w:rFonts w:ascii="Courier New" w:cs="Courier New" w:eastAsia="Courier New" w:hAnsi="Courier New"/>
          <w:color w:val="1a1f36"/>
          <w:sz w:val="20"/>
          <w:szCs w:val="20"/>
        </w:rPr>
        <w:t xml:space="preserve">        "RestrictPublicBuckets": false   ← MODIFICADO (aplica la policy)</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w:t>
      </w:r>
    </w:p>
    <w:p>
      <w:pPr>
        <w:spacing w:after="100"/>
      </w:pPr>
    </w:p>
    <w:p>
      <w:pPr>
        <w:pStyle w:val="Heading2"/>
        <w:spacing w:after="150" w:before="300"/>
      </w:pPr>
      <w:r>
        <w:t xml:space="preserve">Justificación</w:t>
      </w:r>
    </w:p>
    <w:p>
      <w:pPr>
        <w:spacing w:after="140"/>
      </w:pPr>
      <w:r>
        <w:rPr>
          <w:rFonts w:ascii="Calibri" w:cs="Calibri" w:eastAsia="Calibri" w:hAnsi="Calibri"/>
          <w:b/>
          <w:bCs/>
          <w:sz w:val="24"/>
          <w:szCs w:val="24"/>
        </w:rPr>
        <w:t xml:space="preserve">BlockPublicAcls = true: </w:t>
      </w:r>
      <w:r>
        <w:rPr>
          <w:rFonts w:ascii="Calibri" w:cs="Calibri" w:eastAsia="Calibri" w:hAnsi="Calibri"/>
          <w:sz w:val="24"/>
          <w:szCs w:val="24"/>
        </w:rPr>
        <w:t xml:space="preserve">No usamos ACLs para publicar, usamos una bucket policy. Mantenerlo bloqueado es la práctica correcta.</w:t>
      </w:r>
    </w:p>
    <w:p>
      <w:pPr>
        <w:spacing w:after="140"/>
      </w:pPr>
      <w:r>
        <w:rPr>
          <w:rFonts w:ascii="Calibri" w:cs="Calibri" w:eastAsia="Calibri" w:hAnsi="Calibri"/>
          <w:b/>
          <w:bCs/>
          <w:sz w:val="24"/>
          <w:szCs w:val="24"/>
        </w:rPr>
        <w:t xml:space="preserve">IgnorePublicAcls = true: </w:t>
      </w:r>
      <w:r>
        <w:rPr>
          <w:rFonts w:ascii="Calibri" w:cs="Calibri" w:eastAsia="Calibri" w:hAnsi="Calibri"/>
          <w:sz w:val="24"/>
          <w:szCs w:val="24"/>
        </w:rPr>
        <w:t xml:space="preserve">Capa adicional de seguridad que ignora cualquier ACL pública preexistente en los objetos.</w:t>
      </w:r>
    </w:p>
    <w:p>
      <w:pPr>
        <w:spacing w:after="140"/>
      </w:pPr>
      <w:r>
        <w:rPr>
          <w:rFonts w:ascii="Calibri" w:cs="Calibri" w:eastAsia="Calibri" w:hAnsi="Calibri"/>
          <w:b/>
          <w:bCs/>
          <w:sz w:val="24"/>
          <w:szCs w:val="24"/>
        </w:rPr>
        <w:t xml:space="preserve">BlockPublicPolicy = false: </w:t>
      </w:r>
      <w:r>
        <w:rPr>
          <w:rFonts w:ascii="Calibri" w:cs="Calibri" w:eastAsia="Calibri" w:hAnsi="Calibri"/>
          <w:sz w:val="24"/>
          <w:szCs w:val="24"/>
        </w:rPr>
        <w:t xml:space="preserve">Por defecto bloqueaba cualquier política que otorgara acceso público. Se desactivó únicamente para poder agregar la política de lectura del sitio.</w:t>
      </w:r>
    </w:p>
    <w:p>
      <w:pPr>
        <w:spacing w:after="200"/>
      </w:pPr>
      <w:r>
        <w:rPr>
          <w:rFonts w:ascii="Calibri" w:cs="Calibri" w:eastAsia="Calibri" w:hAnsi="Calibri"/>
          <w:b/>
          <w:bCs/>
          <w:sz w:val="24"/>
          <w:szCs w:val="24"/>
        </w:rPr>
        <w:t xml:space="preserve">RestrictPublicBuckets = false: </w:t>
      </w:r>
      <w:r>
        <w:rPr>
          <w:rFonts w:ascii="Calibri" w:cs="Calibri" w:eastAsia="Calibri" w:hAnsi="Calibri"/>
          <w:sz w:val="24"/>
          <w:szCs w:val="24"/>
        </w:rPr>
        <w:t xml:space="preserve">Por defecto ignoraba las políticas públicas aunque existieran. Se desactivó para que la política de s3:GetObject tuviera efecto real.</w:t>
      </w:r>
    </w:p>
    <w:p>
      <w:pPr>
        <w:shd w:fill="FFEAEA" w:val="clear"/>
        <w:spacing w:after="200" w:before="100"/>
        <w:ind w:left="200"/>
      </w:pPr>
      <w:r>
        <w:rPr>
          <w:rFonts w:ascii="Calibri" w:cs="Calibri" w:eastAsia="Calibri" w:hAnsi="Calibri"/>
          <w:b/>
          <w:bCs/>
          <w:color w:val="D63031"/>
          <w:sz w:val="22"/>
          <w:szCs w:val="22"/>
        </w:rPr>
        <w:t xml:space="preserve">→ INSERTAR CAPTURA: </w:t>
      </w:r>
      <w:r>
        <w:rPr>
          <w:rFonts w:ascii="Calibri" w:cs="Calibri" w:eastAsia="Calibri" w:hAnsi="Calibri"/>
          <w:sz w:val="22"/>
          <w:szCs w:val="22"/>
        </w:rPr>
        <w:t xml:space="preserve">CloudShell con salida de get-public-access-block mostrando el estado final</w:t>
      </w:r>
    </w:p>
    <w:p>
      <w:r>
        <w:br w:type="page"/>
      </w:r>
    </w:p>
    <w:p>
      <w:pPr>
        <w:pStyle w:val="Heading1"/>
        <w:spacing w:after="200" w:before="400"/>
      </w:pPr>
      <w:r>
        <w:t xml:space="preserve">3. Política del bucket — solo lectura, sin permisos amplios (25 pts)</w:t>
      </w:r>
    </w:p>
    <w:p>
      <w:pPr>
        <w:spacing w:after="160"/>
        <w:jc w:val="both"/>
      </w:pPr>
      <w:r>
        <w:rPr>
          <w:rFonts w:ascii="Calibri" w:cs="Calibri" w:eastAsia="Calibri" w:hAnsi="Calibri"/>
          <w:sz w:val="24"/>
          <w:szCs w:val="24"/>
        </w:rPr>
        <w:t xml:space="preserve">Se redactó una política que otorga únicamente s3:GetObject (lectura de objetos). No permite listar el contenido del bucket, subir archivos, borrarlos ni realizar ninguna operación de administración.</w:t>
      </w:r>
    </w:p>
    <w:p>
      <w:pPr>
        <w:spacing w:after="100"/>
      </w:pPr>
    </w:p>
    <w:p>
      <w:pPr>
        <w:pStyle w:val="Heading2"/>
        <w:spacing w:after="150" w:before="300"/>
      </w:pPr>
      <w:r>
        <w:t xml:space="preserve">Política aplicada</w:t>
      </w:r>
    </w:p>
    <w:p>
      <w:pPr>
        <w:shd w:fill="F0F2F5" w:val="clear"/>
        <w:spacing w:after="80" w:before="80"/>
        <w:ind w:left="400"/>
      </w:pPr>
      <w:r>
        <w:rPr>
          <w:rFonts w:ascii="Courier New" w:cs="Courier New" w:eastAsia="Courier New" w:hAnsi="Courier New"/>
          <w:color w:val="1a1f36"/>
          <w:sz w:val="20"/>
          <w:szCs w:val="20"/>
        </w:rPr>
        <w:t xml:space="preserve">{</w:t>
      </w:r>
    </w:p>
    <w:p>
      <w:pPr>
        <w:shd w:fill="F0F2F5" w:val="clear"/>
        <w:spacing w:after="80" w:before="80"/>
        <w:ind w:left="400"/>
      </w:pPr>
      <w:r>
        <w:rPr>
          <w:rFonts w:ascii="Courier New" w:cs="Courier New" w:eastAsia="Courier New" w:hAnsi="Courier New"/>
          <w:color w:val="1a1f36"/>
          <w:sz w:val="20"/>
          <w:szCs w:val="20"/>
        </w:rPr>
        <w:t xml:space="preserve">  "Version": "2012-10-17",</w:t>
      </w:r>
    </w:p>
    <w:p>
      <w:pPr>
        <w:shd w:fill="F0F2F5" w:val="clear"/>
        <w:spacing w:after="80" w:before="80"/>
        <w:ind w:left="400"/>
      </w:pPr>
      <w:r>
        <w:rPr>
          <w:rFonts w:ascii="Courier New" w:cs="Courier New" w:eastAsia="Courier New" w:hAnsi="Courier New"/>
          <w:color w:val="1a1f36"/>
          <w:sz w:val="20"/>
          <w:szCs w:val="20"/>
        </w:rPr>
        <w:t xml:space="preserve">  "Statement":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      "Sid":       "PermitirLecturaSitioPublico",</w:t>
      </w:r>
    </w:p>
    <w:p>
      <w:pPr>
        <w:shd w:fill="F0F2F5" w:val="clear"/>
        <w:spacing w:after="80" w:before="80"/>
        <w:ind w:left="400"/>
      </w:pPr>
      <w:r>
        <w:rPr>
          <w:rFonts w:ascii="Courier New" w:cs="Courier New" w:eastAsia="Courier New" w:hAnsi="Courier New"/>
          <w:color w:val="1a1f36"/>
          <w:sz w:val="20"/>
          <w:szCs w:val="20"/>
        </w:rPr>
        <w:t xml:space="preserve">      "Effect":    "Allow",</w:t>
      </w:r>
    </w:p>
    <w:p>
      <w:pPr>
        <w:shd w:fill="F0F2F5" w:val="clear"/>
        <w:spacing w:after="80" w:before="80"/>
        <w:ind w:left="400"/>
      </w:pPr>
      <w:r>
        <w:rPr>
          <w:rFonts w:ascii="Courier New" w:cs="Courier New" w:eastAsia="Courier New" w:hAnsi="Courier New"/>
          <w:color w:val="1a1f36"/>
          <w:sz w:val="20"/>
          <w:szCs w:val="20"/>
        </w:rPr>
        <w:t xml:space="preserve">      "Principal": "*",</w:t>
      </w:r>
    </w:p>
    <w:p>
      <w:pPr>
        <w:shd w:fill="F0F2F5" w:val="clear"/>
        <w:spacing w:after="80" w:before="80"/>
        <w:ind w:left="400"/>
      </w:pPr>
      <w:r>
        <w:rPr>
          <w:rFonts w:ascii="Courier New" w:cs="Courier New" w:eastAsia="Courier New" w:hAnsi="Courier New"/>
          <w:color w:val="1a1f36"/>
          <w:sz w:val="20"/>
          <w:szCs w:val="20"/>
        </w:rPr>
        <w:t xml:space="preserve">      "Action":    "s3:GetObject",</w:t>
      </w:r>
    </w:p>
    <w:p>
      <w:pPr>
        <w:shd w:fill="F0F2F5" w:val="clear"/>
        <w:spacing w:after="80" w:before="80"/>
        <w:ind w:left="400"/>
      </w:pPr>
      <w:r>
        <w:rPr>
          <w:rFonts w:ascii="Courier New" w:cs="Courier New" w:eastAsia="Courier New" w:hAnsi="Courier New"/>
          <w:color w:val="1a1f36"/>
          <w:sz w:val="20"/>
          <w:szCs w:val="20"/>
        </w:rPr>
        <w:t xml:space="preserve">      "Resource":  "arn:aws:s3:::sitio-inventario-cloud-los-rojos/*"</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w:t>
      </w:r>
    </w:p>
    <w:p>
      <w:pPr>
        <w:spacing w:after="100"/>
      </w:pPr>
    </w:p>
    <w:p>
      <w:pPr>
        <w:pStyle w:val="Heading2"/>
        <w:spacing w:after="150" w:before="300"/>
      </w:pPr>
      <w:r>
        <w:t xml:space="preserve">Explicación de cada parte</w:t>
      </w:r>
    </w:p>
    <w:p>
      <w:pPr>
        <w:spacing w:after="140"/>
      </w:pPr>
      <w:r>
        <w:rPr>
          <w:rFonts w:ascii="Calibri" w:cs="Calibri" w:eastAsia="Calibri" w:hAnsi="Calibri"/>
          <w:b/>
          <w:bCs/>
          <w:sz w:val="24"/>
          <w:szCs w:val="24"/>
        </w:rPr>
        <w:t xml:space="preserve">Version: 2012-10-17  →  </w:t>
      </w:r>
      <w:r>
        <w:rPr>
          <w:rFonts w:ascii="Calibri" w:cs="Calibri" w:eastAsia="Calibri" w:hAnsi="Calibri"/>
          <w:sz w:val="24"/>
          <w:szCs w:val="24"/>
        </w:rPr>
        <w:t xml:space="preserve">Versión del lenguaje de políticas IAM. Es la más reciente y la requerida para usar todas las funciones modernas de IAM.</w:t>
      </w:r>
    </w:p>
    <w:p>
      <w:pPr>
        <w:spacing w:after="140"/>
      </w:pPr>
      <w:r>
        <w:rPr>
          <w:rFonts w:ascii="Calibri" w:cs="Calibri" w:eastAsia="Calibri" w:hAnsi="Calibri"/>
          <w:b/>
          <w:bCs/>
          <w:sz w:val="24"/>
          <w:szCs w:val="24"/>
        </w:rPr>
        <w:t xml:space="preserve">Sid: PermitirLecturaSitioPublico  →  </w:t>
      </w:r>
      <w:r>
        <w:rPr>
          <w:rFonts w:ascii="Calibri" w:cs="Calibri" w:eastAsia="Calibri" w:hAnsi="Calibri"/>
          <w:sz w:val="24"/>
          <w:szCs w:val="24"/>
        </w:rPr>
        <w:t xml:space="preserve">Identificador descriptivo del statement. No afecta el comportamiento, sirve para documentar y auditar qué hace cada regla.</w:t>
      </w:r>
    </w:p>
    <w:p>
      <w:pPr>
        <w:spacing w:after="140"/>
      </w:pPr>
      <w:r>
        <w:rPr>
          <w:rFonts w:ascii="Calibri" w:cs="Calibri" w:eastAsia="Calibri" w:hAnsi="Calibri"/>
          <w:b/>
          <w:bCs/>
          <w:sz w:val="24"/>
          <w:szCs w:val="24"/>
        </w:rPr>
        <w:t xml:space="preserve">Effect: Allow  →  </w:t>
      </w:r>
      <w:r>
        <w:rPr>
          <w:rFonts w:ascii="Calibri" w:cs="Calibri" w:eastAsia="Calibri" w:hAnsi="Calibri"/>
          <w:sz w:val="24"/>
          <w:szCs w:val="24"/>
        </w:rPr>
        <w:t xml:space="preserve">Concede el permiso. Si fuera Deny lo negaría explícitamente aunque otro statement lo permitiera.</w:t>
      </w:r>
    </w:p>
    <w:p>
      <w:pPr>
        <w:spacing w:after="140"/>
      </w:pPr>
      <w:r>
        <w:rPr>
          <w:rFonts w:ascii="Calibri" w:cs="Calibri" w:eastAsia="Calibri" w:hAnsi="Calibri"/>
          <w:b/>
          <w:bCs/>
          <w:sz w:val="24"/>
          <w:szCs w:val="24"/>
        </w:rPr>
        <w:t xml:space="preserve">Principal: "*"  →  </w:t>
      </w:r>
      <w:r>
        <w:rPr>
          <w:rFonts w:ascii="Calibri" w:cs="Calibri" w:eastAsia="Calibri" w:hAnsi="Calibri"/>
          <w:sz w:val="24"/>
          <w:szCs w:val="24"/>
        </w:rPr>
        <w:t xml:space="preserve">Aplica a cualquier entidad: usuarios anónimos, otras cuentas AWS, servicios. Necesario para que el sitio sea público sin autenticación.</w:t>
      </w:r>
    </w:p>
    <w:p>
      <w:pPr>
        <w:spacing w:after="140"/>
      </w:pPr>
      <w:r>
        <w:rPr>
          <w:rFonts w:ascii="Calibri" w:cs="Calibri" w:eastAsia="Calibri" w:hAnsi="Calibri"/>
          <w:b/>
          <w:bCs/>
          <w:sz w:val="24"/>
          <w:szCs w:val="24"/>
        </w:rPr>
        <w:t xml:space="preserve">Action: s3:GetObject  →  </w:t>
      </w:r>
      <w:r>
        <w:rPr>
          <w:rFonts w:ascii="Calibri" w:cs="Calibri" w:eastAsia="Calibri" w:hAnsi="Calibri"/>
          <w:sz w:val="24"/>
          <w:szCs w:val="24"/>
        </w:rPr>
        <w:t xml:space="preserve">Única acción permitida: descargar/leer un objeto ya existente. NO otorga s3:ListBucket (listar), s3:PutObject (subir), s3:DeleteObject (borrar) ni ninguna acción de administración.</w:t>
      </w:r>
    </w:p>
    <w:p>
      <w:pPr>
        <w:spacing w:after="200"/>
      </w:pPr>
      <w:r>
        <w:rPr>
          <w:rFonts w:ascii="Calibri" w:cs="Calibri" w:eastAsia="Calibri" w:hAnsi="Calibri"/>
          <w:b/>
          <w:bCs/>
          <w:sz w:val="24"/>
          <w:szCs w:val="24"/>
        </w:rPr>
        <w:t xml:space="preserve">Resource: arn:aws:s3:::bucket/*  →  </w:t>
      </w:r>
      <w:r>
        <w:rPr>
          <w:rFonts w:ascii="Calibri" w:cs="Calibri" w:eastAsia="Calibri" w:hAnsi="Calibri"/>
          <w:sz w:val="24"/>
          <w:szCs w:val="24"/>
        </w:rPr>
        <w:t xml:space="preserve">El /* al final significa 'todos los objetos dentro del bucket'. No da permisos sobre el bucket en sí (que requeriría sin /*) y no permite enumerar su contenido.</w:t>
      </w:r>
    </w:p>
    <w:p>
      <w:pPr>
        <w:shd w:fill="FFEAEA" w:val="clear"/>
        <w:spacing w:after="200" w:before="100"/>
        <w:ind w:left="200"/>
      </w:pPr>
      <w:r>
        <w:rPr>
          <w:rFonts w:ascii="Calibri" w:cs="Calibri" w:eastAsia="Calibri" w:hAnsi="Calibri"/>
          <w:b/>
          <w:bCs/>
          <w:color w:val="D63031"/>
          <w:sz w:val="22"/>
          <w:szCs w:val="22"/>
        </w:rPr>
        <w:t xml:space="preserve">→ INSERTAR CAPTURA: </w:t>
      </w:r>
      <w:r>
        <w:rPr>
          <w:rFonts w:ascii="Calibri" w:cs="Calibri" w:eastAsia="Calibri" w:hAnsi="Calibri"/>
          <w:sz w:val="22"/>
          <w:szCs w:val="22"/>
        </w:rPr>
        <w:t xml:space="preserve">CloudShell con salida de get-bucket-policy mostrando el JSON de la política</w:t>
      </w:r>
    </w:p>
    <w:p>
      <w:r>
        <w:br w:type="page"/>
      </w:r>
    </w:p>
    <w:p>
      <w:pPr>
        <w:pStyle w:val="Heading1"/>
        <w:spacing w:after="200" w:before="400"/>
      </w:pPr>
      <w:r>
        <w:t xml:space="preserve">4. Sitio accesible con información real del proyecto (20 pts)</w:t>
      </w:r>
    </w:p>
    <w:p>
      <w:pPr>
        <w:spacing w:after="160"/>
        <w:jc w:val="both"/>
      </w:pPr>
      <w:r>
        <w:rPr>
          <w:rFonts w:ascii="Calibri" w:cs="Calibri" w:eastAsia="Calibri" w:hAnsi="Calibri"/>
          <w:sz w:val="24"/>
          <w:szCs w:val="24"/>
        </w:rPr>
        <w:t xml:space="preserve">El sitio informativo del proyecto quedó publicado mediante Amazon S3 Static Website Hosting. La página muestra el nombre del sistema, el problema que resuelve, los módulos desarrollados, la arquitectura en la nube, los tipos de usuario y los integrantes del equipo.</w:t>
      </w:r>
    </w:p>
    <w:p>
      <w:pPr>
        <w:spacing w:after="100"/>
      </w:pPr>
    </w:p>
    <w:p>
      <w:pPr>
        <w:pStyle w:val="Heading2"/>
        <w:spacing w:after="150" w:before="300"/>
      </w:pPr>
      <w:r>
        <w:t xml:space="preserve">Error de acceso denegado (antes de aplicar la política)</w:t>
      </w:r>
    </w:p>
    <w:p>
      <w:pPr>
        <w:spacing w:after="160"/>
        <w:jc w:val="both"/>
      </w:pPr>
      <w:r>
        <w:rPr>
          <w:rFonts w:ascii="Calibri" w:cs="Calibri" w:eastAsia="Calibri" w:hAnsi="Calibri"/>
          <w:sz w:val="24"/>
          <w:szCs w:val="24"/>
        </w:rPr>
        <w:t xml:space="preserve">Antes de aplicar la bucket policy, al intentar acceder al objeto directamente por su URL de API, S3 respondía con un error de acceso denegado, confirmando que el bloqueo de acceso público estaba activo y funcionando correctamente.</w:t>
      </w:r>
    </w:p>
    <w:p>
      <w:pPr>
        <w:shd w:fill="FFEAEA" w:val="clear"/>
        <w:spacing w:after="200" w:before="100"/>
        <w:ind w:left="200"/>
      </w:pPr>
      <w:r>
        <w:rPr>
          <w:rFonts w:ascii="Calibri" w:cs="Calibri" w:eastAsia="Calibri" w:hAnsi="Calibri"/>
          <w:b/>
          <w:bCs/>
          <w:color w:val="D63031"/>
          <w:sz w:val="22"/>
          <w:szCs w:val="22"/>
        </w:rPr>
        <w:t xml:space="preserve">→ INSERTAR CAPTURA: </w:t>
      </w:r>
      <w:r>
        <w:rPr>
          <w:rFonts w:ascii="Calibri" w:cs="Calibri" w:eastAsia="Calibri" w:hAnsi="Calibri"/>
          <w:sz w:val="22"/>
          <w:szCs w:val="22"/>
        </w:rPr>
        <w:t xml:space="preserve">Navegador mostrando AccessDenied al abrir la URL de objeto directo (antes de la política)</w:t>
      </w:r>
    </w:p>
    <w:p>
      <w:pPr>
        <w:spacing w:after="100"/>
      </w:pPr>
    </w:p>
    <w:p>
      <w:pPr>
        <w:pStyle w:val="Heading2"/>
        <w:spacing w:after="150" w:before="300"/>
      </w:pPr>
      <w:r>
        <w:t xml:space="preserve">Sitio funcionando (después de aplicar la política)</w:t>
      </w:r>
    </w:p>
    <w:p>
      <w:pPr>
        <w:spacing w:after="160"/>
        <w:jc w:val="both"/>
      </w:pPr>
      <w:r>
        <w:rPr>
          <w:rFonts w:ascii="Calibri" w:cs="Calibri" w:eastAsia="Calibri" w:hAnsi="Calibri"/>
          <w:sz w:val="24"/>
          <w:szCs w:val="24"/>
        </w:rPr>
        <w:t xml:space="preserve">Una vez aplicada la política de solo lectura y habilitado el website hosting, el sitio es accesible desde cualquier navegador en la siguiente URL:</w:t>
      </w:r>
    </w:p>
    <w:p>
      <w:pPr>
        <w:shd w:fill="F0F2F5" w:val="clear"/>
        <w:spacing w:after="80" w:before="80"/>
        <w:ind w:left="400"/>
      </w:pPr>
      <w:r>
        <w:rPr>
          <w:rFonts w:ascii="Courier New" w:cs="Courier New" w:eastAsia="Courier New" w:hAnsi="Courier New"/>
          <w:color w:val="1a1f36"/>
          <w:sz w:val="20"/>
          <w:szCs w:val="20"/>
        </w:rPr>
        <w:t xml:space="preserve">http://sitio-inventario-cloud-los-rojos.s3-website-us-east-1.amazonaws.com</w:t>
      </w:r>
    </w:p>
    <w:p>
      <w:pPr>
        <w:shd w:fill="FFEAEA" w:val="clear"/>
        <w:spacing w:after="200" w:before="100"/>
        <w:ind w:left="200"/>
      </w:pPr>
      <w:r>
        <w:rPr>
          <w:rFonts w:ascii="Calibri" w:cs="Calibri" w:eastAsia="Calibri" w:hAnsi="Calibri"/>
          <w:b/>
          <w:bCs/>
          <w:color w:val="D63031"/>
          <w:sz w:val="22"/>
          <w:szCs w:val="22"/>
        </w:rPr>
        <w:t xml:space="preserve">→ INSERTAR CAPTURA: </w:t>
      </w:r>
      <w:r>
        <w:rPr>
          <w:rFonts w:ascii="Calibri" w:cs="Calibri" w:eastAsia="Calibri" w:hAnsi="Calibri"/>
          <w:sz w:val="22"/>
          <w:szCs w:val="22"/>
        </w:rPr>
        <w:t xml:space="preserve">Navegador mostrando el sitio Inventario Nube con la URL visible en la barra de direcciones</w:t>
      </w:r>
    </w:p>
    <w:p>
      <w:r>
        <w:br w:type="page"/>
      </w:r>
    </w:p>
    <w:p>
      <w:pPr>
        <w:pStyle w:val="Heading1"/>
        <w:spacing w:after="200" w:before="400"/>
      </w:pPr>
      <w:r>
        <w:t xml:space="preserve">5. Comparación con el servidor de la Práctica 03 (15 pts)</w:t>
      </w:r>
    </w:p>
    <w:p>
      <w:pPr>
        <w:spacing w:after="160"/>
        <w:jc w:val="both"/>
      </w:pPr>
      <w:r>
        <w:rPr>
          <w:rFonts w:ascii="Calibri" w:cs="Calibri" w:eastAsia="Calibri" w:hAnsi="Calibri"/>
          <w:sz w:val="24"/>
          <w:szCs w:val="24"/>
        </w:rPr>
        <w:t xml:space="preserve">A continuación se presentan dos diferencias observadas entre servir contenido con un servidor EC2 (Práctica 03) y servir contenido directamente desde Amazon S3 (Práctica 04):</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Aspecto</w:t>
            </w:r>
          </w:p>
        </w:tc>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Práctica 03 — EC2 + Nginx</w:t>
            </w:r>
          </w:p>
        </w:tc>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Práctica 04 — S3 estático</w:t>
            </w:r>
          </w:p>
        </w:tc>
      </w:tr>
      <w:tr>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Lo que se administra</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Instancia EC2, sistema operativo, Nginx, actualizaciones de seguridad, PM2 y logs del servidor.</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Solo archivos y política del bucket. S3 es completamente gestionado por AWS. Sin SO, sin procesos, sin parches.</w:t>
            </w:r>
          </w:p>
        </w:tc>
      </w:tr>
      <w:tr>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Con 1,000 usuarios simultáneos</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La instancia t3.micro puede saturarse (CPU, memoria, conexiones). Requiere escalar manualmente o configurar un Load Balancer.</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S3 escala automáticamente sin configuración adicional. AWS distribuye las peticiones en infraestructura global. No hay servidor que saturar.</w:t>
            </w:r>
          </w:p>
        </w:tc>
      </w:tr>
    </w:tbl>
    <w:p>
      <w:pPr>
        <w:spacing w:after="100"/>
      </w:pPr>
    </w:p>
    <w:p>
      <w:pPr>
        <w:pStyle w:val="Heading2"/>
        <w:spacing w:after="150" w:before="300"/>
      </w:pPr>
      <w:r>
        <w:t xml:space="preserve">Análisis</w:t>
      </w:r>
    </w:p>
    <w:p>
      <w:pPr>
        <w:spacing w:after="160"/>
        <w:jc w:val="both"/>
      </w:pPr>
      <w:r>
        <w:rPr>
          <w:rFonts w:ascii="Calibri" w:cs="Calibri" w:eastAsia="Calibri" w:hAnsi="Calibri"/>
          <w:b/>
          <w:bCs/>
          <w:sz w:val="24"/>
          <w:szCs w:val="24"/>
        </w:rPr>
        <w:t xml:space="preserve">El servidor EC2 es necesario </w:t>
      </w:r>
      <w:r>
        <w:rPr>
          <w:rFonts w:ascii="Calibri" w:cs="Calibri" w:eastAsia="Calibri" w:hAnsi="Calibri"/>
          <w:sz w:val="24"/>
          <w:szCs w:val="24"/>
        </w:rPr>
        <w:t xml:space="preserve">para la API REST y la lógica del negocio: consultas a la base de datos, autenticación JWT, cálculo de reportes y registro de movimientos. Esas operaciones dependen de cómputo real.</w:t>
      </w:r>
    </w:p>
    <w:p>
      <w:pPr>
        <w:spacing w:after="160"/>
        <w:jc w:val="both"/>
      </w:pPr>
      <w:r>
        <w:rPr>
          <w:rFonts w:ascii="Calibri" w:cs="Calibri" w:eastAsia="Calibri" w:hAnsi="Calibri"/>
          <w:b/>
          <w:bCs/>
          <w:sz w:val="24"/>
          <w:szCs w:val="24"/>
        </w:rPr>
        <w:t xml:space="preserve">Amazon S3 es suficiente </w:t>
      </w:r>
      <w:r>
        <w:rPr>
          <w:rFonts w:ascii="Calibri" w:cs="Calibri" w:eastAsia="Calibri" w:hAnsi="Calibri"/>
          <w:sz w:val="24"/>
          <w:szCs w:val="24"/>
        </w:rPr>
        <w:t xml:space="preserve">para contenido que no varía por usuario, como esta página informativa. Usar EC2 para servir un HTML estático desperdiciaría cómputo y elevaría el costo sin ningún beneficio real.</w:t>
      </w:r>
    </w:p>
    <w:p>
      <w:pPr>
        <w:spacing w:after="160"/>
        <w:jc w:val="both"/>
      </w:pPr>
      <w:r>
        <w:rPr>
          <w:rFonts w:ascii="Calibri" w:cs="Calibri" w:eastAsia="Calibri" w:hAnsi="Calibri"/>
          <w:sz w:val="24"/>
          <w:szCs w:val="24"/>
        </w:rPr>
        <w:t xml:space="preserve">La separación estático/dinámico es una práctica estándar de arquitectura en la nube: S3 sirve lo que no cambia, EC2 procesa lo que sí cambia. Esta decisión reduce costos, mejora la disponibilidad del sitio informativo (SLA de S3: 99.99%) y descarga trabajo del servidor de la API.</w:t>
      </w:r>
    </w:p>
    <w:p>
      <w:r>
        <w:br w:type="page"/>
      </w:r>
    </w:p>
    <w:p>
      <w:pPr>
        <w:pStyle w:val="Heading1"/>
        <w:spacing w:after="200" w:before="400"/>
      </w:pPr>
      <w:r>
        <w:t xml:space="preserve">6. Regla de ciclo de vida configurada (10 pts)</w:t>
      </w:r>
    </w:p>
    <w:p>
      <w:pPr>
        <w:spacing w:after="160"/>
        <w:jc w:val="both"/>
      </w:pPr>
      <w:r>
        <w:rPr>
          <w:rFonts w:ascii="Calibri" w:cs="Calibri" w:eastAsia="Calibri" w:hAnsi="Calibri"/>
          <w:sz w:val="24"/>
          <w:szCs w:val="24"/>
        </w:rPr>
        <w:t xml:space="preserve">Se configuró una regla de ciclo de vida que mueve automáticamente los objetos del bucket a la clase de almacenamiento S3 Standard-IA (Infrequent Access) después de 30 días, reduciendo el costo de almacenamiento para objetos que ya no se acceden con frecuencia.</w:t>
      </w:r>
    </w:p>
    <w:p>
      <w:pPr>
        <w:spacing w:after="100"/>
      </w:pPr>
    </w:p>
    <w:p>
      <w:pPr>
        <w:pStyle w:val="Heading2"/>
        <w:spacing w:after="150" w:before="300"/>
      </w:pPr>
      <w:r>
        <w:t xml:space="preserve">Comando ejecutado</w:t>
      </w:r>
    </w:p>
    <w:p>
      <w:pPr>
        <w:shd w:fill="F0F2F5" w:val="clear"/>
        <w:spacing w:after="80" w:before="80"/>
        <w:ind w:left="400"/>
      </w:pPr>
      <w:r>
        <w:rPr>
          <w:rFonts w:ascii="Courier New" w:cs="Courier New" w:eastAsia="Courier New" w:hAnsi="Courier New"/>
          <w:color w:val="1a1f36"/>
          <w:sz w:val="20"/>
          <w:szCs w:val="20"/>
        </w:rPr>
        <w:t xml:space="preserve">aws s3api get-bucket-lifecycle-configuration --bucket sitio-inventario-cloud-los-rojos</w:t>
      </w:r>
    </w:p>
    <w:p>
      <w:pPr>
        <w:spacing w:after="100"/>
      </w:pPr>
    </w:p>
    <w:p>
      <w:pPr>
        <w:pStyle w:val="Heading2"/>
        <w:spacing w:after="150" w:before="300"/>
      </w:pPr>
      <w:r>
        <w:t xml:space="preserve">Configuración de la regla</w:t>
      </w:r>
    </w:p>
    <w:p>
      <w:pPr>
        <w:shd w:fill="F0F2F5" w:val="clear"/>
        <w:spacing w:after="80" w:before="80"/>
        <w:ind w:left="400"/>
      </w:pPr>
      <w:r>
        <w:rPr>
          <w:rFonts w:ascii="Courier New" w:cs="Courier New" w:eastAsia="Courier New" w:hAnsi="Courier New"/>
          <w:color w:val="1a1f36"/>
          <w:sz w:val="20"/>
          <w:szCs w:val="20"/>
        </w:rPr>
        <w:t xml:space="preserve">{</w:t>
      </w:r>
    </w:p>
    <w:p>
      <w:pPr>
        <w:shd w:fill="F0F2F5" w:val="clear"/>
        <w:spacing w:after="80" w:before="80"/>
        <w:ind w:left="400"/>
      </w:pPr>
      <w:r>
        <w:rPr>
          <w:rFonts w:ascii="Courier New" w:cs="Courier New" w:eastAsia="Courier New" w:hAnsi="Courier New"/>
          <w:color w:val="1a1f36"/>
          <w:sz w:val="20"/>
          <w:szCs w:val="20"/>
        </w:rPr>
        <w:t xml:space="preserve">  "Rules":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      "ID":     "mover-a-standard-ia-30dias",</w:t>
      </w:r>
    </w:p>
    <w:p>
      <w:pPr>
        <w:shd w:fill="F0F2F5" w:val="clear"/>
        <w:spacing w:after="80" w:before="80"/>
        <w:ind w:left="400"/>
      </w:pPr>
      <w:r>
        <w:rPr>
          <w:rFonts w:ascii="Courier New" w:cs="Courier New" w:eastAsia="Courier New" w:hAnsi="Courier New"/>
          <w:color w:val="1a1f36"/>
          <w:sz w:val="20"/>
          <w:szCs w:val="20"/>
        </w:rPr>
        <w:t xml:space="preserve">      "Status": "Enabled",</w:t>
      </w:r>
    </w:p>
    <w:p>
      <w:pPr>
        <w:shd w:fill="F0F2F5" w:val="clear"/>
        <w:spacing w:after="80" w:before="80"/>
        <w:ind w:left="400"/>
      </w:pPr>
      <w:r>
        <w:rPr>
          <w:rFonts w:ascii="Courier New" w:cs="Courier New" w:eastAsia="Courier New" w:hAnsi="Courier New"/>
          <w:color w:val="1a1f36"/>
          <w:sz w:val="20"/>
          <w:szCs w:val="20"/>
        </w:rPr>
        <w:t xml:space="preserve">      "Filter": { "Prefix": "" },</w:t>
      </w:r>
    </w:p>
    <w:p>
      <w:pPr>
        <w:shd w:fill="F0F2F5" w:val="clear"/>
        <w:spacing w:after="80" w:before="80"/>
        <w:ind w:left="400"/>
      </w:pPr>
      <w:r>
        <w:rPr>
          <w:rFonts w:ascii="Courier New" w:cs="Courier New" w:eastAsia="Courier New" w:hAnsi="Courier New"/>
          <w:color w:val="1a1f36"/>
          <w:sz w:val="20"/>
          <w:szCs w:val="20"/>
        </w:rPr>
        <w:t xml:space="preserve">      "Transitions":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          "Days": 30,</w:t>
      </w:r>
    </w:p>
    <w:p>
      <w:pPr>
        <w:shd w:fill="F0F2F5" w:val="clear"/>
        <w:spacing w:after="80" w:before="80"/>
        <w:ind w:left="400"/>
      </w:pPr>
      <w:r>
        <w:rPr>
          <w:rFonts w:ascii="Courier New" w:cs="Courier New" w:eastAsia="Courier New" w:hAnsi="Courier New"/>
          <w:color w:val="1a1f36"/>
          <w:sz w:val="20"/>
          <w:szCs w:val="20"/>
        </w:rPr>
        <w:t xml:space="preserve">          "StorageClass": "STANDARD_IA"</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  ]</w:t>
      </w:r>
    </w:p>
    <w:p>
      <w:pPr>
        <w:shd w:fill="F0F2F5" w:val="clear"/>
        <w:spacing w:after="80" w:before="80"/>
        <w:ind w:left="400"/>
      </w:pPr>
      <w:r>
        <w:rPr>
          <w:rFonts w:ascii="Courier New" w:cs="Courier New" w:eastAsia="Courier New" w:hAnsi="Courier New"/>
          <w:color w:val="1a1f36"/>
          <w:sz w:val="20"/>
          <w:szCs w:val="20"/>
        </w:rPr>
        <w:t xml:space="preserve">}</w:t>
      </w:r>
    </w:p>
    <w:p>
      <w:pPr>
        <w:spacing w:after="100"/>
      </w:pPr>
    </w:p>
    <w:p>
      <w:pPr>
        <w:pStyle w:val="Heading2"/>
        <w:spacing w:after="150" w:before="300"/>
      </w:pPr>
      <w:r>
        <w:t xml:space="preserve">Análisis de costos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Parámetro</w:t>
            </w:r>
          </w:p>
        </w:tc>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S3 Standard</w:t>
            </w:r>
          </w:p>
        </w:tc>
        <w:tc>
          <w:tcPr>
            <w:shd w:fill="D63031" w:val="clear"/>
            <w:tcMar>
              <w:top w:type="dxa" w:w="80"/>
              <w:left w:type="dxa" w:w="120"/>
              <w:bottom w:type="dxa" w:w="80"/>
              <w:right w:type="dxa" w:w="120"/>
            </w:tcMar>
            <w:vAlign w:val="center"/>
          </w:tcPr>
          <w:p>
            <w:pPr>
              <w:spacing w:after="60" w:before="60"/>
              <w:jc w:val="center"/>
            </w:pPr>
            <w:r>
              <w:rPr>
                <w:rFonts w:ascii="Calibri" w:cs="Calibri" w:eastAsia="Calibri" w:hAnsi="Calibri"/>
                <w:b/>
                <w:bCs/>
                <w:color w:val="FFFFFF"/>
                <w:sz w:val="22"/>
                <w:szCs w:val="22"/>
              </w:rPr>
              <w:t xml:space="preserve">S3 Standard-IA</w:t>
            </w:r>
          </w:p>
        </w:tc>
      </w:tr>
      <w:tr>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Almacenamiento (us-east-1)</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$0.023 / GB / mes</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$0.0125 / GB / mes</w:t>
            </w:r>
          </w:p>
        </w:tc>
      </w:tr>
      <w:tr>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Ahorro en almacenamiento</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~46% menos</w:t>
            </w:r>
          </w:p>
        </w:tc>
      </w:tr>
      <w:tr>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Costo de recuperación</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Sin cargo adicional</w:t>
            </w:r>
          </w:p>
        </w:tc>
        <w:tc>
          <w:tcPr>
            <w:shd w:fill="FFFFFF"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$0.01 / GB recuperado</w:t>
            </w:r>
          </w:p>
        </w:tc>
      </w:tr>
      <w:tr>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Aplicación práctica</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Objetos accedidos frecuentemente</w:t>
            </w:r>
          </w:p>
        </w:tc>
        <w:tc>
          <w:tcPr>
            <w:shd w:fill="F8FAFC" w:val="clear"/>
            <w:tcMar>
              <w:top w:type="dxa" w:w="80"/>
              <w:left w:type="dxa" w:w="120"/>
              <w:bottom w:type="dxa" w:w="80"/>
              <w:right w:type="dxa" w:w="120"/>
            </w:tcMar>
            <w:vAlign w:val="center"/>
          </w:tcPr>
          <w:p>
            <w:pPr>
              <w:spacing w:after="60" w:before="60"/>
              <w:jc w:val="center"/>
            </w:pPr>
            <w:r>
              <w:rPr>
                <w:rFonts w:ascii="Calibri" w:cs="Calibri" w:eastAsia="Calibri" w:hAnsi="Calibri"/>
                <w:b w:val="false"/>
                <w:bCs w:val="false"/>
                <w:color w:val="1a1f36"/>
                <w:sz w:val="22"/>
                <w:szCs w:val="22"/>
              </w:rPr>
              <w:t xml:space="preserve">Objetos sin acceso &gt; 30 días</w:t>
            </w:r>
          </w:p>
        </w:tc>
      </w:tr>
    </w:tbl>
    <w:p>
      <w:pPr>
        <w:spacing w:after="100"/>
      </w:pPr>
    </w:p>
    <w:p>
      <w:pPr>
        <w:spacing w:after="160"/>
        <w:jc w:val="both"/>
      </w:pPr>
      <w:r>
        <w:rPr>
          <w:rFonts w:ascii="Calibri" w:cs="Calibri" w:eastAsia="Calibri" w:hAnsi="Calibri"/>
          <w:sz w:val="24"/>
          <w:szCs w:val="24"/>
        </w:rPr>
        <w:t xml:space="preserve">Para el sitio informativo, que después de la entrega del parcial tendrá muy poco tráfico, la transición a Standard-IA reduce el costo de almacenamiento en aproximadamente 46%. El costo de recuperación solo aplica si alguien descarga el objeto, lo cual es despreciable para este caso de uso.</w:t>
      </w:r>
    </w:p>
    <w:p>
      <w:pPr>
        <w:shd w:fill="FFEAEA" w:val="clear"/>
        <w:spacing w:after="200" w:before="100"/>
        <w:ind w:left="200"/>
      </w:pPr>
      <w:r>
        <w:rPr>
          <w:rFonts w:ascii="Calibri" w:cs="Calibri" w:eastAsia="Calibri" w:hAnsi="Calibri"/>
          <w:b/>
          <w:bCs/>
          <w:color w:val="D63031"/>
          <w:sz w:val="22"/>
          <w:szCs w:val="22"/>
        </w:rPr>
        <w:t xml:space="preserve">→ INSERTAR CAPTURA: </w:t>
      </w:r>
      <w:r>
        <w:rPr>
          <w:rFonts w:ascii="Calibri" w:cs="Calibri" w:eastAsia="Calibri" w:hAnsi="Calibri"/>
          <w:sz w:val="22"/>
          <w:szCs w:val="22"/>
        </w:rPr>
        <w:t xml:space="preserve">CloudShell con salida de get-bucket-lifecycle-configuration mostrando la regla activa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04 — Almacenamiento de objetos y publicación del sitio del proyecto</dc:title>
  <dc:creator>Los Rojos — Cómputo en la Nube 2026</dc:creator>
  <dc:description>Evidencia P04 · Equipo Los Rojos · 30 sep 2026</dc:description>
  <cp:lastModifiedBy>Un-named</cp:lastModifiedBy>
  <cp:revision>1</cp:revision>
  <dcterms:created xsi:type="dcterms:W3CDTF">2026-10-01T02:42:26.431Z</dcterms:created>
  <dcterms:modified xsi:type="dcterms:W3CDTF">2026-10-01T02:42:26.433Z</dcterms:modified>
</cp:coreProperties>
</file>

<file path=docProps/custom.xml><?xml version="1.0" encoding="utf-8"?>
<Properties xmlns="http://schemas.openxmlformats.org/officeDocument/2006/custom-properties" xmlns:vt="http://schemas.openxmlformats.org/officeDocument/2006/docPropsVTypes"/>
</file>