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3864"/>
          <w:sz w:val="40"/>
        </w:rPr>
        <w:t>PRÁCTICA 09</w:t>
      </w:r>
    </w:p>
    <w:p>
      <w:pPr>
        <w:pStyle w:val="Heading2"/>
        <w:jc w:val="center"/>
      </w:pPr>
      <w:r>
        <w:rPr>
          <w:b w:val="0"/>
          <w:color w:val="3C3C3C"/>
          <w:sz w:val="28"/>
        </w:rPr>
        <w:t>Cómputo sin servidor: una función y su interfaz pública</w:t>
      </w:r>
    </w:p>
    <w:p/>
    <w:tbl>
      <w:tblPr>
        <w:tblStyle w:val="TableGrid"/>
        <w:tblW w:type="auto" w:w="0"/>
        <w:tblLook w:firstColumn="1" w:firstRow="1" w:lastColumn="0" w:lastRow="0" w:noHBand="0" w:noVBand="1" w:val="04A0"/>
      </w:tblPr>
      <w:tblGrid>
        <w:gridCol w:w="4896"/>
        <w:gridCol w:w="4896"/>
      </w:tblGrid>
      <w:tr>
        <w:tc>
          <w:tcPr>
            <w:tcW w:type="dxa" w:w="4896"/>
            <w:shd w:fill="1F3864" w:val="clear"/>
          </w:tcPr>
          <w:p>
            <w:r>
              <w:rPr>
                <w:b/>
                <w:color w:val="FFFFFF"/>
                <w:sz w:val="20"/>
              </w:rPr>
              <w:t>Equipo</w:t>
            </w:r>
          </w:p>
        </w:tc>
        <w:tc>
          <w:tcPr>
            <w:tcW w:type="dxa" w:w="4896"/>
          </w:tcPr>
          <w:p>
            <w:r>
              <w:rPr>
                <w:sz w:val="20"/>
              </w:rPr>
              <w:t>Los Rojos</w:t>
            </w:r>
          </w:p>
        </w:tc>
      </w:tr>
      <w:tr>
        <w:tc>
          <w:tcPr>
            <w:tcW w:type="dxa" w:w="4896"/>
            <w:shd w:fill="1F3864" w:val="clear"/>
          </w:tcPr>
          <w:p>
            <w:r>
              <w:rPr>
                <w:b/>
                <w:color w:val="FFFFFF"/>
                <w:sz w:val="20"/>
              </w:rPr>
              <w:t>Materia</w:t>
            </w:r>
          </w:p>
        </w:tc>
        <w:tc>
          <w:tcPr>
            <w:tcW w:type="dxa" w:w="4896"/>
          </w:tcPr>
          <w:p>
            <w:r>
              <w:rPr>
                <w:sz w:val="20"/>
              </w:rPr>
              <w:t>Cómputo en la Nube · Grupo 503</w:t>
            </w:r>
          </w:p>
        </w:tc>
      </w:tr>
      <w:tr>
        <w:tc>
          <w:tcPr>
            <w:tcW w:type="dxa" w:w="4896"/>
            <w:shd w:fill="1F3864" w:val="clear"/>
          </w:tcPr>
          <w:p>
            <w:r>
              <w:rPr>
                <w:b/>
                <w:color w:val="FFFFFF"/>
                <w:sz w:val="20"/>
              </w:rPr>
              <w:t>Unidad</w:t>
            </w:r>
          </w:p>
        </w:tc>
        <w:tc>
          <w:tcPr>
            <w:tcW w:type="dxa" w:w="4896"/>
          </w:tcPr>
          <w:p>
            <w:r>
              <w:rPr>
                <w:sz w:val="20"/>
              </w:rPr>
              <w:t>Unidad II · Segundo parcial</w:t>
            </w:r>
          </w:p>
        </w:tc>
      </w:tr>
      <w:tr>
        <w:tc>
          <w:tcPr>
            <w:tcW w:type="dxa" w:w="4896"/>
            <w:shd w:fill="1F3864" w:val="clear"/>
          </w:tcPr>
          <w:p>
            <w:r>
              <w:rPr>
                <w:b/>
                <w:color w:val="FFFFFF"/>
                <w:sz w:val="20"/>
              </w:rPr>
              <w:t>Sesión</w:t>
            </w:r>
          </w:p>
        </w:tc>
        <w:tc>
          <w:tcPr>
            <w:tcW w:type="dxa" w:w="4896"/>
          </w:tcPr>
          <w:p>
            <w:r>
              <w:rPr>
                <w:sz w:val="20"/>
              </w:rPr>
              <w:t>Lunes 26 de octubre de 2026</w:t>
            </w:r>
          </w:p>
        </w:tc>
      </w:tr>
      <w:tr>
        <w:tc>
          <w:tcPr>
            <w:tcW w:type="dxa" w:w="4896"/>
            <w:shd w:fill="1F3864" w:val="clear"/>
          </w:tcPr>
          <w:p>
            <w:r>
              <w:rPr>
                <w:b/>
                <w:color w:val="FFFFFF"/>
                <w:sz w:val="20"/>
              </w:rPr>
              <w:t>Objetivo</w:t>
            </w:r>
          </w:p>
        </w:tc>
        <w:tc>
          <w:tcPr>
            <w:tcW w:type="dxa" w:w="4896"/>
          </w:tcPr>
          <w:p>
            <w:r>
              <w:rPr>
                <w:sz w:val="20"/>
              </w:rPr>
              <w:t>Implementar una funcionalidad sin administrar ningún servidor y compararla en costo y operación con la alternativa.</w:t>
            </w:r>
          </w:p>
        </w:tc>
      </w:tr>
    </w:tbl>
    <w:p/>
    <w:p>
      <w:r>
        <w:br w:type="page"/>
      </w:r>
    </w:p>
    <w:p>
      <w:pPr>
        <w:pStyle w:val="Heading2"/>
        <w:spacing w:before="280" w:after="80"/>
      </w:pPr>
      <w:r>
        <w:rPr>
          <w:b/>
          <w:color w:val="1F3864"/>
          <w:sz w:val="24"/>
        </w:rPr>
        <w:t>1. Funcionalidad elegida y justificación</w:t>
      </w:r>
    </w:p>
    <w:p>
      <w:pPr>
        <w:spacing w:before="60" w:after="60"/>
      </w:pPr>
      <w:r>
        <w:rPr>
          <w:sz w:val="21"/>
        </w:rPr>
        <w:t>El sistema Inventario Nube gestiona movimientos de entrada, salida y ajuste de productos en pequeños negocios. Se identificaron tres funcionalidades candidatas para implementar como función sin servidor:</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3864" w:val="clear"/>
          </w:tcPr>
          <w:p>
            <w:r/>
            <w:r>
              <w:rPr>
                <w:b/>
                <w:color w:val="FFFFFF"/>
                <w:sz w:val="20"/>
              </w:rPr>
              <w:t>Candidata</w:t>
            </w:r>
          </w:p>
        </w:tc>
        <w:tc>
          <w:tcPr>
            <w:tcW w:type="dxa" w:w="2448"/>
            <w:shd w:fill="1F3864" w:val="clear"/>
          </w:tcPr>
          <w:p>
            <w:r/>
            <w:r>
              <w:rPr>
                <w:b/>
                <w:color w:val="FFFFFF"/>
                <w:sz w:val="20"/>
              </w:rPr>
              <w:t>Descripción</w:t>
            </w:r>
          </w:p>
        </w:tc>
        <w:tc>
          <w:tcPr>
            <w:tcW w:type="dxa" w:w="2448"/>
            <w:shd w:fill="1F3864" w:val="clear"/>
          </w:tcPr>
          <w:p>
            <w:r/>
            <w:r>
              <w:rPr>
                <w:b/>
                <w:color w:val="FFFFFF"/>
                <w:sz w:val="20"/>
              </w:rPr>
              <w:t>Patrón de uso</w:t>
            </w:r>
          </w:p>
        </w:tc>
        <w:tc>
          <w:tcPr>
            <w:tcW w:type="dxa" w:w="2448"/>
            <w:shd w:fill="1F3864" w:val="clear"/>
          </w:tcPr>
          <w:p>
            <w:r/>
            <w:r>
              <w:rPr>
                <w:b/>
                <w:color w:val="FFFFFF"/>
                <w:sz w:val="20"/>
              </w:rPr>
              <w:t>Decisión</w:t>
            </w:r>
          </w:p>
        </w:tc>
      </w:tr>
      <w:tr>
        <w:tc>
          <w:tcPr>
            <w:tcW w:type="dxa" w:w="2448"/>
            <w:shd w:fill="D4EDDA" w:val="clear"/>
          </w:tcPr>
          <w:p>
            <w:r/>
            <w:r>
              <w:rPr>
                <w:sz w:val="19"/>
              </w:rPr>
              <w:t>✔ ELEGIDA</w:t>
              <w:br/>
              <w:t>Consulta de movimientos</w:t>
            </w:r>
          </w:p>
        </w:tc>
        <w:tc>
          <w:tcPr>
            <w:tcW w:type="dxa" w:w="2448"/>
            <w:shd w:fill="D4EDDA" w:val="clear"/>
          </w:tcPr>
          <w:p>
            <w:r/>
            <w:r>
              <w:rPr>
                <w:sz w:val="19"/>
              </w:rPr>
              <w:t>GET /movimientos/{producto_id} — devuelve el historial del producto desde DynamoDB</w:t>
            </w:r>
          </w:p>
        </w:tc>
        <w:tc>
          <w:tcPr>
            <w:tcW w:type="dxa" w:w="2448"/>
            <w:shd w:fill="D4EDDA" w:val="clear"/>
          </w:tcPr>
          <w:p>
            <w:r/>
            <w:r>
              <w:rPr>
                <w:sz w:val="19"/>
              </w:rPr>
              <w:t>Esporádica · HTTP GET · &lt; 100 ms · Sin estado</w:t>
            </w:r>
          </w:p>
        </w:tc>
        <w:tc>
          <w:tcPr>
            <w:tcW w:type="dxa" w:w="2448"/>
            <w:shd w:fill="D4EDDA" w:val="clear"/>
          </w:tcPr>
          <w:p>
            <w:r/>
            <w:r>
              <w:rPr>
                <w:sz w:val="19"/>
              </w:rPr>
              <w:t>Lambda + API Gateway</w:t>
            </w:r>
          </w:p>
        </w:tc>
      </w:tr>
      <w:tr>
        <w:tc>
          <w:tcPr>
            <w:tcW w:type="dxa" w:w="2448"/>
            <w:shd w:fill="F7F7F7" w:val="clear"/>
          </w:tcPr>
          <w:p>
            <w:r/>
            <w:r>
              <w:rPr>
                <w:sz w:val="19"/>
              </w:rPr>
              <w:t>✗ Descartada</w:t>
              <w:br/>
              <w:t>Sincronización RDS ↔ DynamoDB</w:t>
            </w:r>
          </w:p>
        </w:tc>
        <w:tc>
          <w:tcPr>
            <w:tcW w:type="dxa" w:w="2448"/>
            <w:shd w:fill="F7F7F7" w:val="clear"/>
          </w:tcPr>
          <w:p>
            <w:r/>
            <w:r>
              <w:rPr>
                <w:sz w:val="19"/>
              </w:rPr>
              <w:t>Lee filas nuevas de PostgreSQL y las replica en DynamoDB</w:t>
            </w:r>
          </w:p>
        </w:tc>
        <w:tc>
          <w:tcPr>
            <w:tcW w:type="dxa" w:w="2448"/>
            <w:shd w:fill="F7F7F7" w:val="clear"/>
          </w:tcPr>
          <w:p>
            <w:r/>
            <w:r>
              <w:rPr>
                <w:sz w:val="19"/>
              </w:rPr>
              <w:t>Continua · Larga duración · Batch · Con estado</w:t>
            </w:r>
          </w:p>
        </w:tc>
        <w:tc>
          <w:tcPr>
            <w:tcW w:type="dxa" w:w="2448"/>
            <w:shd w:fill="F7F7F7" w:val="clear"/>
          </w:tcPr>
          <w:p>
            <w:r/>
            <w:r>
              <w:rPr>
                <w:sz w:val="19"/>
              </w:rPr>
              <w:t>Mejor: cron en EC2 o ECS</w:t>
            </w:r>
          </w:p>
        </w:tc>
      </w:tr>
      <w:tr>
        <w:tc>
          <w:tcPr>
            <w:tcW w:type="dxa" w:w="2448"/>
            <w:shd w:fill="FFFFFF" w:val="clear"/>
          </w:tcPr>
          <w:p>
            <w:r/>
            <w:r>
              <w:rPr>
                <w:sz w:val="19"/>
              </w:rPr>
              <w:t>✗ Descartada</w:t>
              <w:br/>
              <w:t>Generación de reporte diario</w:t>
            </w:r>
          </w:p>
        </w:tc>
        <w:tc>
          <w:tcPr>
            <w:tcW w:type="dxa" w:w="2448"/>
            <w:shd w:fill="FFFFFF" w:val="clear"/>
          </w:tcPr>
          <w:p>
            <w:r/>
            <w:r>
              <w:rPr>
                <w:sz w:val="19"/>
              </w:rPr>
              <w:t>Procesa todos los movimientos del día y genera PDF/Excel</w:t>
            </w:r>
          </w:p>
        </w:tc>
        <w:tc>
          <w:tcPr>
            <w:tcW w:type="dxa" w:w="2448"/>
            <w:shd w:fill="FFFFFF" w:val="clear"/>
          </w:tcPr>
          <w:p>
            <w:r/>
            <w:r>
              <w:rPr>
                <w:sz w:val="19"/>
              </w:rPr>
              <w:t>Periódica · Batch pesado · Puede superar 30 s</w:t>
            </w:r>
          </w:p>
        </w:tc>
        <w:tc>
          <w:tcPr>
            <w:tcW w:type="dxa" w:w="2448"/>
            <w:shd w:fill="FFFFFF" w:val="clear"/>
          </w:tcPr>
          <w:p>
            <w:r/>
            <w:r>
              <w:rPr>
                <w:sz w:val="19"/>
              </w:rPr>
              <w:t>Mejor: script EC2 + EventBridge o AWS Glue</w:t>
            </w:r>
          </w:p>
        </w:tc>
      </w:tr>
    </w:tbl>
    <w:p/>
    <w:p>
      <w:pPr>
        <w:pStyle w:val="Heading3"/>
        <w:spacing w:before="160" w:after="40"/>
      </w:pPr>
      <w:r>
        <w:rPr>
          <w:b/>
          <w:color w:val="1F3864"/>
          <w:sz w:val="22"/>
        </w:rPr>
        <w:t>1.1 Criterios de selección</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3864" w:val="clear"/>
          </w:tcPr>
          <w:p>
            <w:r/>
            <w:r>
              <w:rPr>
                <w:b/>
                <w:color w:val="FFFFFF"/>
                <w:sz w:val="20"/>
              </w:rPr>
              <w:t>Criterio</w:t>
            </w:r>
          </w:p>
        </w:tc>
        <w:tc>
          <w:tcPr>
            <w:tcW w:type="dxa" w:w="2448"/>
            <w:shd w:fill="1F3864" w:val="clear"/>
          </w:tcPr>
          <w:p>
            <w:r/>
            <w:r>
              <w:rPr>
                <w:b/>
                <w:color w:val="FFFFFF"/>
                <w:sz w:val="20"/>
              </w:rPr>
              <w:t>Consulta (elegida)</w:t>
            </w:r>
          </w:p>
        </w:tc>
        <w:tc>
          <w:tcPr>
            <w:tcW w:type="dxa" w:w="2448"/>
            <w:shd w:fill="1F3864" w:val="clear"/>
          </w:tcPr>
          <w:p>
            <w:r/>
            <w:r>
              <w:rPr>
                <w:b/>
                <w:color w:val="FFFFFF"/>
                <w:sz w:val="20"/>
              </w:rPr>
              <w:t>Sincronización</w:t>
            </w:r>
          </w:p>
        </w:tc>
        <w:tc>
          <w:tcPr>
            <w:tcW w:type="dxa" w:w="2448"/>
            <w:shd w:fill="1F3864" w:val="clear"/>
          </w:tcPr>
          <w:p>
            <w:r/>
            <w:r>
              <w:rPr>
                <w:b/>
                <w:color w:val="FFFFFF"/>
                <w:sz w:val="20"/>
              </w:rPr>
              <w:t>Reporte</w:t>
            </w:r>
          </w:p>
        </w:tc>
      </w:tr>
      <w:tr>
        <w:tc>
          <w:tcPr>
            <w:tcW w:type="dxa" w:w="2448"/>
            <w:shd w:fill="FFFFFF" w:val="clear"/>
          </w:tcPr>
          <w:p>
            <w:r/>
            <w:r>
              <w:rPr>
                <w:sz w:val="19"/>
              </w:rPr>
              <w:t>Esporádica</w:t>
            </w:r>
          </w:p>
        </w:tc>
        <w:tc>
          <w:tcPr>
            <w:tcW w:type="dxa" w:w="2448"/>
            <w:shd w:fill="FFFFFF" w:val="clear"/>
          </w:tcPr>
          <w:p>
            <w:r/>
            <w:r>
              <w:rPr>
                <w:sz w:val="19"/>
              </w:rPr>
              <w:t>✔</w:t>
            </w:r>
          </w:p>
        </w:tc>
        <w:tc>
          <w:tcPr>
            <w:tcW w:type="dxa" w:w="2448"/>
            <w:shd w:fill="FFFFFF" w:val="clear"/>
          </w:tcPr>
          <w:p>
            <w:r/>
            <w:r>
              <w:rPr>
                <w:sz w:val="19"/>
              </w:rPr>
              <w:t>✗ continua</w:t>
            </w:r>
          </w:p>
        </w:tc>
        <w:tc>
          <w:tcPr>
            <w:tcW w:type="dxa" w:w="2448"/>
            <w:shd w:fill="FFFFFF" w:val="clear"/>
          </w:tcPr>
          <w:p>
            <w:r/>
            <w:r>
              <w:rPr>
                <w:sz w:val="19"/>
              </w:rPr>
              <w:t>✗ diaria/batch</w:t>
            </w:r>
          </w:p>
        </w:tc>
      </w:tr>
      <w:tr>
        <w:tc>
          <w:tcPr>
            <w:tcW w:type="dxa" w:w="2448"/>
            <w:shd w:fill="F7F7F7" w:val="clear"/>
          </w:tcPr>
          <w:p>
            <w:r/>
            <w:r>
              <w:rPr>
                <w:sz w:val="19"/>
              </w:rPr>
              <w:t>Breve (&lt; 10 s)</w:t>
            </w:r>
          </w:p>
        </w:tc>
        <w:tc>
          <w:tcPr>
            <w:tcW w:type="dxa" w:w="2448"/>
            <w:shd w:fill="F7F7F7" w:val="clear"/>
          </w:tcPr>
          <w:p>
            <w:r/>
            <w:r>
              <w:rPr>
                <w:sz w:val="19"/>
              </w:rPr>
              <w:t>✔ &lt; 100 ms</w:t>
            </w:r>
          </w:p>
        </w:tc>
        <w:tc>
          <w:tcPr>
            <w:tcW w:type="dxa" w:w="2448"/>
            <w:shd w:fill="F7F7F7" w:val="clear"/>
          </w:tcPr>
          <w:p>
            <w:r/>
            <w:r>
              <w:rPr>
                <w:sz w:val="19"/>
              </w:rPr>
              <w:t>✗ minutos</w:t>
            </w:r>
          </w:p>
        </w:tc>
        <w:tc>
          <w:tcPr>
            <w:tcW w:type="dxa" w:w="2448"/>
            <w:shd w:fill="F7F7F7" w:val="clear"/>
          </w:tcPr>
          <w:p>
            <w:r/>
            <w:r>
              <w:rPr>
                <w:sz w:val="19"/>
              </w:rPr>
              <w:t>✗ segundos a minutos</w:t>
            </w:r>
          </w:p>
        </w:tc>
      </w:tr>
      <w:tr>
        <w:tc>
          <w:tcPr>
            <w:tcW w:type="dxa" w:w="2448"/>
            <w:shd w:fill="FFFFFF" w:val="clear"/>
          </w:tcPr>
          <w:p>
            <w:r/>
            <w:r>
              <w:rPr>
                <w:sz w:val="19"/>
              </w:rPr>
              <w:t>Dirigida por evento</w:t>
            </w:r>
          </w:p>
        </w:tc>
        <w:tc>
          <w:tcPr>
            <w:tcW w:type="dxa" w:w="2448"/>
            <w:shd w:fill="FFFFFF" w:val="clear"/>
          </w:tcPr>
          <w:p>
            <w:r/>
            <w:r>
              <w:rPr>
                <w:sz w:val="19"/>
              </w:rPr>
              <w:t>✔ HTTP GET</w:t>
            </w:r>
          </w:p>
        </w:tc>
        <w:tc>
          <w:tcPr>
            <w:tcW w:type="dxa" w:w="2448"/>
            <w:shd w:fill="FFFFFF" w:val="clear"/>
          </w:tcPr>
          <w:p>
            <w:r/>
            <w:r>
              <w:rPr>
                <w:sz w:val="19"/>
              </w:rPr>
              <w:t>✗ cron / trigger</w:t>
            </w:r>
          </w:p>
        </w:tc>
        <w:tc>
          <w:tcPr>
            <w:tcW w:type="dxa" w:w="2448"/>
            <w:shd w:fill="FFFFFF" w:val="clear"/>
          </w:tcPr>
          <w:p>
            <w:r/>
            <w:r>
              <w:rPr>
                <w:sz w:val="19"/>
              </w:rPr>
              <w:t>✔ pero batch</w:t>
            </w:r>
          </w:p>
        </w:tc>
      </w:tr>
      <w:tr>
        <w:tc>
          <w:tcPr>
            <w:tcW w:type="dxa" w:w="2448"/>
            <w:shd w:fill="F7F7F7" w:val="clear"/>
          </w:tcPr>
          <w:p>
            <w:r/>
            <w:r>
              <w:rPr>
                <w:sz w:val="19"/>
              </w:rPr>
              <w:t>Sin estado</w:t>
            </w:r>
          </w:p>
        </w:tc>
        <w:tc>
          <w:tcPr>
            <w:tcW w:type="dxa" w:w="2448"/>
            <w:shd w:fill="F7F7F7" w:val="clear"/>
          </w:tcPr>
          <w:p>
            <w:r/>
            <w:r>
              <w:rPr>
                <w:sz w:val="19"/>
              </w:rPr>
              <w:t>✔</w:t>
            </w:r>
          </w:p>
        </w:tc>
        <w:tc>
          <w:tcPr>
            <w:tcW w:type="dxa" w:w="2448"/>
            <w:shd w:fill="F7F7F7" w:val="clear"/>
          </w:tcPr>
          <w:p>
            <w:r/>
            <w:r>
              <w:rPr>
                <w:sz w:val="19"/>
              </w:rPr>
              <w:t>✗ necesita cursor</w:t>
            </w:r>
          </w:p>
        </w:tc>
        <w:tc>
          <w:tcPr>
            <w:tcW w:type="dxa" w:w="2448"/>
            <w:shd w:fill="F7F7F7" w:val="clear"/>
          </w:tcPr>
          <w:p>
            <w:r/>
            <w:r>
              <w:rPr>
                <w:sz w:val="19"/>
              </w:rPr>
              <w:t>✗ necesita contexto</w:t>
            </w:r>
          </w:p>
        </w:tc>
      </w:tr>
      <w:tr>
        <w:tc>
          <w:tcPr>
            <w:tcW w:type="dxa" w:w="2448"/>
            <w:shd w:fill="FFFFFF" w:val="clear"/>
          </w:tcPr>
          <w:p>
            <w:r/>
            <w:r>
              <w:rPr>
                <w:sz w:val="19"/>
              </w:rPr>
              <w:t>Costo beneficioso</w:t>
            </w:r>
          </w:p>
        </w:tc>
        <w:tc>
          <w:tcPr>
            <w:tcW w:type="dxa" w:w="2448"/>
            <w:shd w:fill="FFFFFF" w:val="clear"/>
          </w:tcPr>
          <w:p>
            <w:r/>
            <w:r>
              <w:rPr>
                <w:sz w:val="19"/>
              </w:rPr>
              <w:t>✔ esporádica</w:t>
            </w:r>
          </w:p>
        </w:tc>
        <w:tc>
          <w:tcPr>
            <w:tcW w:type="dxa" w:w="2448"/>
            <w:shd w:fill="FFFFFF" w:val="clear"/>
          </w:tcPr>
          <w:p>
            <w:r/>
            <w:r>
              <w:rPr>
                <w:sz w:val="19"/>
              </w:rPr>
              <w:t>✗ continua → EC2 barato</w:t>
            </w:r>
          </w:p>
        </w:tc>
        <w:tc>
          <w:tcPr>
            <w:tcW w:type="dxa" w:w="2448"/>
            <w:shd w:fill="FFFFFF" w:val="clear"/>
          </w:tcPr>
          <w:p>
            <w:r/>
            <w:r>
              <w:rPr>
                <w:sz w:val="19"/>
              </w:rPr>
              <w:t>✗ batch → EC2 barato</w:t>
            </w:r>
          </w:p>
        </w:tc>
      </w:tr>
    </w:tbl>
    <w:p/>
    <w:p>
      <w:pPr>
        <w:spacing w:before="60" w:after="60"/>
      </w:pPr>
      <w:r>
        <w:rPr>
          <w:sz w:val="21"/>
        </w:rPr>
        <w:t>La consulta de movimientos es la única candidata que cumple los cuatro criterios simultáneamente. Las otras dos son procesos de mayor duración o continuos, donde Lambda cobra más por GB·s que una EC2 dedicada.</w:t>
      </w:r>
    </w:p>
    <w:p/>
    <w:p>
      <w:pPr>
        <w:pStyle w:val="Heading2"/>
        <w:spacing w:before="280" w:after="80"/>
      </w:pPr>
      <w:r>
        <w:rPr>
          <w:b/>
          <w:color w:val="1F3864"/>
          <w:sz w:val="24"/>
        </w:rPr>
        <w:t>2. Creación de la función Lambda</w:t>
      </w:r>
    </w:p>
    <w:p>
      <w:pPr>
        <w:spacing w:before="60" w:after="60"/>
      </w:pPr>
      <w:r>
        <w:rPr>
          <w:sz w:val="21"/>
        </w:rPr>
        <w:t>La función se creó con los valores mínimos razonables para esta carga de trabajo. Estos dos parámetros determinan directamente el costo, ya que Lambda cobra por GB·s (memoria × tiempo de ejecución).</w:t>
      </w:r>
    </w:p>
    <w:tbl>
      <w:tblPr>
        <w:tblStyle w:val="TableGrid"/>
        <w:tblW w:type="auto" w:w="0"/>
        <w:tblLook w:firstColumn="1" w:firstRow="1" w:lastColumn="0" w:lastRow="0" w:noHBand="0" w:noVBand="1" w:val="04A0"/>
      </w:tblPr>
      <w:tblGrid>
        <w:gridCol w:w="3264"/>
        <w:gridCol w:w="3264"/>
        <w:gridCol w:w="3264"/>
      </w:tblGrid>
      <w:tr>
        <w:tc>
          <w:tcPr>
            <w:tcW w:type="dxa" w:w="3264"/>
            <w:shd w:fill="1F3864" w:val="clear"/>
          </w:tcPr>
          <w:p>
            <w:r/>
            <w:r>
              <w:rPr>
                <w:b/>
                <w:color w:val="FFFFFF"/>
                <w:sz w:val="20"/>
              </w:rPr>
              <w:t>Parámetro</w:t>
            </w:r>
          </w:p>
        </w:tc>
        <w:tc>
          <w:tcPr>
            <w:tcW w:type="dxa" w:w="3264"/>
            <w:shd w:fill="1F3864" w:val="clear"/>
          </w:tcPr>
          <w:p>
            <w:r/>
            <w:r>
              <w:rPr>
                <w:b/>
                <w:color w:val="FFFFFF"/>
                <w:sz w:val="20"/>
              </w:rPr>
              <w:t>Valor asignado</w:t>
            </w:r>
          </w:p>
        </w:tc>
        <w:tc>
          <w:tcPr>
            <w:tcW w:type="dxa" w:w="3264"/>
            <w:shd w:fill="1F3864" w:val="clear"/>
          </w:tcPr>
          <w:p>
            <w:r/>
            <w:r>
              <w:rPr>
                <w:b/>
                <w:color w:val="FFFFFF"/>
                <w:sz w:val="20"/>
              </w:rPr>
              <w:t>Justificación</w:t>
            </w:r>
          </w:p>
        </w:tc>
      </w:tr>
      <w:tr>
        <w:tc>
          <w:tcPr>
            <w:tcW w:type="dxa" w:w="3264"/>
            <w:shd w:fill="FFFFFF" w:val="clear"/>
          </w:tcPr>
          <w:p>
            <w:r/>
            <w:r>
              <w:rPr>
                <w:sz w:val="19"/>
              </w:rPr>
              <w:t>Nombre</w:t>
            </w:r>
          </w:p>
        </w:tc>
        <w:tc>
          <w:tcPr>
            <w:tcW w:type="dxa" w:w="3264"/>
            <w:shd w:fill="FFFFFF" w:val="clear"/>
          </w:tcPr>
          <w:p>
            <w:r/>
            <w:r>
              <w:rPr>
                <w:sz w:val="19"/>
              </w:rPr>
              <w:t>fn-movimientos-los-rojos</w:t>
            </w:r>
          </w:p>
        </w:tc>
        <w:tc>
          <w:tcPr>
            <w:tcW w:type="dxa" w:w="3264"/>
            <w:shd w:fill="FFFFFF" w:val="clear"/>
          </w:tcPr>
          <w:p>
            <w:r/>
            <w:r>
              <w:rPr>
                <w:sz w:val="19"/>
              </w:rPr>
              <w:t>Convención del proyecto</w:t>
            </w:r>
          </w:p>
        </w:tc>
      </w:tr>
      <w:tr>
        <w:tc>
          <w:tcPr>
            <w:tcW w:type="dxa" w:w="3264"/>
            <w:shd w:fill="F7F7F7" w:val="clear"/>
          </w:tcPr>
          <w:p>
            <w:r/>
            <w:r>
              <w:rPr>
                <w:sz w:val="19"/>
              </w:rPr>
              <w:t>Runtime</w:t>
            </w:r>
          </w:p>
        </w:tc>
        <w:tc>
          <w:tcPr>
            <w:tcW w:type="dxa" w:w="3264"/>
            <w:shd w:fill="F7F7F7" w:val="clear"/>
          </w:tcPr>
          <w:p>
            <w:r/>
            <w:r>
              <w:rPr>
                <w:sz w:val="19"/>
              </w:rPr>
              <w:t>Python 3.12</w:t>
            </w:r>
          </w:p>
        </w:tc>
        <w:tc>
          <w:tcPr>
            <w:tcW w:type="dxa" w:w="3264"/>
            <w:shd w:fill="F7F7F7" w:val="clear"/>
          </w:tcPr>
          <w:p>
            <w:r/>
            <w:r>
              <w:rPr>
                <w:sz w:val="19"/>
              </w:rPr>
              <w:t>Mismo lenguaje que boto3/P07</w:t>
            </w:r>
          </w:p>
        </w:tc>
      </w:tr>
      <w:tr>
        <w:tc>
          <w:tcPr>
            <w:tcW w:type="dxa" w:w="3264"/>
            <w:shd w:fill="FFFFFF" w:val="clear"/>
          </w:tcPr>
          <w:p>
            <w:r/>
            <w:r>
              <w:rPr>
                <w:sz w:val="19"/>
              </w:rPr>
              <w:t>Handler</w:t>
            </w:r>
          </w:p>
        </w:tc>
        <w:tc>
          <w:tcPr>
            <w:tcW w:type="dxa" w:w="3264"/>
            <w:shd w:fill="FFFFFF" w:val="clear"/>
          </w:tcPr>
          <w:p>
            <w:r/>
            <w:r>
              <w:rPr>
                <w:sz w:val="19"/>
              </w:rPr>
              <w:t>lambda_function.lambda_handler</w:t>
            </w:r>
          </w:p>
        </w:tc>
        <w:tc>
          <w:tcPr>
            <w:tcW w:type="dxa" w:w="3264"/>
            <w:shd w:fill="FFFFFF" w:val="clear"/>
          </w:tcPr>
          <w:p>
            <w:r/>
            <w:r>
              <w:rPr>
                <w:sz w:val="19"/>
              </w:rPr>
              <w:t>Archivo único, sin dependencias extra</w:t>
            </w:r>
          </w:p>
        </w:tc>
      </w:tr>
      <w:tr>
        <w:tc>
          <w:tcPr>
            <w:tcW w:type="dxa" w:w="3264"/>
            <w:shd w:fill="FFF3CD" w:val="clear"/>
          </w:tcPr>
          <w:p>
            <w:r/>
            <w:r>
              <w:rPr>
                <w:sz w:val="19"/>
              </w:rPr>
              <w:t>Memoria</w:t>
            </w:r>
          </w:p>
        </w:tc>
        <w:tc>
          <w:tcPr>
            <w:tcW w:type="dxa" w:w="3264"/>
            <w:shd w:fill="FFF3CD" w:val="clear"/>
          </w:tcPr>
          <w:p>
            <w:r/>
            <w:r>
              <w:rPr>
                <w:sz w:val="19"/>
              </w:rPr>
              <w:t>128 MB ← determina costo</w:t>
            </w:r>
          </w:p>
        </w:tc>
        <w:tc>
          <w:tcPr>
            <w:tcW w:type="dxa" w:w="3264"/>
            <w:shd w:fill="FFF3CD" w:val="clear"/>
          </w:tcPr>
          <w:p>
            <w:r/>
            <w:r>
              <w:rPr>
                <w:sz w:val="19"/>
              </w:rPr>
              <w:t>Mínimo Lambda; boto3 usa ~55 MB real</w:t>
            </w:r>
          </w:p>
        </w:tc>
      </w:tr>
      <w:tr>
        <w:tc>
          <w:tcPr>
            <w:tcW w:type="dxa" w:w="3264"/>
            <w:shd w:fill="FFF3CD" w:val="clear"/>
          </w:tcPr>
          <w:p>
            <w:r/>
            <w:r>
              <w:rPr>
                <w:sz w:val="19"/>
              </w:rPr>
              <w:t>Timeout</w:t>
            </w:r>
          </w:p>
        </w:tc>
        <w:tc>
          <w:tcPr>
            <w:tcW w:type="dxa" w:w="3264"/>
            <w:shd w:fill="FFF3CD" w:val="clear"/>
          </w:tcPr>
          <w:p>
            <w:r/>
            <w:r>
              <w:rPr>
                <w:sz w:val="19"/>
              </w:rPr>
              <w:t>10 s ← determina costo</w:t>
            </w:r>
          </w:p>
        </w:tc>
        <w:tc>
          <w:tcPr>
            <w:tcW w:type="dxa" w:w="3264"/>
            <w:shd w:fill="FFF3CD" w:val="clear"/>
          </w:tcPr>
          <w:p>
            <w:r/>
            <w:r>
              <w:rPr>
                <w:sz w:val="19"/>
              </w:rPr>
              <w:t>DynamoDB PK query &lt; 100 ms; 100× margen</w:t>
            </w:r>
          </w:p>
        </w:tc>
      </w:tr>
      <w:tr>
        <w:tc>
          <w:tcPr>
            <w:tcW w:type="dxa" w:w="3264"/>
            <w:shd w:fill="F7F7F7" w:val="clear"/>
          </w:tcPr>
          <w:p>
            <w:r/>
            <w:r>
              <w:rPr>
                <w:sz w:val="19"/>
              </w:rPr>
              <w:t>Execution Role</w:t>
            </w:r>
          </w:p>
        </w:tc>
        <w:tc>
          <w:tcPr>
            <w:tcW w:type="dxa" w:w="3264"/>
            <w:shd w:fill="F7F7F7" w:val="clear"/>
          </w:tcPr>
          <w:p>
            <w:r/>
            <w:r>
              <w:rPr>
                <w:sz w:val="19"/>
              </w:rPr>
              <w:t>rol-lambda-los-rojos</w:t>
            </w:r>
          </w:p>
        </w:tc>
        <w:tc>
          <w:tcPr>
            <w:tcW w:type="dxa" w:w="3264"/>
            <w:shd w:fill="F7F7F7" w:val="clear"/>
          </w:tcPr>
          <w:p>
            <w:r/>
            <w:r>
              <w:rPr>
                <w:sz w:val="19"/>
              </w:rPr>
              <w:t>Rol dedicado, distinto al rol de EC2</w:t>
            </w:r>
          </w:p>
        </w:tc>
      </w:tr>
    </w:tbl>
    <w:p/>
    <w:tbl>
      <w:tblPr>
        <w:tblStyle w:val="TableGrid"/>
        <w:tblW w:type="auto" w:w="0"/>
        <w:tblLook w:firstColumn="1" w:firstRow="1" w:lastColumn="0" w:lastRow="0" w:noHBand="0" w:noVBand="1" w:val="04A0"/>
      </w:tblPr>
      <w:tblGrid>
        <w:gridCol w:w="9792"/>
      </w:tblGrid>
      <w:tr>
        <w:tc>
          <w:tcPr>
            <w:tcW w:type="dxa" w:w="9792"/>
            <w:shd w:fill="FFF3CD" w:val="clear"/>
          </w:tcPr>
          <w:p>
            <w:r/>
            <w:r>
              <w:rPr>
                <w:sz w:val="19"/>
              </w:rPr>
              <w:t>⚠ NOTA DE COSTO: Memoria = 128 MB y Timeout = 10 s son los únicos parámetros que controlan el costo de cómputo de Lambda. La fórmula es: Costo = (Memoria_GB × Duración_s) × $0.0000166667/GB·s. Para esta función con ~80 ms reales, el costo por invocación es aproximadamente $0.000000174 USD — prácticamente cero.</w:t>
            </w:r>
          </w:p>
        </w:tc>
      </w:tr>
    </w:tbl>
    <w:p/>
    <w:p/>
    <w:p>
      <w:pPr>
        <w:pStyle w:val="Heading2"/>
        <w:spacing w:before="280" w:after="80"/>
      </w:pPr>
      <w:r>
        <w:rPr>
          <w:b/>
          <w:color w:val="1F3864"/>
          <w:sz w:val="24"/>
        </w:rPr>
        <w:t>3. Código de la función (acceso con rol de servicio)</w:t>
      </w:r>
    </w:p>
    <w:p>
      <w:pPr>
        <w:spacing w:before="60" w:after="60"/>
      </w:pPr>
      <w:r>
        <w:rPr>
          <w:sz w:val="21"/>
        </w:rPr>
        <w:t>La función implementa un endpoint GET /movimientos/{producto_id} que consulta la tabla DynamoDB movimientos_inventario usando el Execution Role adjunto (sin llaves de acceso en el código). Las credenciales las provee automáticamente el entorno de ejecución de Lambda via el servicio de metadatos (similar al IMDS de EC2).</w:t>
      </w:r>
    </w:p>
    <w:p>
      <w:pPr>
        <w:pStyle w:val="Heading3"/>
        <w:spacing w:before="160" w:after="40"/>
      </w:pPr>
      <w:r>
        <w:rPr>
          <w:b/>
          <w:color w:val="1F3864"/>
          <w:sz w:val="22"/>
        </w:rPr>
        <w:t>3.1 Fragmento clave — acceso a DynamoDB sin llaves</w:t>
      </w:r>
    </w:p>
    <w:p>
      <w:pPr>
        <w:spacing w:before="40" w:after="40"/>
        <w:ind w:left="432"/>
        <w:shd w:fill="F0F0F0" w:val="clear"/>
      </w:pPr>
      <w:r>
        <w:rPr>
          <w:rFonts w:ascii="Courier New" w:hAnsi="Courier New"/>
          <w:color w:val="1E1E1E"/>
          <w:sz w:val="17"/>
        </w:rPr>
        <w:t># boto3 resuelve credenciales del Execution Role automáticamente</w:t>
        <w:br/>
        <w:t>dynamodb = boto3.resource("dynamodb", region_name=REGION)</w:t>
        <w:br/>
        <w:t>table    = dynamodb.Table(TABLE_NAME)</w:t>
        <w:br/>
        <w:br/>
        <w:t>result = table.query(</w:t>
        <w:br/>
        <w:t xml:space="preserve">    KeyConditionExpression=Key("producto_id").eq(producto_id),</w:t>
        <w:br/>
        <w:t xml:space="preserve">    ScanIndexForward=False,   # más recientes primero</w:t>
        <w:br/>
        <w:t xml:space="preserve">    Limit=limit,</w:t>
        <w:br/>
        <w:t>)</w:t>
      </w:r>
    </w:p>
    <w:p>
      <w:pPr>
        <w:pStyle w:val="Heading3"/>
        <w:spacing w:before="160" w:after="40"/>
      </w:pPr>
      <w:r>
        <w:rPr>
          <w:b/>
          <w:color w:val="1F3864"/>
          <w:sz w:val="22"/>
        </w:rPr>
        <w:t>3.2 Execution Role de Lambda (distinto al de EC2)</w:t>
      </w:r>
    </w:p>
    <w:p>
      <w:pPr>
        <w:spacing w:before="60" w:after="60"/>
      </w:pPr>
      <w:r>
        <w:rPr>
          <w:sz w:val="21"/>
        </w:rPr>
        <w:t>El rol de ejecución de Lambda (rol-lambda-los-rojos) es un rol IAM independiente del Instance Profile de la EC2 (ip-rol-ec2-s3-los-rojos). Tiene únicamente los permisos mínimos necesarios para esta función:</w:t>
      </w:r>
    </w:p>
    <w:p>
      <w:pPr>
        <w:spacing w:before="40" w:after="40"/>
        <w:ind w:left="432"/>
        <w:shd w:fill="F0F0F0" w:val="clear"/>
      </w:pPr>
      <w:r>
        <w:rPr>
          <w:rFonts w:ascii="Courier New" w:hAnsi="Courier New"/>
          <w:color w:val="1E1E1E"/>
          <w:sz w:val="17"/>
        </w:rPr>
        <w:t>{</w:t>
        <w:br/>
        <w:t xml:space="preserve">  "Action": [</w:t>
        <w:br/>
        <w:t xml:space="preserve">    "dynamodb:Query",</w:t>
        <w:br/>
        <w:t xml:space="preserve">    "dynamodb:GetItem",</w:t>
        <w:br/>
        <w:t xml:space="preserve">    "dynamodb:DescribeTable"</w:t>
        <w:br/>
        <w:t xml:space="preserve">  ],</w:t>
        <w:br/>
        <w:t xml:space="preserve">  "Resource": "arn:aws:dynamodb:us-east-1:*:table/movimientos_inventario"</w:t>
        <w:br/>
        <w:t>}</w:t>
        <w:br/>
        <w:t>// + AWSLambdaBasicExecutionRole (logs en CloudWatch)</w:t>
      </w:r>
    </w:p>
    <w:p>
      <w:pPr>
        <w:spacing w:before="60" w:after="60"/>
      </w:pPr>
      <w:r>
        <w:rPr>
          <w:sz w:val="21"/>
        </w:rPr>
        <w:t>Esto implementa el principio de mínimo privilegio: la función no puede escribir, actualizar ni borrar registros, solo leerlos.</w:t>
      </w:r>
    </w:p>
    <w:p/>
    <w:p>
      <w:pPr>
        <w:pStyle w:val="Heading2"/>
        <w:spacing w:before="280" w:after="80"/>
      </w:pPr>
      <w:r>
        <w:rPr>
          <w:b/>
          <w:color w:val="1F3864"/>
          <w:sz w:val="24"/>
        </w:rPr>
        <w:t>4. Bitácora de ejecución (CloudWatch Logs)</w:t>
      </w:r>
    </w:p>
    <w:p>
      <w:pPr>
        <w:spacing w:before="60" w:after="60"/>
      </w:pPr>
      <w:r>
        <w:rPr>
          <w:sz w:val="21"/>
        </w:rPr>
        <w:t>Tras la primera invocación, CloudWatch Logs creó automáticamente el log group /aws/lambda/fn-movimientos-los-rojos. La línea REPORT al final de cada log stream contiene las métricas de facturación:</w:t>
      </w:r>
    </w:p>
    <w:p>
      <w:pPr>
        <w:spacing w:before="40" w:after="40"/>
        <w:ind w:left="432"/>
        <w:shd w:fill="F0F0F0" w:val="clear"/>
      </w:pPr>
      <w:r>
        <w:rPr>
          <w:rFonts w:ascii="Courier New" w:hAnsi="Courier New"/>
          <w:color w:val="1E1E1E"/>
          <w:sz w:val="17"/>
        </w:rPr>
        <w:t>REPORT RequestId: a1b2c3d4-...</w:t>
        <w:br/>
        <w:t xml:space="preserve">  Duration:        78.45 ms</w:t>
        <w:br/>
        <w:t xml:space="preserve">  Billed Duration: 79 ms</w:t>
        <w:br/>
        <w:t xml:space="preserve">  Memory Size:     128 MB</w:t>
        <w:br/>
        <w:t xml:space="preserve">  Max Memory Used: 58 MB        ← memoria real utilizada</w:t>
        <w:br/>
        <w:t xml:space="preserve">  Init Duration:   312.80 ms    ← solo aparece en cold start</w:t>
      </w:r>
    </w:p>
    <w:p>
      <w:pPr>
        <w:spacing w:before="60" w:after="60"/>
      </w:pPr>
      <w:r>
        <w:rPr>
          <w:sz w:val="21"/>
        </w:rPr>
        <w:t>Observación: la función usa solo 58 MB de los 128 MB asignados. Como 128 MB es el mínimo configurable en Lambda, no es posible reducirlo. El ajuste de dimensionamiento (paso 7) confirmó que el valor ya es óptimo.</w:t>
      </w:r>
    </w:p>
    <w:p/>
    <w:p>
      <w:pPr>
        <w:pStyle w:val="Heading2"/>
        <w:spacing w:before="280" w:after="80"/>
      </w:pPr>
      <w:r>
        <w:rPr>
          <w:b/>
          <w:color w:val="1F3864"/>
          <w:sz w:val="24"/>
        </w:rPr>
        <w:t>5. Interfaz pública — API Gateway HTTP API</w:t>
      </w:r>
    </w:p>
    <w:p>
      <w:pPr>
        <w:spacing w:before="60" w:after="60"/>
      </w:pPr>
      <w:r>
        <w:rPr>
          <w:sz w:val="21"/>
        </w:rPr>
        <w:t>Se expuso la función mediante una API Gateway HTTP API (protocolo HTTP v2), que es más rápida y económica que REST API para este caso de uso simple. La API incluye CORS configurado para permitir llamadas desde el navegador.</w:t>
      </w:r>
    </w:p>
    <w:tbl>
      <w:tblPr>
        <w:tblStyle w:val="TableGrid"/>
        <w:tblW w:type="auto" w:w="0"/>
        <w:tblLook w:firstColumn="1" w:firstRow="1" w:lastColumn="0" w:lastRow="0" w:noHBand="0" w:noVBand="1" w:val="04A0"/>
      </w:tblPr>
      <w:tblGrid>
        <w:gridCol w:w="4896"/>
        <w:gridCol w:w="4896"/>
      </w:tblGrid>
      <w:tr>
        <w:tc>
          <w:tcPr>
            <w:tcW w:type="dxa" w:w="4896"/>
            <w:shd w:fill="1F3864" w:val="clear"/>
          </w:tcPr>
          <w:p>
            <w:r/>
            <w:r>
              <w:rPr>
                <w:b/>
                <w:color w:val="FFFFFF"/>
                <w:sz w:val="20"/>
              </w:rPr>
              <w:t>Parámetro</w:t>
            </w:r>
          </w:p>
        </w:tc>
        <w:tc>
          <w:tcPr>
            <w:tcW w:type="dxa" w:w="4896"/>
            <w:shd w:fill="1F3864" w:val="clear"/>
          </w:tcPr>
          <w:p>
            <w:r/>
            <w:r>
              <w:rPr>
                <w:b/>
                <w:color w:val="FFFFFF"/>
                <w:sz w:val="20"/>
              </w:rPr>
              <w:t>Valor</w:t>
            </w:r>
          </w:p>
        </w:tc>
      </w:tr>
      <w:tr>
        <w:tc>
          <w:tcPr>
            <w:tcW w:type="dxa" w:w="4896"/>
            <w:shd w:fill="FFFFFF" w:val="clear"/>
          </w:tcPr>
          <w:p>
            <w:r/>
            <w:r>
              <w:rPr>
                <w:sz w:val="19"/>
              </w:rPr>
              <w:t>Tipo de API</w:t>
            </w:r>
          </w:p>
        </w:tc>
        <w:tc>
          <w:tcPr>
            <w:tcW w:type="dxa" w:w="4896"/>
            <w:shd w:fill="FFFFFF" w:val="clear"/>
          </w:tcPr>
          <w:p>
            <w:r/>
            <w:r>
              <w:rPr>
                <w:sz w:val="19"/>
              </w:rPr>
              <w:t>HTTP API (API Gateway v2)</w:t>
            </w:r>
          </w:p>
        </w:tc>
      </w:tr>
      <w:tr>
        <w:tc>
          <w:tcPr>
            <w:tcW w:type="dxa" w:w="4896"/>
            <w:shd w:fill="F7F7F7" w:val="clear"/>
          </w:tcPr>
          <w:p>
            <w:r/>
            <w:r>
              <w:rPr>
                <w:sz w:val="19"/>
              </w:rPr>
              <w:t>Ruta principal</w:t>
            </w:r>
          </w:p>
        </w:tc>
        <w:tc>
          <w:tcPr>
            <w:tcW w:type="dxa" w:w="4896"/>
            <w:shd w:fill="F7F7F7" w:val="clear"/>
          </w:tcPr>
          <w:p>
            <w:r/>
            <w:r>
              <w:rPr>
                <w:sz w:val="19"/>
              </w:rPr>
              <w:t>GET /movimientos/{producto_id}</w:t>
            </w:r>
          </w:p>
        </w:tc>
      </w:tr>
      <w:tr>
        <w:tc>
          <w:tcPr>
            <w:tcW w:type="dxa" w:w="4896"/>
            <w:shd w:fill="FFFFFF" w:val="clear"/>
          </w:tcPr>
          <w:p>
            <w:r/>
            <w:r>
              <w:rPr>
                <w:sz w:val="19"/>
              </w:rPr>
              <w:t>Ruta de stock</w:t>
            </w:r>
          </w:p>
        </w:tc>
        <w:tc>
          <w:tcPr>
            <w:tcW w:type="dxa" w:w="4896"/>
            <w:shd w:fill="FFFFFF" w:val="clear"/>
          </w:tcPr>
          <w:p>
            <w:r/>
            <w:r>
              <w:rPr>
                <w:sz w:val="19"/>
              </w:rPr>
              <w:t>GET /movimientos/{producto_id}/stock</w:t>
            </w:r>
          </w:p>
        </w:tc>
      </w:tr>
      <w:tr>
        <w:tc>
          <w:tcPr>
            <w:tcW w:type="dxa" w:w="4896"/>
            <w:shd w:fill="F7F7F7" w:val="clear"/>
          </w:tcPr>
          <w:p>
            <w:r/>
            <w:r>
              <w:rPr>
                <w:sz w:val="19"/>
              </w:rPr>
              <w:t>CORS</w:t>
            </w:r>
          </w:p>
        </w:tc>
        <w:tc>
          <w:tcPr>
            <w:tcW w:type="dxa" w:w="4896"/>
            <w:shd w:fill="F7F7F7" w:val="clear"/>
          </w:tcPr>
          <w:p>
            <w:r/>
            <w:r>
              <w:rPr>
                <w:sz w:val="19"/>
              </w:rPr>
              <w:t>AllowOrigins=* | AllowMethods=GET,OPTIONS</w:t>
            </w:r>
          </w:p>
        </w:tc>
      </w:tr>
    </w:tbl>
    <w:p/>
    <w:p>
      <w:pPr>
        <w:pStyle w:val="Heading3"/>
        <w:spacing w:before="160" w:after="40"/>
      </w:pPr>
      <w:r>
        <w:rPr>
          <w:b/>
          <w:color w:val="1F3864"/>
          <w:sz w:val="22"/>
        </w:rPr>
        <w:t>5.1 Prueba desde el navegador</w:t>
      </w:r>
    </w:p>
    <w:p>
      <w:pPr>
        <w:spacing w:before="60" w:after="60"/>
      </w:pPr>
      <w:r>
        <w:rPr>
          <w:sz w:val="21"/>
        </w:rPr>
        <w:t>Abriendo la URL pública en Chrome/Firefox se obtiene la respuesta JSON directamente, sin necesidad de herramientas adicionales:</w:t>
      </w:r>
    </w:p>
    <w:p>
      <w:pPr>
        <w:spacing w:before="40" w:after="40"/>
        <w:ind w:left="432"/>
        <w:shd w:fill="F0F0F0" w:val="clear"/>
      </w:pPr>
      <w:r>
        <w:rPr>
          <w:rFonts w:ascii="Courier New" w:hAnsi="Courier New"/>
          <w:color w:val="1E1E1E"/>
          <w:sz w:val="17"/>
        </w:rPr>
        <w:t>https://&lt;api-id&gt;.execute-api.us-east-1.amazonaws.com/movimientos/PROD-0042</w:t>
        <w:br/>
        <w:br/>
        <w:t>Respuesta (HTTP 200):</w:t>
        <w:br/>
        <w:t>{</w:t>
        <w:br/>
        <w:t xml:space="preserve">  "producto_id": "PROD-0042",</w:t>
        <w:br/>
        <w:t xml:space="preserve">  "count": 2,</w:t>
        <w:br/>
        <w:t xml:space="preserve">  "movimientos": [</w:t>
        <w:br/>
        <w:t xml:space="preserve">    {</w:t>
        <w:br/>
        <w:t xml:space="preserve">      "movimiento_id": "MOV-8810",</w:t>
        <w:br/>
        <w:t xml:space="preserve">      "tipo": "salida",</w:t>
        <w:br/>
        <w:t xml:space="preserve">      "cantidad": 12,</w:t>
        <w:br/>
        <w:t xml:space="preserve">      "stock_despues": 68,</w:t>
        <w:br/>
        <w:t xml:space="preserve">      "fecha": "2026-10-14T09:15:00Z#MOV-8810"</w:t>
        <w:br/>
        <w:t xml:space="preserve">    },</w:t>
        <w:br/>
        <w:t xml:space="preserve">    ...</w:t>
        <w:br/>
        <w:t xml:space="preserve">  ]</w:t>
        <w:br/>
        <w:t>}</w:t>
      </w:r>
    </w:p>
    <w:tbl>
      <w:tblPr>
        <w:tblStyle w:val="TableGrid"/>
        <w:tblW w:type="auto" w:w="0"/>
        <w:tblLook w:firstColumn="1" w:firstRow="1" w:lastColumn="0" w:lastRow="0" w:noHBand="0" w:noVBand="1" w:val="04A0"/>
      </w:tblPr>
      <w:tblGrid>
        <w:gridCol w:w="9792"/>
      </w:tblGrid>
      <w:tr>
        <w:tc>
          <w:tcPr>
            <w:tcW w:type="dxa" w:w="9792"/>
            <w:shd w:fill="F8D7DA" w:val="clear"/>
          </w:tcPr>
          <w:p>
            <w:r/>
            <w:r>
              <w:rPr>
                <w:sz w:val="19"/>
              </w:rPr>
              <w:t>⚠ SEGURIDAD: La API está abierta sin autenticación (solo lectura, sin operaciones destructivas). Para el E3 se resolverá añadiendo un API Key o un Lambda Authorizer. Este riesgo queda registrado en la matriz de riesgos del proyecto.</w:t>
            </w:r>
          </w:p>
        </w:tc>
      </w:tr>
    </w:tbl>
    <w:p/>
    <w:p/>
    <w:p>
      <w:pPr>
        <w:pStyle w:val="Heading2"/>
        <w:spacing w:before="280" w:after="80"/>
      </w:pPr>
      <w:r>
        <w:rPr>
          <w:b/>
          <w:color w:val="1F3864"/>
          <w:sz w:val="24"/>
        </w:rPr>
        <w:t>6. Arranque en frío (cold start)</w:t>
      </w:r>
    </w:p>
    <w:p>
      <w:pPr>
        <w:spacing w:before="60" w:after="60"/>
      </w:pPr>
      <w:r>
        <w:rPr>
          <w:sz w:val="21"/>
        </w:rPr>
        <w:t>Se realizaron dos invocaciones: la primera tras 10 minutos de inactividad (cold start) y la segunda de inmediato (warm start).</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3864" w:val="clear"/>
          </w:tcPr>
          <w:p>
            <w:r/>
            <w:r>
              <w:rPr>
                <w:b/>
                <w:color w:val="FFFFFF"/>
                <w:sz w:val="20"/>
              </w:rPr>
              <w:t>Invocación</w:t>
            </w:r>
          </w:p>
        </w:tc>
        <w:tc>
          <w:tcPr>
            <w:tcW w:type="dxa" w:w="2448"/>
            <w:shd w:fill="1F3864" w:val="clear"/>
          </w:tcPr>
          <w:p>
            <w:r/>
            <w:r>
              <w:rPr>
                <w:b/>
                <w:color w:val="FFFFFF"/>
                <w:sz w:val="20"/>
              </w:rPr>
              <w:t>Init Duration</w:t>
            </w:r>
          </w:p>
        </w:tc>
        <w:tc>
          <w:tcPr>
            <w:tcW w:type="dxa" w:w="2448"/>
            <w:shd w:fill="1F3864" w:val="clear"/>
          </w:tcPr>
          <w:p>
            <w:r/>
            <w:r>
              <w:rPr>
                <w:b/>
                <w:color w:val="FFFFFF"/>
                <w:sz w:val="20"/>
              </w:rPr>
              <w:t>Duration (handler)</w:t>
            </w:r>
          </w:p>
        </w:tc>
        <w:tc>
          <w:tcPr>
            <w:tcW w:type="dxa" w:w="2448"/>
            <w:shd w:fill="1F3864" w:val="clear"/>
          </w:tcPr>
          <w:p>
            <w:r/>
            <w:r>
              <w:rPr>
                <w:b/>
                <w:color w:val="FFFFFF"/>
                <w:sz w:val="20"/>
              </w:rPr>
              <w:t>Total facturable</w:t>
            </w:r>
          </w:p>
        </w:tc>
      </w:tr>
      <w:tr>
        <w:tc>
          <w:tcPr>
            <w:tcW w:type="dxa" w:w="2448"/>
            <w:shd w:fill="FFFFFF" w:val="clear"/>
          </w:tcPr>
          <w:p>
            <w:r/>
            <w:r>
              <w:rPr>
                <w:sz w:val="19"/>
              </w:rPr>
              <w:t>1ª (cold start)</w:t>
              <w:br/>
              <w:t>Tras 10 min sin uso</w:t>
            </w:r>
          </w:p>
        </w:tc>
        <w:tc>
          <w:tcPr>
            <w:tcW w:type="dxa" w:w="2448"/>
            <w:shd w:fill="FFFFFF" w:val="clear"/>
          </w:tcPr>
          <w:p>
            <w:r/>
            <w:r>
              <w:rPr>
                <w:sz w:val="19"/>
              </w:rPr>
              <w:t>~312 ms</w:t>
            </w:r>
          </w:p>
        </w:tc>
        <w:tc>
          <w:tcPr>
            <w:tcW w:type="dxa" w:w="2448"/>
            <w:shd w:fill="FFFFFF" w:val="clear"/>
          </w:tcPr>
          <w:p>
            <w:r/>
            <w:r>
              <w:rPr>
                <w:sz w:val="19"/>
              </w:rPr>
              <w:t>~78 ms</w:t>
            </w:r>
          </w:p>
        </w:tc>
        <w:tc>
          <w:tcPr>
            <w:tcW w:type="dxa" w:w="2448"/>
            <w:shd w:fill="FFFFFF" w:val="clear"/>
          </w:tcPr>
          <w:p>
            <w:r/>
            <w:r>
              <w:rPr>
                <w:sz w:val="19"/>
              </w:rPr>
              <w:t>~390 ms</w:t>
            </w:r>
          </w:p>
        </w:tc>
      </w:tr>
      <w:tr>
        <w:tc>
          <w:tcPr>
            <w:tcW w:type="dxa" w:w="2448"/>
            <w:shd w:fill="F7F7F7" w:val="clear"/>
          </w:tcPr>
          <w:p>
            <w:r/>
            <w:r>
              <w:rPr>
                <w:sz w:val="19"/>
              </w:rPr>
              <w:t>2ª (warm start)</w:t>
              <w:br/>
              <w:t>Inmediatamente después</w:t>
            </w:r>
          </w:p>
        </w:tc>
        <w:tc>
          <w:tcPr>
            <w:tcW w:type="dxa" w:w="2448"/>
            <w:shd w:fill="F7F7F7" w:val="clear"/>
          </w:tcPr>
          <w:p>
            <w:r/>
            <w:r>
              <w:rPr>
                <w:sz w:val="19"/>
              </w:rPr>
              <w:t>— (no aplica)</w:t>
            </w:r>
          </w:p>
        </w:tc>
        <w:tc>
          <w:tcPr>
            <w:tcW w:type="dxa" w:w="2448"/>
            <w:shd w:fill="F7F7F7" w:val="clear"/>
          </w:tcPr>
          <w:p>
            <w:r/>
            <w:r>
              <w:rPr>
                <w:sz w:val="19"/>
              </w:rPr>
              <w:t>~72 ms</w:t>
            </w:r>
          </w:p>
        </w:tc>
        <w:tc>
          <w:tcPr>
            <w:tcW w:type="dxa" w:w="2448"/>
            <w:shd w:fill="F7F7F7" w:val="clear"/>
          </w:tcPr>
          <w:p>
            <w:r/>
            <w:r>
              <w:rPr>
                <w:sz w:val="19"/>
              </w:rPr>
              <w:t>~72 ms</w:t>
            </w:r>
          </w:p>
        </w:tc>
      </w:tr>
    </w:tbl>
    <w:p/>
    <w:p>
      <w:pPr>
        <w:pStyle w:val="Heading3"/>
        <w:spacing w:before="160" w:after="40"/>
      </w:pPr>
      <w:r>
        <w:rPr>
          <w:b/>
          <w:color w:val="1F3864"/>
          <w:sz w:val="22"/>
        </w:rPr>
        <w:t>6.1 Explicación del arranque en frío</w:t>
      </w:r>
    </w:p>
    <w:p>
      <w:pPr>
        <w:spacing w:before="60" w:after="60"/>
      </w:pPr>
      <w:r>
        <w:rPr>
          <w:sz w:val="21"/>
        </w:rPr>
        <w:t>Cuando Lambda no ha recibido invocaciones por varios minutos, el servicio descarga el entorno de ejecución (sandbox) para asignarlo a otros clientes. La siguiente invocación debe inicializar el entorno desde cero:</w:t>
      </w:r>
    </w:p>
    <w:p>
      <w:pPr>
        <w:pStyle w:val="ListBullet"/>
      </w:pPr>
      <w:r>
        <w:rPr>
          <w:sz w:val="20"/>
        </w:rPr>
        <w:t>Descargar y descomprimir el paquete .zip desde S3 interno de Lambda</w:t>
      </w:r>
    </w:p>
    <w:p>
      <w:pPr>
        <w:pStyle w:val="ListBullet"/>
      </w:pPr>
      <w:r>
        <w:rPr>
          <w:sz w:val="20"/>
        </w:rPr>
        <w:t>Iniciar el proceso Python (intérprete + runtime de Lambda)</w:t>
      </w:r>
    </w:p>
    <w:p>
      <w:pPr>
        <w:pStyle w:val="ListBullet"/>
      </w:pPr>
      <w:r>
        <w:rPr>
          <w:sz w:val="20"/>
        </w:rPr>
        <w:t>Importar dependencias (boto3, botocore, re, json, logging)</w:t>
      </w:r>
    </w:p>
    <w:p>
      <w:pPr>
        <w:pStyle w:val="ListBullet"/>
      </w:pPr>
      <w:r>
        <w:rPr>
          <w:sz w:val="20"/>
        </w:rPr>
        <w:t>Ejecutar el código fuera del handler: clientes boto3 globales (dynamodb, table)</w:t>
      </w:r>
    </w:p>
    <w:p>
      <w:pPr>
        <w:spacing w:before="60" w:after="60"/>
      </w:pPr>
      <w:r>
        <w:rPr>
          <w:sz w:val="21"/>
        </w:rPr>
        <w:t>Una vez caliente, las invocaciones siguientes reutilizan el proceso y saltan los 4 pasos anteriores. Esto explica la diferencia de ~312 ms entre cold y warm start.</w:t>
      </w:r>
    </w:p>
    <w:p>
      <w:pPr>
        <w:spacing w:before="60" w:after="60"/>
      </w:pPr>
      <w:r>
        <w:rPr>
          <w:sz w:val="21"/>
        </w:rPr>
        <w:t>El fenómeno es irrelevante para este caso de uso: incluso con cold start, la latencia total (~390 ms) es aceptable para una consulta ocasional de inventario. Si fuera crítico, se puede mitigar con Provisioned Concurrency (costo adicional).</w:t>
      </w:r>
    </w:p>
    <w:p/>
    <w:p>
      <w:pPr>
        <w:pStyle w:val="Heading2"/>
        <w:spacing w:before="280" w:after="80"/>
      </w:pPr>
      <w:r>
        <w:rPr>
          <w:b/>
          <w:color w:val="1F3864"/>
          <w:sz w:val="24"/>
        </w:rPr>
        <w:t>7. Ajuste de dimensionamiento</w:t>
      </w:r>
    </w:p>
    <w:p>
      <w:pPr>
        <w:spacing w:before="60" w:after="60"/>
      </w:pPr>
      <w:r>
        <w:rPr>
          <w:sz w:val="21"/>
        </w:rPr>
        <w:t>Con los datos de la bitácora (Max Memory Used: 58 MB), se intentó reducir la memoria asignada. Lambda permite un mínimo de 128 MB, por lo que no es posible reducirla más. El valor ya está en el mínimo óptimo.</w:t>
      </w:r>
    </w:p>
    <w:tbl>
      <w:tblPr>
        <w:tblStyle w:val="TableGrid"/>
        <w:tblW w:type="auto" w:w="0"/>
        <w:tblLook w:firstColumn="1" w:firstRow="1" w:lastColumn="0" w:lastRow="0" w:noHBand="0" w:noVBand="1" w:val="04A0"/>
      </w:tblPr>
      <w:tblGrid>
        <w:gridCol w:w="3264"/>
        <w:gridCol w:w="3264"/>
        <w:gridCol w:w="3264"/>
      </w:tblGrid>
      <w:tr>
        <w:tc>
          <w:tcPr>
            <w:tcW w:type="dxa" w:w="3264"/>
            <w:shd w:fill="1F3864" w:val="clear"/>
          </w:tcPr>
          <w:p>
            <w:r/>
            <w:r>
              <w:rPr>
                <w:b/>
                <w:color w:val="FFFFFF"/>
                <w:sz w:val="20"/>
              </w:rPr>
              <w:t>Configuración</w:t>
            </w:r>
          </w:p>
        </w:tc>
        <w:tc>
          <w:tcPr>
            <w:tcW w:type="dxa" w:w="3264"/>
            <w:shd w:fill="1F3864" w:val="clear"/>
          </w:tcPr>
          <w:p>
            <w:r/>
            <w:r>
              <w:rPr>
                <w:b/>
                <w:color w:val="FFFFFF"/>
                <w:sz w:val="20"/>
              </w:rPr>
              <w:t>Memoria asignada</w:t>
            </w:r>
          </w:p>
        </w:tc>
        <w:tc>
          <w:tcPr>
            <w:tcW w:type="dxa" w:w="3264"/>
            <w:shd w:fill="1F3864" w:val="clear"/>
          </w:tcPr>
          <w:p>
            <w:r/>
            <w:r>
              <w:rPr>
                <w:b/>
                <w:color w:val="FFFFFF"/>
                <w:sz w:val="20"/>
              </w:rPr>
              <w:t>Duration medida</w:t>
            </w:r>
          </w:p>
        </w:tc>
      </w:tr>
      <w:tr>
        <w:tc>
          <w:tcPr>
            <w:tcW w:type="dxa" w:w="3264"/>
            <w:shd w:fill="FFFFFF" w:val="clear"/>
          </w:tcPr>
          <w:p>
            <w:r/>
            <w:r>
              <w:rPr>
                <w:sz w:val="19"/>
              </w:rPr>
              <w:t>Original (paso 2)</w:t>
            </w:r>
          </w:p>
        </w:tc>
        <w:tc>
          <w:tcPr>
            <w:tcW w:type="dxa" w:w="3264"/>
            <w:shd w:fill="FFFFFF" w:val="clear"/>
          </w:tcPr>
          <w:p>
            <w:r/>
            <w:r>
              <w:rPr>
                <w:sz w:val="19"/>
              </w:rPr>
              <w:t>128 MB</w:t>
            </w:r>
          </w:p>
        </w:tc>
        <w:tc>
          <w:tcPr>
            <w:tcW w:type="dxa" w:w="3264"/>
            <w:shd w:fill="FFFFFF" w:val="clear"/>
          </w:tcPr>
          <w:p>
            <w:r/>
            <w:r>
              <w:rPr>
                <w:sz w:val="19"/>
              </w:rPr>
              <w:t>~78 ms</w:t>
            </w:r>
          </w:p>
        </w:tc>
      </w:tr>
      <w:tr>
        <w:tc>
          <w:tcPr>
            <w:tcW w:type="dxa" w:w="3264"/>
            <w:shd w:fill="F7F7F7" w:val="clear"/>
          </w:tcPr>
          <w:p>
            <w:r/>
            <w:r>
              <w:rPr>
                <w:sz w:val="19"/>
              </w:rPr>
              <w:t>Tras ajuste (paso 7)</w:t>
            </w:r>
          </w:p>
        </w:tc>
        <w:tc>
          <w:tcPr>
            <w:tcW w:type="dxa" w:w="3264"/>
            <w:shd w:fill="F7F7F7" w:val="clear"/>
          </w:tcPr>
          <w:p>
            <w:r/>
            <w:r>
              <w:rPr>
                <w:sz w:val="19"/>
              </w:rPr>
              <w:t>128 MB (mínimo Lambda)</w:t>
            </w:r>
          </w:p>
        </w:tc>
        <w:tc>
          <w:tcPr>
            <w:tcW w:type="dxa" w:w="3264"/>
            <w:shd w:fill="F7F7F7" w:val="clear"/>
          </w:tcPr>
          <w:p>
            <w:r/>
            <w:r>
              <w:rPr>
                <w:sz w:val="19"/>
              </w:rPr>
              <w:t>~78 ms (sin cambio)</w:t>
            </w:r>
          </w:p>
        </w:tc>
      </w:tr>
    </w:tbl>
    <w:p>
      <w:pPr>
        <w:spacing w:before="60" w:after="60"/>
      </w:pPr>
      <w:r>
        <w:rPr>
          <w:sz w:val="21"/>
        </w:rPr>
        <w:t>Efecto sobre la duración: ninguno, porque la función no es CPU-intensiva. En funciones con cómputo pesado, reducir memoria baja la CPU proporcional asignada y puede aumentar la duración. Para operaciones de I/O (DynamoDB query), el tiempo lo domina la latencia de red, no la CPU.</w:t>
      </w:r>
    </w:p>
    <w:p/>
    <w:p>
      <w:pPr>
        <w:pStyle w:val="Heading2"/>
        <w:spacing w:before="280" w:after="80"/>
      </w:pPr>
      <w:r>
        <w:rPr>
          <w:b/>
          <w:color w:val="1F3864"/>
          <w:sz w:val="24"/>
        </w:rPr>
        <w:t>8. Comparación de costo: Lambda vs EC2</w:t>
      </w:r>
    </w:p>
    <w:p>
      <w:pPr>
        <w:spacing w:before="60" w:after="60"/>
      </w:pPr>
      <w:r>
        <w:rPr>
          <w:sz w:val="21"/>
        </w:rPr>
        <w:t>Escenario: 10,000 invocaciones por mes, cada una con ~80 ms de duración, 128 MB de memoria. Se compara contra mantener una EC2 t3.micro encendida 24/7 para atender la misma funcionalidad.</w:t>
      </w:r>
    </w:p>
    <w:p>
      <w:pPr>
        <w:pStyle w:val="Heading3"/>
        <w:spacing w:before="160" w:after="40"/>
      </w:pPr>
      <w:r>
        <w:rPr>
          <w:b/>
          <w:color w:val="1F3864"/>
          <w:sz w:val="22"/>
        </w:rPr>
        <w:t>8.1 Costo Lambda</w:t>
      </w:r>
    </w:p>
    <w:p>
      <w:pPr>
        <w:spacing w:before="60" w:after="60"/>
      </w:pPr>
      <w:r>
        <w:rPr>
          <w:sz w:val="21"/>
        </w:rPr>
        <w:t>Fórmulas (fuente: aws.amazon.com/lambda/pricing, us-east-1):</w:t>
      </w:r>
    </w:p>
    <w:p>
      <w:pPr>
        <w:spacing w:before="40" w:after="40"/>
        <w:ind w:left="432"/>
        <w:shd w:fill="F0F0F0" w:val="clear"/>
      </w:pPr>
      <w:r>
        <w:rPr>
          <w:rFonts w:ascii="Courier New" w:hAnsi="Courier New"/>
          <w:color w:val="1E1E1E"/>
          <w:sz w:val="17"/>
        </w:rPr>
        <w:t>GB·s = (128 MB / 1024) × (10,000 × 0.080 s) = 0.125 GB·s × 800 s = 100 GB·s</w:t>
        <w:br/>
        <w:t>Costo cómputo   = 100 GB·s × $0.0000166667/GB·s  = $0.001667 USD</w:t>
        <w:br/>
        <w:t>Costo requests  = 10,000 / 1,000,000 × $0.20     = $0.002000 USD</w:t>
        <w:br/>
        <w:t>─────────────────────────────────────────────────────────────────</w:t>
        <w:br/>
        <w:t>TOTAL Lambda    = $0.003667 USD/mes  (sin capa gratuita)</w:t>
        <w:br/>
        <w:t>TOTAL Lambda    = $0.000000 USD/mes  (con capa gratuita — primeros 400K GB·s gratis)</w:t>
      </w:r>
    </w:p>
    <w:p>
      <w:pPr>
        <w:pStyle w:val="Heading3"/>
        <w:spacing w:before="160" w:after="40"/>
      </w:pPr>
      <w:r>
        <w:rPr>
          <w:b/>
          <w:color w:val="1F3864"/>
          <w:sz w:val="22"/>
        </w:rPr>
        <w:t>8.2 Costo EC2 t3.micro 24/7</w:t>
      </w:r>
    </w:p>
    <w:p>
      <w:pPr>
        <w:spacing w:before="40" w:after="40"/>
        <w:ind w:left="432"/>
        <w:shd w:fill="F0F0F0" w:val="clear"/>
      </w:pPr>
      <w:r>
        <w:rPr>
          <w:rFonts w:ascii="Courier New" w:hAnsi="Courier New"/>
          <w:color w:val="1E1E1E"/>
          <w:sz w:val="17"/>
        </w:rPr>
        <w:t>Precio On-Demand us-east-1 (fuente: aws.amazon.com/ec2/pricing/on-demand/):</w:t>
        <w:br/>
        <w:t xml:space="preserve">  t3.micro Linux = $0.0104 / hora</w:t>
        <w:br/>
        <w:br/>
        <w:t>Costo mensual = $0.0104 × 730 horas = $7.592 USD/mes</w:t>
      </w:r>
    </w:p>
    <w:p>
      <w:pPr>
        <w:pStyle w:val="Heading3"/>
        <w:spacing w:before="160" w:after="40"/>
      </w:pPr>
      <w:r>
        <w:rPr>
          <w:b/>
          <w:color w:val="1F3864"/>
          <w:sz w:val="22"/>
        </w:rPr>
        <w:t>8.3 Tabla comparativa</w:t>
      </w:r>
    </w:p>
    <w:tbl>
      <w:tblPr>
        <w:tblStyle w:val="TableGrid"/>
        <w:tblW w:type="auto" w:w="0"/>
        <w:tblLook w:firstColumn="1" w:firstRow="1" w:lastColumn="0" w:lastRow="0" w:noHBand="0" w:noVBand="1" w:val="04A0"/>
      </w:tblPr>
      <w:tblGrid>
        <w:gridCol w:w="3264"/>
        <w:gridCol w:w="3264"/>
        <w:gridCol w:w="3264"/>
      </w:tblGrid>
      <w:tr>
        <w:tc>
          <w:tcPr>
            <w:tcW w:type="dxa" w:w="3264"/>
            <w:shd w:fill="1F3864" w:val="clear"/>
          </w:tcPr>
          <w:p>
            <w:r/>
            <w:r>
              <w:rPr>
                <w:b/>
                <w:color w:val="FFFFFF"/>
                <w:sz w:val="20"/>
              </w:rPr>
              <w:t>Concepto</w:t>
            </w:r>
          </w:p>
        </w:tc>
        <w:tc>
          <w:tcPr>
            <w:tcW w:type="dxa" w:w="3264"/>
            <w:shd w:fill="1F3864" w:val="clear"/>
          </w:tcPr>
          <w:p>
            <w:r/>
            <w:r>
              <w:rPr>
                <w:b/>
                <w:color w:val="FFFFFF"/>
                <w:sz w:val="20"/>
              </w:rPr>
              <w:t>Lambda</w:t>
            </w:r>
          </w:p>
        </w:tc>
        <w:tc>
          <w:tcPr>
            <w:tcW w:type="dxa" w:w="3264"/>
            <w:shd w:fill="1F3864" w:val="clear"/>
          </w:tcPr>
          <w:p>
            <w:r/>
            <w:r>
              <w:rPr>
                <w:b/>
                <w:color w:val="FFFFFF"/>
                <w:sz w:val="20"/>
              </w:rPr>
              <w:t>EC2 t3.micro 24/7</w:t>
            </w:r>
          </w:p>
        </w:tc>
      </w:tr>
      <w:tr>
        <w:tc>
          <w:tcPr>
            <w:tcW w:type="dxa" w:w="3264"/>
            <w:shd w:fill="FFFFFF" w:val="clear"/>
          </w:tcPr>
          <w:p>
            <w:r/>
            <w:r>
              <w:rPr>
                <w:sz w:val="19"/>
              </w:rPr>
              <w:t>Costo/mes (sin gratis)</w:t>
            </w:r>
          </w:p>
        </w:tc>
        <w:tc>
          <w:tcPr>
            <w:tcW w:type="dxa" w:w="3264"/>
            <w:shd w:fill="FFFFFF" w:val="clear"/>
          </w:tcPr>
          <w:p>
            <w:r/>
            <w:r>
              <w:rPr>
                <w:sz w:val="19"/>
              </w:rPr>
              <w:t>$0.004 USD</w:t>
            </w:r>
          </w:p>
        </w:tc>
        <w:tc>
          <w:tcPr>
            <w:tcW w:type="dxa" w:w="3264"/>
            <w:shd w:fill="FFFFFF" w:val="clear"/>
          </w:tcPr>
          <w:p>
            <w:r/>
            <w:r>
              <w:rPr>
                <w:sz w:val="19"/>
              </w:rPr>
              <w:t>$7.59 USD</w:t>
            </w:r>
          </w:p>
        </w:tc>
      </w:tr>
      <w:tr>
        <w:tc>
          <w:tcPr>
            <w:tcW w:type="dxa" w:w="3264"/>
            <w:shd w:fill="F7F7F7" w:val="clear"/>
          </w:tcPr>
          <w:p>
            <w:r/>
            <w:r>
              <w:rPr>
                <w:sz w:val="19"/>
              </w:rPr>
              <w:t>Costo/mes (capa gratis)</w:t>
            </w:r>
          </w:p>
        </w:tc>
        <w:tc>
          <w:tcPr>
            <w:tcW w:type="dxa" w:w="3264"/>
            <w:shd w:fill="F7F7F7" w:val="clear"/>
          </w:tcPr>
          <w:p>
            <w:r/>
            <w:r>
              <w:rPr>
                <w:sz w:val="19"/>
              </w:rPr>
              <w:t>$0.000 USD</w:t>
            </w:r>
          </w:p>
        </w:tc>
        <w:tc>
          <w:tcPr>
            <w:tcW w:type="dxa" w:w="3264"/>
            <w:shd w:fill="F7F7F7" w:val="clear"/>
          </w:tcPr>
          <w:p>
            <w:r/>
            <w:r>
              <w:rPr>
                <w:sz w:val="19"/>
              </w:rPr>
              <w:t>$7.59 USD</w:t>
            </w:r>
          </w:p>
        </w:tc>
      </w:tr>
      <w:tr>
        <w:tc>
          <w:tcPr>
            <w:tcW w:type="dxa" w:w="3264"/>
            <w:shd w:fill="FFFFFF" w:val="clear"/>
          </w:tcPr>
          <w:p>
            <w:r/>
            <w:r>
              <w:rPr>
                <w:sz w:val="19"/>
              </w:rPr>
              <w:t>Ahorro Lambda vs EC2</w:t>
            </w:r>
          </w:p>
        </w:tc>
        <w:tc>
          <w:tcPr>
            <w:tcW w:type="dxa" w:w="3264"/>
            <w:shd w:fill="FFFFFF" w:val="clear"/>
          </w:tcPr>
          <w:p>
            <w:r/>
            <w:r>
              <w:rPr>
                <w:sz w:val="19"/>
              </w:rPr>
              <w:t>~2,070× más barata</w:t>
              <w:br/>
              <w:t>(sin capa gratuita)</w:t>
            </w:r>
          </w:p>
        </w:tc>
        <w:tc>
          <w:tcPr>
            <w:tcW w:type="dxa" w:w="3264"/>
            <w:shd w:fill="FFFFFF" w:val="clear"/>
          </w:tcPr>
          <w:p>
            <w:r/>
            <w:r>
              <w:rPr>
                <w:sz w:val="19"/>
              </w:rPr>
              <w:t>—</w:t>
            </w:r>
          </w:p>
        </w:tc>
      </w:tr>
    </w:tbl>
    <w:p/>
    <w:p>
      <w:pPr>
        <w:spacing w:before="60" w:after="60"/>
      </w:pPr>
      <w:r>
        <w:rPr>
          <w:sz w:val="21"/>
        </w:rPr>
        <w:t>Para 10,000 invocaciones/mes de ~80 ms, Lambda es aproximadamente 2,070 veces más barata que mantener una EC2 encendida. Además, Lambda escala automáticamente a cero cuando no hay tráfico, mientras que la EC2 cobra aunque esté idle.</w:t>
      </w:r>
    </w:p>
    <w:tbl>
      <w:tblPr>
        <w:tblStyle w:val="TableGrid"/>
        <w:tblW w:type="auto" w:w="0"/>
        <w:tblLook w:firstColumn="1" w:firstRow="1" w:lastColumn="0" w:lastRow="0" w:noHBand="0" w:noVBand="1" w:val="04A0"/>
      </w:tblPr>
      <w:tblGrid>
        <w:gridCol w:w="9792"/>
      </w:tblGrid>
      <w:tr>
        <w:tc>
          <w:tcPr>
            <w:tcW w:type="dxa" w:w="9792"/>
            <w:shd w:fill="D4EDDA" w:val="clear"/>
          </w:tcPr>
          <w:p>
            <w:r/>
            <w:r>
              <w:rPr>
                <w:sz w:val="19"/>
              </w:rPr>
              <w:t>📌 CONCLUSIÓN ARQUITECTÓNICA: La funcionalidad de consulta de movimientos conviene como función Lambda. El costo es prácticamente cero para el volumen actual (10K req/mes) y la EC2 cuesta $7.59/mes solo para este endpoint. La decisión cambia solo si el volumen supera ~40 millones de invocaciones/mes o si la duración promedio supera varios segundos.</w:t>
            </w:r>
          </w:p>
        </w:tc>
      </w:tr>
    </w:tbl>
    <w:p/>
    <w:p/>
    <w:p>
      <w:pPr>
        <w:pStyle w:val="Heading2"/>
        <w:spacing w:before="280" w:after="80"/>
      </w:pPr>
      <w:r>
        <w:rPr>
          <w:b/>
          <w:color w:val="1F3864"/>
          <w:sz w:val="24"/>
        </w:rPr>
        <w:t>9. Lista de cotejo</w:t>
      </w:r>
    </w:p>
    <w:tbl>
      <w:tblPr>
        <w:tblStyle w:val="TableGrid"/>
        <w:tblW w:type="auto" w:w="0"/>
        <w:tblLook w:firstColumn="1" w:firstRow="1" w:lastColumn="0" w:lastRow="0" w:noHBand="0" w:noVBand="1" w:val="04A0"/>
      </w:tblPr>
      <w:tblGrid>
        <w:gridCol w:w="3264"/>
        <w:gridCol w:w="3264"/>
        <w:gridCol w:w="3264"/>
      </w:tblGrid>
      <w:tr>
        <w:tc>
          <w:tcPr>
            <w:tcW w:type="dxa" w:w="3264"/>
            <w:shd w:fill="1F3864" w:val="clear"/>
          </w:tcPr>
          <w:p>
            <w:r/>
            <w:r>
              <w:rPr>
                <w:b/>
                <w:color w:val="FFFFFF"/>
                <w:sz w:val="20"/>
              </w:rPr>
              <w:t>Criterio</w:t>
            </w:r>
          </w:p>
        </w:tc>
        <w:tc>
          <w:tcPr>
            <w:tcW w:type="dxa" w:w="3264"/>
            <w:shd w:fill="1F3864" w:val="clear"/>
          </w:tcPr>
          <w:p>
            <w:r/>
            <w:r>
              <w:rPr>
                <w:b/>
                <w:color w:val="FFFFFF"/>
                <w:sz w:val="20"/>
              </w:rPr>
              <w:t>Puntos</w:t>
            </w:r>
          </w:p>
        </w:tc>
        <w:tc>
          <w:tcPr>
            <w:tcW w:type="dxa" w:w="3264"/>
            <w:shd w:fill="1F3864" w:val="clear"/>
          </w:tcPr>
          <w:p>
            <w:r/>
            <w:r>
              <w:rPr>
                <w:b/>
                <w:color w:val="FFFFFF"/>
                <w:sz w:val="20"/>
              </w:rPr>
              <w:t>Cumple</w:t>
            </w:r>
          </w:p>
        </w:tc>
      </w:tr>
      <w:tr>
        <w:tc>
          <w:tcPr>
            <w:tcW w:type="dxa" w:w="3264"/>
            <w:shd w:fill="D4EDDA" w:val="clear"/>
          </w:tcPr>
          <w:p>
            <w:r/>
            <w:r>
              <w:rPr>
                <w:sz w:val="19"/>
              </w:rPr>
              <w:t>La funcionalidad elegida se justifica frente a las descartadas</w:t>
            </w:r>
          </w:p>
        </w:tc>
        <w:tc>
          <w:tcPr>
            <w:tcW w:type="dxa" w:w="3264"/>
            <w:shd w:fill="D4EDDA" w:val="clear"/>
          </w:tcPr>
          <w:p>
            <w:r/>
            <w:r>
              <w:rPr>
                <w:sz w:val="19"/>
              </w:rPr>
              <w:t>15</w:t>
            </w:r>
          </w:p>
        </w:tc>
        <w:tc>
          <w:tcPr>
            <w:tcW w:type="dxa" w:w="3264"/>
            <w:shd w:fill="D4EDDA" w:val="clear"/>
          </w:tcPr>
          <w:p>
            <w:r/>
            <w:r>
              <w:rPr>
                <w:sz w:val="19"/>
              </w:rPr>
              <w:t>✔</w:t>
            </w:r>
          </w:p>
        </w:tc>
      </w:tr>
      <w:tr>
        <w:tc>
          <w:tcPr>
            <w:tcW w:type="dxa" w:w="3264"/>
            <w:shd w:fill="D4EDDA" w:val="clear"/>
          </w:tcPr>
          <w:p>
            <w:r/>
            <w:r>
              <w:rPr>
                <w:sz w:val="19"/>
              </w:rPr>
              <w:t>La función se ejecuta correctamente y accede a los datos con rol de servicio</w:t>
            </w:r>
          </w:p>
        </w:tc>
        <w:tc>
          <w:tcPr>
            <w:tcW w:type="dxa" w:w="3264"/>
            <w:shd w:fill="D4EDDA" w:val="clear"/>
          </w:tcPr>
          <w:p>
            <w:r/>
            <w:r>
              <w:rPr>
                <w:sz w:val="19"/>
              </w:rPr>
              <w:t>25</w:t>
            </w:r>
          </w:p>
        </w:tc>
        <w:tc>
          <w:tcPr>
            <w:tcW w:type="dxa" w:w="3264"/>
            <w:shd w:fill="D4EDDA" w:val="clear"/>
          </w:tcPr>
          <w:p>
            <w:r/>
            <w:r>
              <w:rPr>
                <w:sz w:val="19"/>
              </w:rPr>
              <w:t>✔</w:t>
            </w:r>
          </w:p>
        </w:tc>
      </w:tr>
      <w:tr>
        <w:tc>
          <w:tcPr>
            <w:tcW w:type="dxa" w:w="3264"/>
            <w:shd w:fill="D4EDDA" w:val="clear"/>
          </w:tcPr>
          <w:p>
            <w:r/>
            <w:r>
              <w:rPr>
                <w:sz w:val="19"/>
              </w:rPr>
              <w:t>La interfaz pública responde y hay evidencia</w:t>
            </w:r>
          </w:p>
        </w:tc>
        <w:tc>
          <w:tcPr>
            <w:tcW w:type="dxa" w:w="3264"/>
            <w:shd w:fill="D4EDDA" w:val="clear"/>
          </w:tcPr>
          <w:p>
            <w:r/>
            <w:r>
              <w:rPr>
                <w:sz w:val="19"/>
              </w:rPr>
              <w:t>20</w:t>
            </w:r>
          </w:p>
        </w:tc>
        <w:tc>
          <w:tcPr>
            <w:tcW w:type="dxa" w:w="3264"/>
            <w:shd w:fill="D4EDDA" w:val="clear"/>
          </w:tcPr>
          <w:p>
            <w:r/>
            <w:r>
              <w:rPr>
                <w:sz w:val="19"/>
              </w:rPr>
              <w:t>✔</w:t>
            </w:r>
          </w:p>
        </w:tc>
      </w:tr>
      <w:tr>
        <w:tc>
          <w:tcPr>
            <w:tcW w:type="dxa" w:w="3264"/>
            <w:shd w:fill="D4EDDA" w:val="clear"/>
          </w:tcPr>
          <w:p>
            <w:r/>
            <w:r>
              <w:rPr>
                <w:sz w:val="19"/>
              </w:rPr>
              <w:t>Se documenta y explica el arranque en frío con dos mediciones</w:t>
            </w:r>
          </w:p>
        </w:tc>
        <w:tc>
          <w:tcPr>
            <w:tcW w:type="dxa" w:w="3264"/>
            <w:shd w:fill="D4EDDA" w:val="clear"/>
          </w:tcPr>
          <w:p>
            <w:r/>
            <w:r>
              <w:rPr>
                <w:sz w:val="19"/>
              </w:rPr>
              <w:t>20</w:t>
            </w:r>
          </w:p>
        </w:tc>
        <w:tc>
          <w:tcPr>
            <w:tcW w:type="dxa" w:w="3264"/>
            <w:shd w:fill="D4EDDA" w:val="clear"/>
          </w:tcPr>
          <w:p>
            <w:r/>
            <w:r>
              <w:rPr>
                <w:sz w:val="19"/>
              </w:rPr>
              <w:t>✔</w:t>
            </w:r>
          </w:p>
        </w:tc>
      </w:tr>
      <w:tr>
        <w:tc>
          <w:tcPr>
            <w:tcW w:type="dxa" w:w="3264"/>
            <w:shd w:fill="D4EDDA" w:val="clear"/>
          </w:tcPr>
          <w:p>
            <w:r/>
            <w:r>
              <w:rPr>
                <w:sz w:val="19"/>
              </w:rPr>
              <w:t>El cálculo comparativo de costo usa precios reales y está bien planteado</w:t>
            </w:r>
          </w:p>
        </w:tc>
        <w:tc>
          <w:tcPr>
            <w:tcW w:type="dxa" w:w="3264"/>
            <w:shd w:fill="D4EDDA" w:val="clear"/>
          </w:tcPr>
          <w:p>
            <w:r/>
            <w:r>
              <w:rPr>
                <w:sz w:val="19"/>
              </w:rPr>
              <w:t>20</w:t>
            </w:r>
          </w:p>
        </w:tc>
        <w:tc>
          <w:tcPr>
            <w:tcW w:type="dxa" w:w="3264"/>
            <w:shd w:fill="D4EDDA" w:val="clear"/>
          </w:tcPr>
          <w:p>
            <w:r/>
            <w:r>
              <w:rPr>
                <w:sz w:val="19"/>
              </w:rPr>
              <w:t>✔</w:t>
            </w:r>
          </w:p>
        </w:tc>
      </w:tr>
    </w:tbl>
    <w:p/>
    <w:p>
      <w:pPr>
        <w:pStyle w:val="Heading2"/>
        <w:spacing w:before="280" w:after="80"/>
      </w:pPr>
      <w:r>
        <w:rPr>
          <w:b/>
          <w:color w:val="1F3864"/>
          <w:sz w:val="24"/>
        </w:rPr>
        <w:t>10. Archivos en el repositorio</w:t>
      </w:r>
    </w:p>
    <w:tbl>
      <w:tblPr>
        <w:tblStyle w:val="TableGrid"/>
        <w:tblW w:type="auto" w:w="0"/>
        <w:tblLook w:firstColumn="1" w:firstRow="1" w:lastColumn="0" w:lastRow="0" w:noHBand="0" w:noVBand="1" w:val="04A0"/>
      </w:tblPr>
      <w:tblGrid>
        <w:gridCol w:w="4896"/>
        <w:gridCol w:w="4896"/>
      </w:tblGrid>
      <w:tr>
        <w:tc>
          <w:tcPr>
            <w:tcW w:type="dxa" w:w="4896"/>
            <w:shd w:fill="1F3864" w:val="clear"/>
          </w:tcPr>
          <w:p>
            <w:r/>
            <w:r>
              <w:rPr>
                <w:b/>
                <w:color w:val="FFFFFF"/>
                <w:sz w:val="20"/>
              </w:rPr>
              <w:t>Archivo</w:t>
            </w:r>
          </w:p>
        </w:tc>
        <w:tc>
          <w:tcPr>
            <w:tcW w:type="dxa" w:w="4896"/>
            <w:shd w:fill="1F3864" w:val="clear"/>
          </w:tcPr>
          <w:p>
            <w:r/>
            <w:r>
              <w:rPr>
                <w:b/>
                <w:color w:val="FFFFFF"/>
                <w:sz w:val="20"/>
              </w:rPr>
              <w:t>Descripción</w:t>
            </w:r>
          </w:p>
        </w:tc>
      </w:tr>
      <w:tr>
        <w:tc>
          <w:tcPr>
            <w:tcW w:type="dxa" w:w="4896"/>
            <w:shd w:fill="FFFFFF" w:val="clear"/>
          </w:tcPr>
          <w:p>
            <w:r/>
            <w:r>
              <w:rPr>
                <w:sz w:val="19"/>
              </w:rPr>
              <w:t>practica09/lambda_function.py</w:t>
            </w:r>
          </w:p>
        </w:tc>
        <w:tc>
          <w:tcPr>
            <w:tcW w:type="dxa" w:w="4896"/>
            <w:shd w:fill="FFFFFF" w:val="clear"/>
          </w:tcPr>
          <w:p>
            <w:r/>
            <w:r>
              <w:rPr>
                <w:sz w:val="19"/>
              </w:rPr>
              <w:t>Código de la función Lambda (Python 3.12)</w:t>
            </w:r>
          </w:p>
        </w:tc>
      </w:tr>
      <w:tr>
        <w:tc>
          <w:tcPr>
            <w:tcW w:type="dxa" w:w="4896"/>
            <w:shd w:fill="F7F7F7" w:val="clear"/>
          </w:tcPr>
          <w:p>
            <w:r/>
            <w:r>
              <w:rPr>
                <w:sz w:val="19"/>
              </w:rPr>
              <w:t>practica09/aws-practica09-lambda.sh</w:t>
            </w:r>
          </w:p>
        </w:tc>
        <w:tc>
          <w:tcPr>
            <w:tcW w:type="dxa" w:w="4896"/>
            <w:shd w:fill="F7F7F7" w:val="clear"/>
          </w:tcPr>
          <w:p>
            <w:r/>
            <w:r>
              <w:rPr>
                <w:sz w:val="19"/>
              </w:rPr>
              <w:t>Script de despliegue: Lambda + API Gateway + IAM</w:t>
            </w:r>
          </w:p>
        </w:tc>
      </w:tr>
      <w:tr>
        <w:tc>
          <w:tcPr>
            <w:tcW w:type="dxa" w:w="4896"/>
            <w:shd w:fill="FFFFFF" w:val="clear"/>
          </w:tcPr>
          <w:p>
            <w:r/>
            <w:r>
              <w:rPr>
                <w:sz w:val="19"/>
              </w:rPr>
              <w:t>practica09/evidencia-p09-c1-justificacion.sh</w:t>
            </w:r>
          </w:p>
        </w:tc>
        <w:tc>
          <w:tcPr>
            <w:tcW w:type="dxa" w:w="4896"/>
            <w:shd w:fill="FFFFFF" w:val="clear"/>
          </w:tcPr>
          <w:p>
            <w:r/>
            <w:r>
              <w:rPr>
                <w:sz w:val="19"/>
              </w:rPr>
              <w:t>Evidencia C1: justificación de funcionalidad</w:t>
            </w:r>
          </w:p>
        </w:tc>
      </w:tr>
      <w:tr>
        <w:tc>
          <w:tcPr>
            <w:tcW w:type="dxa" w:w="4896"/>
            <w:shd w:fill="F7F7F7" w:val="clear"/>
          </w:tcPr>
          <w:p>
            <w:r/>
            <w:r>
              <w:rPr>
                <w:sz w:val="19"/>
              </w:rPr>
              <w:t>practica09/evidencia-p09-c2-funcion-datos.sh</w:t>
            </w:r>
          </w:p>
        </w:tc>
        <w:tc>
          <w:tcPr>
            <w:tcW w:type="dxa" w:w="4896"/>
            <w:shd w:fill="F7F7F7" w:val="clear"/>
          </w:tcPr>
          <w:p>
            <w:r/>
            <w:r>
              <w:rPr>
                <w:sz w:val="19"/>
              </w:rPr>
              <w:t>Evidencia C2: función + rol de servicio</w:t>
            </w:r>
          </w:p>
        </w:tc>
      </w:tr>
      <w:tr>
        <w:tc>
          <w:tcPr>
            <w:tcW w:type="dxa" w:w="4896"/>
            <w:shd w:fill="FFFFFF" w:val="clear"/>
          </w:tcPr>
          <w:p>
            <w:r/>
            <w:r>
              <w:rPr>
                <w:sz w:val="19"/>
              </w:rPr>
              <w:t>practica09/evidencia-p09-c3-interfaz-publica.sh</w:t>
            </w:r>
          </w:p>
        </w:tc>
        <w:tc>
          <w:tcPr>
            <w:tcW w:type="dxa" w:w="4896"/>
            <w:shd w:fill="FFFFFF" w:val="clear"/>
          </w:tcPr>
          <w:p>
            <w:r/>
            <w:r>
              <w:rPr>
                <w:sz w:val="19"/>
              </w:rPr>
              <w:t>Evidencia C3: prueba API pública</w:t>
            </w:r>
          </w:p>
        </w:tc>
      </w:tr>
      <w:tr>
        <w:tc>
          <w:tcPr>
            <w:tcW w:type="dxa" w:w="4896"/>
            <w:shd w:fill="F7F7F7" w:val="clear"/>
          </w:tcPr>
          <w:p>
            <w:r/>
            <w:r>
              <w:rPr>
                <w:sz w:val="19"/>
              </w:rPr>
              <w:t>practica09/evidencia-p09-c4-arranque-frio.sh</w:t>
            </w:r>
          </w:p>
        </w:tc>
        <w:tc>
          <w:tcPr>
            <w:tcW w:type="dxa" w:w="4896"/>
            <w:shd w:fill="F7F7F7" w:val="clear"/>
          </w:tcPr>
          <w:p>
            <w:r/>
            <w:r>
              <w:rPr>
                <w:sz w:val="19"/>
              </w:rPr>
              <w:t>Evidencia C4: cold start vs warm start</w:t>
            </w:r>
          </w:p>
        </w:tc>
      </w:tr>
      <w:tr>
        <w:tc>
          <w:tcPr>
            <w:tcW w:type="dxa" w:w="4896"/>
            <w:shd w:fill="FFFFFF" w:val="clear"/>
          </w:tcPr>
          <w:p>
            <w:r/>
            <w:r>
              <w:rPr>
                <w:sz w:val="19"/>
              </w:rPr>
              <w:t>practica09/evidencia-p09-c5-costo-comparativo.sh</w:t>
            </w:r>
          </w:p>
        </w:tc>
        <w:tc>
          <w:tcPr>
            <w:tcW w:type="dxa" w:w="4896"/>
            <w:shd w:fill="FFFFFF" w:val="clear"/>
          </w:tcPr>
          <w:p>
            <w:r/>
            <w:r>
              <w:rPr>
                <w:sz w:val="19"/>
              </w:rPr>
              <w:t>Evidencia C5: cálculo de costo</w:t>
            </w:r>
          </w:p>
        </w:tc>
      </w:tr>
    </w:tbl>
    <w:p/>
    <w:p>
      <w:pPr>
        <w:jc w:val="center"/>
      </w:pPr>
      <w:r>
        <w:rPr>
          <w:i/>
          <w:color w:val="787878"/>
          <w:sz w:val="18"/>
        </w:rPr>
        <w:t>Práctica 09 · Equipo Los Rojos · Cómputo en la Nube · UAS · 26 oct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