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Segoe UI" w:cs="Segoe UI" w:eastAsia="Segoe UI" w:hAnsi="Segoe UI"/>
          <w:b/>
          <w:bCs/>
          <w:color w:val="7DD3FC"/>
          <w:sz w:val="32"/>
          <w:szCs w:val="32"/>
        </w:rPr>
        <w:t xml:space="preserve">Parte 2 · Su Proyecto — Los Rojos</w:t>
      </w:r>
    </w:p>
    <w:p>
      <w:pPr>
        <w:spacing w:after="300" w:before="0"/>
        <w:jc w:val="center"/>
      </w:pPr>
      <w:r>
        <w:rPr>
          <w:rFonts w:ascii="Segoe UI" w:cs="Segoe UI" w:eastAsia="Segoe UI" w:hAnsi="Segoe UI"/>
          <w:color w:val="94A3B8"/>
          <w:sz w:val="19"/>
          <w:szCs w:val="19"/>
        </w:rPr>
        <w:t xml:space="preserve">Sistema de Gestión de Inventarios · Miscelánea familiar · AWS us-east-1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87171" w:sz="6"/>
              <w:left w:val="single" w:color="F87171" w:sz="6"/>
              <w:bottom w:val="single" w:color="F87171" w:sz="6"/>
              <w:right w:val="single" w:color="F87171" w:sz="6"/>
            </w:tcBorders>
            <w:shd w:fill="1E293B" w:color="1E293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24"/>
                <w:szCs w:val="24"/>
              </w:rPr>
              <w:t xml:space="preserve">1️⃣ 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24"/>
                <w:szCs w:val="24"/>
              </w:rPr>
              <w:t xml:space="preserve">Arquitectura actual con puntos únicos de falla marcados con ✗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Internet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|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|  HTTPS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▼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F87171"/>
                <w:sz w:val="17"/>
                <w:szCs w:val="17"/>
              </w:rPr>
              <w:t xml:space="preserve">✗  EC2 t3.micro  ──────────────── PUNTO ÚNICO DE FALLA #1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│  (API Node.js + Express)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│  Una sola instancia · una sola AZ (us-east-1a)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│  Si cae → toda la API deja de responder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|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|  Puerto 5432 / TLS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▼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F87171"/>
                <w:sz w:val="17"/>
                <w:szCs w:val="17"/>
              </w:rPr>
              <w:t xml:space="preserve">✗  RDS PostgreSQL db.t3.micro ──── PUNTO ÚNICO DE FALLA #2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│  Single-AZ (us-east-1a)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│  Si la AZ falla → BD sin réplica = pérdida de movimientos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|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▼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F87171"/>
                <w:sz w:val="17"/>
                <w:szCs w:val="17"/>
              </w:rPr>
              <w:t xml:space="preserve">✗  S3 bucket-los-rojos (frontend) ─ PUNTO ÚNICO DE FALLA #3*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* Sin CDN = sin caché. Política pública perdida = sitio inaccesible.</w:t>
            </w:r>
          </w:p>
        </w:tc>
      </w:tr>
    </w:tbl>
    <w:p>
      <w:pPr>
        <w:spacing w:after="10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single" w:color="F87171" w:sz="20"/>
              <w:bottom w:val="none" w:color="FFFFFF" w:sz="0"/>
              <w:right w:val="none" w:color="FFFFFF" w:sz="0"/>
            </w:tcBorders>
            <w:shd w:fill="0F172A" w:color="0F172A" w:val="solid"/>
          </w:tcPr>
          <w:p>
            <w:pPr>
              <w:spacing w:after="80" w:before="0"/>
              <w:jc w:val="left"/>
            </w:pP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0F172A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19"/>
                <w:szCs w:val="19"/>
              </w:rPr>
              <w:t xml:space="preserve">Resumen de puntos de falla:</w:t>
            </w:r>
          </w:p>
          <w:p>
            <w:pPr>
              <w:spacing w:after="4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19"/>
                <w:szCs w:val="19"/>
              </w:rPr>
              <w:t xml:space="preserve">✗ #1  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Una sola EC2 → si se cae, no se pueden registrar ventas ni consultar stock.</w:t>
            </w:r>
          </w:p>
          <w:p>
            <w:pPr>
              <w:spacing w:after="4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19"/>
                <w:szCs w:val="19"/>
              </w:rPr>
              <w:t xml:space="preserve">✗ #2  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RDS Single-AZ → si falla us-east-1a, pérdida de movimientos hasta restaurar backup.</w:t>
            </w:r>
          </w:p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87171"/>
                <w:sz w:val="19"/>
                <w:szCs w:val="19"/>
              </w:rPr>
              <w:t xml:space="preserve">✗ #3  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Sin Load Balancer → no hay quien redirija el tráfico si la instancia no responde.</w:t>
            </w:r>
          </w:p>
        </w:tc>
      </w:tr>
    </w:tbl>
    <w:p>
      <w:pPr>
        <w:spacing w:after="2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ADE80" w:sz="6"/>
              <w:left w:val="single" w:color="4ADE80" w:sz="6"/>
              <w:bottom w:val="single" w:color="4ADE80" w:sz="6"/>
              <w:right w:val="single" w:color="4ADE80" w:sz="6"/>
            </w:tcBorders>
            <w:shd w:fill="1E293B" w:color="1E293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ADE80"/>
                <w:sz w:val="24"/>
                <w:szCs w:val="24"/>
              </w:rPr>
              <w:t xml:space="preserve">2️⃣  </w:t>
            </w:r>
            <w:r>
              <w:rPr>
                <w:rFonts w:ascii="Segoe UI" w:cs="Segoe UI" w:eastAsia="Segoe UI" w:hAnsi="Segoe UI"/>
                <w:b/>
                <w:bCs/>
                <w:color w:val="4ADE80"/>
                <w:sz w:val="24"/>
                <w:szCs w:val="24"/>
              </w:rPr>
              <w:t xml:space="preserve">Arquitectura rediseñada · ALB + 2 EC2 en 2 AZ + RDS Multi-AZ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Internet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|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| HTTPS (443)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▼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4ADE80"/>
                <w:sz w:val="17"/>
                <w:szCs w:val="17"/>
              </w:rPr>
              <w:t xml:space="preserve">✔  Application Load Balancer  (balanceador en dos subredes públicas)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├─ Subred pública us-east-1a  (sg-alb: 80/443 desde 0.0.0.0/0)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└─ Subred pública us-east-1b  (sg-alb: 80/443 desde 0.0.0.0/0)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|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┌─────┴──────┐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|             |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▼             ▼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4ADE80"/>
                <w:sz w:val="17"/>
                <w:szCs w:val="17"/>
              </w:rPr>
              <w:t xml:space="preserve">✔ EC2 t3.micro    ✔ EC2 t3.micro      ← dos servidores en dos zonas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API Node.js       API Node.js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us-east-1a        us-east-1b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Subred pública    Subred pública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sg-api: 3000      sg-api: 3000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|             |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└──────┬──────┘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 |  Puerto 5432 / TLS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 ▼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4ADE80"/>
                <w:sz w:val="17"/>
                <w:szCs w:val="17"/>
              </w:rPr>
              <w:t xml:space="preserve">✔  RDS PostgreSQL Multi-AZ                                         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├─ Primaria  us-east-1a  (Subred privada)  ← escrituras normales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└─ Standby   us-east-1b  (Subred privada)  ← failover &lt; 60 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sg-rds: 5432 solo desde sg-api</w:t>
            </w:r>
          </w:p>
        </w:tc>
      </w:tr>
    </w:tbl>
    <w:p>
      <w:pPr>
        <w:spacing w:after="10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single" w:color="4ADE80" w:sz="20"/>
              <w:bottom w:val="none" w:color="FFFFFF" w:sz="0"/>
              <w:right w:val="none" w:color="FFFFFF" w:sz="0"/>
            </w:tcBorders>
            <w:shd w:fill="0F172A" w:color="0F172A" w:val="solid"/>
          </w:tcPr>
          <w:p>
            <w:pPr>
              <w:spacing w:after="80" w:before="0"/>
              <w:jc w:val="left"/>
            </w:pP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0F172A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ADE80"/>
                <w:sz w:val="19"/>
                <w:szCs w:val="19"/>
              </w:rPr>
              <w:t xml:space="preserve">Cambios clave:</w:t>
            </w:r>
          </w:p>
          <w:p>
            <w:pPr>
              <w:spacing w:after="40" w:before="0"/>
              <w:jc w:val="left"/>
            </w:pPr>
            <w:r>
              <w:rPr>
                <w:rFonts w:ascii="Segoe UI" w:cs="Segoe UI" w:eastAsia="Segoe UI" w:hAnsi="Segoe UI"/>
                <w:color w:val="4ADE80"/>
                <w:sz w:val="19"/>
                <w:szCs w:val="19"/>
              </w:rPr>
              <w:t xml:space="preserve">✔  ALB en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dos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 subredes públicas — detecta fallos y re-enruta.</w:t>
            </w:r>
          </w:p>
          <w:p>
            <w:pPr>
              <w:spacing w:after="40" w:before="0"/>
              <w:jc w:val="left"/>
            </w:pPr>
            <w:r>
              <w:rPr>
                <w:rFonts w:ascii="Segoe UI" w:cs="Segoe UI" w:eastAsia="Segoe UI" w:hAnsi="Segoe UI"/>
                <w:color w:val="4ADE80"/>
                <w:sz w:val="19"/>
                <w:szCs w:val="19"/>
              </w:rPr>
              <w:t xml:space="preserve">✔  EC2 en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us-east-1a y us-east-1b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 — si una AZ falla, el ALB sigue enviando tráfico a la otra.</w:t>
            </w:r>
          </w:p>
          <w:p>
            <w:pPr>
              <w:spacing w:after="40" w:before="0"/>
              <w:jc w:val="left"/>
            </w:pPr>
            <w:r>
              <w:rPr>
                <w:rFonts w:ascii="Segoe UI" w:cs="Segoe UI" w:eastAsia="Segoe UI" w:hAnsi="Segoe UI"/>
                <w:color w:val="4ADE80"/>
                <w:sz w:val="19"/>
                <w:szCs w:val="19"/>
              </w:rPr>
              <w:t xml:space="preserve">✔  RDS Multi-AZ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 con failover automático — los movimientos de inventario no se pierden.</w:t>
            </w:r>
          </w:p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color w:val="4ADE80"/>
                <w:sz w:val="19"/>
                <w:szCs w:val="19"/>
              </w:rPr>
              <w:t xml:space="preserve">✔  Grupos de seguridad en cadena: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sg-alb → sg-api → sg-rds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 (mínimo privilegio).</w:t>
            </w:r>
          </w:p>
        </w:tc>
      </w:tr>
    </w:tbl>
    <w:p>
      <w:pPr>
        <w:spacing w:after="2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0A5FA" w:sz="6"/>
              <w:left w:val="single" w:color="60A5FA" w:sz="6"/>
              <w:bottom w:val="single" w:color="60A5FA" w:sz="6"/>
              <w:right w:val="single" w:color="60A5FA" w:sz="6"/>
            </w:tcBorders>
            <w:shd w:fill="1E293B" w:color="1E293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0A5FA"/>
                <w:sz w:val="24"/>
                <w:szCs w:val="24"/>
              </w:rPr>
              <w:t xml:space="preserve">3️⃣  </w:t>
            </w:r>
            <w:r>
              <w:rPr>
                <w:rFonts w:ascii="Segoe UI" w:cs="Segoe UI" w:eastAsia="Segoe UI" w:hAnsi="Segoe UI"/>
                <w:b/>
                <w:bCs/>
                <w:color w:val="60A5FA"/>
                <w:sz w:val="24"/>
                <w:szCs w:val="24"/>
              </w:rPr>
              <w:t xml:space="preserve">Verificación de estado — ruta, frecuencia y umbral de fallos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Parámetro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Valor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Justificación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60A5FA"/>
                <w:sz w:val="17"/>
                <w:szCs w:val="17"/>
              </w:rPr>
              <w:t xml:space="preserve">Ruta (endpoint)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GET /health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RF-13 del E1: retorna {"db":"ok","s3":"ok"} con HTTP 200; HTTP 500 si BD o S3 no responden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60A5FA"/>
                <w:sz w:val="17"/>
                <w:szCs w:val="17"/>
              </w:rPr>
              <w:t xml:space="preserve">Protocolo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HTTP interno ALB→EC2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El ALB habla HTTP al puerto 3000; el TLS termina en el ALB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60A5FA"/>
                <w:sz w:val="17"/>
                <w:szCs w:val="17"/>
              </w:rPr>
              <w:t xml:space="preserve">Intervalo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30 segundos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Detecta caídas en &lt; 1 min sin saturar la EC2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60A5FA"/>
                <w:sz w:val="17"/>
                <w:szCs w:val="17"/>
              </w:rPr>
              <w:t xml:space="preserve">Timeout por intento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5 segundos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Si la API tarda &gt; 5 s en /health, cuenta como fallo (RNF-01: &lt; 500 ms en condiciones normales)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60A5FA"/>
                <w:sz w:val="17"/>
                <w:szCs w:val="17"/>
              </w:rPr>
              <w:t xml:space="preserve">Fallos para Unhealthy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2 fallos consecutivos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2 × 30 s = 60 s máximo antes de retirar el servidor. Evita retiradas por fallo transitorio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60A5FA"/>
                <w:sz w:val="17"/>
                <w:szCs w:val="17"/>
              </w:rPr>
              <w:t xml:space="preserve">Éxitos para Healthy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3 éxitos consecutivos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90 s de estabilidad antes de reintroducir la instancia (período de calentamiento 120 s)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60A5FA"/>
                <w:sz w:val="17"/>
                <w:szCs w:val="17"/>
              </w:rPr>
              <w:t xml:space="preserve">Código HTTP esperado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200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Cualquier otro código (500, 503, timeout) se trata como fallo</w:t>
            </w:r>
          </w:p>
        </w:tc>
      </w:tr>
    </w:tbl>
    <w:p>
      <w:pPr>
        <w:spacing w:after="10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single" w:color="60A5FA" w:sz="20"/>
              <w:bottom w:val="none" w:color="FFFFFF" w:sz="0"/>
              <w:right w:val="none" w:color="FFFFFF" w:sz="0"/>
            </w:tcBorders>
            <w:shd w:fill="0F172A" w:color="0F172A" w:val="solid"/>
          </w:tcPr>
          <w:p>
            <w:pPr>
              <w:spacing w:after="80" w:before="0"/>
              <w:jc w:val="left"/>
            </w:pP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0F172A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0A5FA"/>
                <w:sz w:val="19"/>
                <w:szCs w:val="19"/>
              </w:rPr>
              <w:t xml:space="preserve">Flujo completo: 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ALB llama a </w:t>
            </w:r>
            <w:r>
              <w:rPr>
                <w:rFonts w:ascii="Consolas" w:cs="Consolas" w:eastAsia="Consolas" w:hAnsi="Consolas"/>
                <w:color w:val="FBBF24"/>
                <w:sz w:val="18"/>
                <w:szCs w:val="18"/>
              </w:rPr>
              <w:t xml:space="preserve">GET /health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 cada 30 s → 2 respuestas no-200 → instancia marcada </w:t>
            </w:r>
            <w:r>
              <w:rPr>
                <w:rFonts w:ascii="Segoe UI" w:cs="Segoe UI" w:eastAsia="Segoe UI" w:hAnsi="Segoe UI"/>
                <w:b/>
                <w:bCs/>
                <w:color w:val="F87171"/>
                <w:sz w:val="19"/>
                <w:szCs w:val="19"/>
              </w:rPr>
              <w:t xml:space="preserve">Unhealthy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 → ALB deja de enviarle tráfico → Auto Scaling lanza nueva EC2 → 3 respuestas 200 → instancia vuelve al grupo.</w:t>
            </w:r>
          </w:p>
        </w:tc>
      </w:tr>
    </w:tbl>
    <w:p>
      <w:pPr>
        <w:spacing w:after="2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BBF24" w:sz="6"/>
              <w:left w:val="single" w:color="FBBF24" w:sz="6"/>
              <w:bottom w:val="single" w:color="FBBF24" w:sz="6"/>
              <w:right w:val="single" w:color="FBBF24" w:sz="6"/>
            </w:tcBorders>
            <w:shd w:fill="1E293B" w:color="1E293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BBF24"/>
                <w:sz w:val="24"/>
                <w:szCs w:val="24"/>
              </w:rPr>
              <w:t xml:space="preserve">4️⃣  </w:t>
            </w:r>
            <w:r>
              <w:rPr>
                <w:rFonts w:ascii="Segoe UI" w:cs="Segoe UI" w:eastAsia="Segoe UI" w:hAnsi="Segoe UI"/>
                <w:b/>
                <w:bCs/>
                <w:color w:val="FBBF24"/>
                <w:sz w:val="24"/>
                <w:szCs w:val="24"/>
              </w:rPr>
              <w:t xml:space="preserve">Usuarios simultáneos · pico y valle → peticiones por segundo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single" w:color="FBBF24" w:sz="20"/>
              <w:bottom w:val="none" w:color="FFFFFF" w:sz="0"/>
              <w:right w:val="none" w:color="FFFFFF" w:sz="0"/>
            </w:tcBorders>
            <w:shd w:fill="0F172A" w:color="0F172A" w:val="solid"/>
          </w:tcPr>
          <w:p>
            <w:pPr>
              <w:spacing w:after="80" w:before="0"/>
              <w:jc w:val="left"/>
            </w:pP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0F172A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BBF24"/>
                <w:sz w:val="19"/>
                <w:szCs w:val="19"/>
              </w:rPr>
              <w:t xml:space="preserve">Supuesto base: 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1 instancia t3.micro atiende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14 peticiones/segundo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 al 50 % de CPU. La miscelánea tiene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3 empleados + propietaria = 4 usuarios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 del sistema.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Escenario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Usuarios activos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Req/usuario/s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Total req/s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EC2 necesarias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Config ASG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FBBF24"/>
                <w:sz w:val="17"/>
                <w:szCs w:val="17"/>
              </w:rPr>
              <w:t xml:space="preserve">Valle (madrugada)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1 (propietaria revisa reportes)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~1 req/s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1 req/s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1 EC2 al 7% CPU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min = 1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FBBF24"/>
                <w:sz w:val="17"/>
                <w:szCs w:val="17"/>
              </w:rPr>
              <w:t xml:space="preserve">Normal (día)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3 (cajero + bodega + admin)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~2 req/s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6 req/s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1 EC2 al 43% CPU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deseado = 1–2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FBBF24"/>
                <w:sz w:val="17"/>
                <w:szCs w:val="17"/>
              </w:rPr>
              <w:t xml:space="preserve">Pico (corte + ventas)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4 (todos + cron de alertas)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~4 req/s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16 req/s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2 EC2 al 57% CPU c/u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máx = 3</w:t>
            </w:r>
          </w:p>
        </w:tc>
      </w:tr>
    </w:tbl>
    <w:p>
      <w:pPr>
        <w:spacing w:after="10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FBBF24"/>
                <w:sz w:val="18"/>
                <w:szCs w:val="18"/>
              </w:rPr>
              <w:t xml:space="preserve">Pico: 4 usuarios × 4 req/s = 16 req/s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÷ 14 req/s por EC2 = 1.14  →  necesita 2 instancias activas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(con margen de seguridad al ~57 % CPU cada una)</w:t>
            </w:r>
          </w:p>
        </w:tc>
      </w:tr>
    </w:tbl>
    <w:p>
      <w:pPr>
        <w:spacing w:after="10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single" w:color="4ADE80" w:sz="20"/>
              <w:bottom w:val="none" w:color="FFFFFF" w:sz="0"/>
              <w:right w:val="none" w:color="FFFFFF" w:sz="0"/>
            </w:tcBorders>
            <w:shd w:fill="0F172A" w:color="0F172A" w:val="solid"/>
          </w:tcPr>
          <w:p>
            <w:pPr>
              <w:spacing w:after="80" w:before="0"/>
              <w:jc w:val="left"/>
            </w:pP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0F172A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4ADE80"/>
                <w:sz w:val="19"/>
                <w:szCs w:val="19"/>
              </w:rPr>
              <w:t xml:space="preserve">Conclusión: </w:t>
            </w:r>
            <w:r>
              <w:rPr>
                <w:rFonts w:ascii="Segoe UI" w:cs="Segoe UI" w:eastAsia="Segoe UI" w:hAnsi="Segoe UI"/>
                <w:color w:val="CBD5E1"/>
                <w:sz w:val="19"/>
                <w:szCs w:val="19"/>
              </w:rPr>
              <w:t xml:space="preserve">2 EC2 en pico · 1 EC2 en valle. El Auto Scaling Group absorbe el pico sin superar el 70 % de CPU objetivo, y ahorra costos en valle al reducir a 1 instancia.</w:t>
            </w:r>
          </w:p>
        </w:tc>
      </w:tr>
    </w:tbl>
    <w:p>
      <w:pPr>
        <w:spacing w:after="2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84FC" w:sz="6"/>
              <w:left w:val="single" w:color="C084FC" w:sz="6"/>
              <w:bottom w:val="single" w:color="C084FC" w:sz="6"/>
              <w:right w:val="single" w:color="C084FC" w:sz="6"/>
            </w:tcBorders>
            <w:shd w:fill="1E293B" w:color="1E293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84FC"/>
                <w:sz w:val="24"/>
                <w:szCs w:val="24"/>
              </w:rPr>
              <w:t xml:space="preserve">5️⃣  </w:t>
            </w:r>
            <w:r>
              <w:rPr>
                <w:rFonts w:ascii="Segoe UI" w:cs="Segoe UI" w:eastAsia="Segoe UI" w:hAnsi="Segoe UI"/>
                <w:b/>
                <w:bCs/>
                <w:color w:val="C084FC"/>
                <w:sz w:val="24"/>
                <w:szCs w:val="24"/>
              </w:rPr>
              <w:t xml:space="preserve">Mínimo · Deseado · Máximo y política de escalamiento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Parámetro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Valor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F172A" w:color="0F172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DD3FC"/>
                <w:sz w:val="17"/>
                <w:szCs w:val="17"/>
              </w:rPr>
              <w:t xml:space="preserve">¿Por qué?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084FC"/>
                <w:sz w:val="17"/>
                <w:szCs w:val="17"/>
              </w:rPr>
              <w:t xml:space="preserve">Mínimo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1 instancia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Siempre debe haber al menos 1 EC2 para que la propietaria acceda remotamente (caso de uso principal del E1). Con 1 cubre el valle (1 req/s = 7 % CPU).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084FC"/>
                <w:sz w:val="17"/>
                <w:szCs w:val="17"/>
              </w:rPr>
              <w:t xml:space="preserve">Deseado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2 instancias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62032" w:color="162032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Cubre el uso normal (3 empleados, ~6 req/s). Ninguna supera el 43 % de CPU. Además garantiza alta disponibilidad en dos AZs simultáneamente.</w:t>
            </w:r>
          </w:p>
        </w:tc>
      </w:tr>
      <w:tr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084FC"/>
                <w:sz w:val="17"/>
                <w:szCs w:val="17"/>
              </w:rPr>
              <w:t xml:space="preserve">Máximo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3 instancias</w:t>
            </w:r>
          </w:p>
        </w:tc>
        <w:tc>
          <w:tcPr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1E293B" w:color="1E293B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El pico real es 16 req/s. 2 instancias lo cubren; la tercera es el colchón de seguridad. 3 × t3.micro caben dentro de los créditos AWS Academy.</w:t>
            </w:r>
          </w:p>
        </w:tc>
      </w:tr>
    </w:tbl>
    <w:p>
      <w:pPr>
        <w:spacing w:after="10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single" w:color="C084FC" w:sz="20"/>
              <w:bottom w:val="none" w:color="FFFFFF" w:sz="0"/>
              <w:right w:val="none" w:color="FFFFFF" w:sz="0"/>
            </w:tcBorders>
            <w:shd w:fill="0F172A" w:color="0F172A" w:val="solid"/>
          </w:tcPr>
          <w:p>
            <w:pPr>
              <w:spacing w:after="80" w:before="0"/>
              <w:jc w:val="left"/>
            </w:pP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0F172A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84FC"/>
                <w:sz w:val="19"/>
                <w:szCs w:val="19"/>
              </w:rPr>
              <w:t xml:space="preserve">Política de escalamiento: </w:t>
            </w:r>
            <w:r>
              <w:rPr>
                <w:rFonts w:ascii="Segoe UI" w:cs="Segoe UI" w:eastAsia="Segoe UI" w:hAnsi="Segoe UI"/>
                <w:b/>
                <w:bCs/>
                <w:color w:val="FBBF24"/>
                <w:sz w:val="19"/>
                <w:szCs w:val="19"/>
              </w:rPr>
              <w:t xml:space="preserve">Objetivo de seguimiento (Target Tracking Policy)</w:t>
            </w:r>
          </w:p>
          <w:p>
            <w:pPr>
              <w:spacing w:after="60" w:before="0"/>
            </w:pP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0F172A" w:color="0F172A" w:val="solid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7DD3FC"/>
                      <w:sz w:val="17"/>
                      <w:szCs w:val="17"/>
                    </w:rPr>
                    <w:t xml:space="preserve">Campo</w:t>
                  </w:r>
                </w:p>
              </w:tc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0F172A" w:color="0F172A" w:val="solid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7DD3FC"/>
                      <w:sz w:val="17"/>
                      <w:szCs w:val="17"/>
                    </w:rPr>
                    <w:t xml:space="preserve">Valor</w:t>
                  </w:r>
                </w:p>
              </w:tc>
            </w:tr>
            <w:tr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E293B" w:color="1E293B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084FC"/>
                      <w:sz w:val="17"/>
                      <w:szCs w:val="17"/>
                    </w:rPr>
                    <w:t xml:space="preserve">Tipo</w:t>
                  </w:r>
                </w:p>
              </w:tc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E293B" w:color="1E293B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BD5E1"/>
                      <w:sz w:val="17"/>
                      <w:szCs w:val="17"/>
                    </w:rPr>
                    <w:t xml:space="preserve">Target Tracking Policy — AWS ajusta automáticamente las instancias para mantener la métrica cerca del objetivo</w:t>
                  </w:r>
                </w:p>
              </w:tc>
            </w:tr>
            <w:tr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62032" w:color="162032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084FC"/>
                      <w:sz w:val="17"/>
                      <w:szCs w:val="17"/>
                    </w:rPr>
                    <w:t xml:space="preserve">Métrica</w:t>
                  </w:r>
                </w:p>
              </w:tc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62032" w:color="162032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BD5E1"/>
                      <w:sz w:val="17"/>
                      <w:szCs w:val="17"/>
                    </w:rPr>
                    <w:t xml:space="preserve">CPUUtilization (promedio de todas las instancias del grupo)</w:t>
                  </w:r>
                </w:p>
              </w:tc>
            </w:tr>
            <w:tr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E293B" w:color="1E293B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084FC"/>
                      <w:sz w:val="17"/>
                      <w:szCs w:val="17"/>
                    </w:rPr>
                    <w:t xml:space="preserve">Valor objetivo</w:t>
                  </w:r>
                </w:p>
              </w:tc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E293B" w:color="1E293B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BD5E1"/>
                      <w:sz w:val="17"/>
                      <w:szCs w:val="17"/>
                    </w:rPr>
                    <w:t xml:space="preserve">70 %</w:t>
                  </w:r>
                </w:p>
              </w:tc>
            </w:tr>
            <w:tr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62032" w:color="162032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084FC"/>
                      <w:sz w:val="17"/>
                      <w:szCs w:val="17"/>
                    </w:rPr>
                    <w:t xml:space="preserve">¿Por qué 70%?</w:t>
                  </w:r>
                </w:p>
              </w:tc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62032" w:color="162032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BD5E1"/>
                      <w:sz w:val="17"/>
                      <w:szCs w:val="17"/>
                    </w:rPr>
                    <w:t xml:space="preserve">Al 50% = 14 req/s → al 70% ≈ 19.6 req/s por instancia. Deja margen del 30% antes de saturarse y cumple RNF-01 (&lt;500 ms). Un objetivo más bajo (ej. 40%) escala demasiado pronto y desperdicia créditos Academy.</w:t>
                  </w:r>
                </w:p>
              </w:tc>
            </w:tr>
            <w:tr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E293B" w:color="1E293B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084FC"/>
                      <w:sz w:val="17"/>
                      <w:szCs w:val="17"/>
                    </w:rPr>
                    <w:t xml:space="preserve">Período de calentamiento</w:t>
                  </w:r>
                </w:p>
              </w:tc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E293B" w:color="1E293B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BD5E1"/>
                      <w:sz w:val="17"/>
                      <w:szCs w:val="17"/>
                    </w:rPr>
                    <w:t xml:space="preserve">120 s — tiempo para arrancar Node.js, cargar .env y pasar el primer health check</w:t>
                  </w:r>
                </w:p>
              </w:tc>
            </w:tr>
            <w:tr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62032" w:color="162032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084FC"/>
                      <w:sz w:val="17"/>
                      <w:szCs w:val="17"/>
                    </w:rPr>
                    <w:t xml:space="preserve">Período de gracia</w:t>
                  </w:r>
                </w:p>
              </w:tc>
              <w:tc>
                <w:tcPr>
                  <w:tcBorders>
                    <w:top w:val="single" w:color="334155" w:sz="6"/>
                    <w:left w:val="single" w:color="334155" w:sz="6"/>
                    <w:bottom w:val="single" w:color="334155" w:sz="6"/>
                    <w:right w:val="single" w:color="334155" w:sz="6"/>
                  </w:tcBorders>
                  <w:shd w:fill="162032" w:color="162032" w:val="solid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Segoe UI" w:cs="Segoe UI" w:eastAsia="Segoe UI" w:hAnsi="Segoe UI"/>
                      <w:color w:val="CBD5E1"/>
                      <w:sz w:val="17"/>
                      <w:szCs w:val="17"/>
                    </w:rPr>
                    <w:t xml:space="preserve">60 s — el ALB espera antes de enviar tráfico a una instancia nueva, evitando errores 502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84FC" w:sz="6"/>
              <w:left w:val="single" w:color="C084FC" w:sz="6"/>
              <w:bottom w:val="single" w:color="C084FC" w:sz="6"/>
              <w:right w:val="single" w:color="C084FC" w:sz="6"/>
            </w:tcBorders>
            <w:shd w:fill="1A1A2E" w:color="1A1A2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C084FC"/>
                <w:sz w:val="20"/>
                <w:szCs w:val="20"/>
              </w:rPr>
              <w:t xml:space="preserve">Resumen de configuración del Auto Scaling Group</w:t>
            </w:r>
          </w:p>
          <w:p>
            <w:pPr>
              <w:spacing w:after="4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Mínimo:  </w:t>
            </w:r>
            <w:r>
              <w:rPr>
                <w:rFonts w:ascii="Consolas" w:cs="Consolas" w:eastAsia="Consolas" w:hAnsi="Consolas"/>
                <w:b/>
                <w:bCs/>
                <w:color w:val="4ADE80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  →  siempre hay una EC2 activa (acceso remoto propietaria)</w:t>
            </w:r>
          </w:p>
          <w:p>
            <w:pPr>
              <w:spacing w:after="4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Deseado: </w:t>
            </w:r>
            <w:r>
              <w:rPr>
                <w:rFonts w:ascii="Consolas" w:cs="Consolas" w:eastAsia="Consolas" w:hAnsi="Consolas"/>
                <w:b/>
                <w:bCs/>
                <w:color w:val="FBBF24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  →  carga normal de los 3 empleados en horario laboral</w:t>
            </w:r>
          </w:p>
          <w:p>
            <w:pPr>
              <w:spacing w:after="4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Máximo:  </w:t>
            </w:r>
            <w:r>
              <w:rPr>
                <w:rFonts w:ascii="Consolas" w:cs="Consolas" w:eastAsia="Consolas" w:hAnsi="Consolas"/>
                <w:b/>
                <w:bCs/>
                <w:color w:val="F87171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  →  absorbe el corte diario + créditos Academy no se agotan</w:t>
            </w:r>
          </w:p>
          <w:p>
            <w:pPr>
              <w:spacing w:after="40" w:before="0"/>
              <w:jc w:val="left"/>
            </w:pPr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Política: Target Tracking · CPU objetivo </w:t>
            </w:r>
            <w:r>
              <w:rPr>
                <w:rFonts w:ascii="Consolas" w:cs="Consolas" w:eastAsia="Consolas" w:hAnsi="Consolas"/>
                <w:b/>
                <w:bCs/>
                <w:color w:val="FBBF24"/>
                <w:sz w:val="18"/>
                <w:szCs w:val="18"/>
              </w:rPr>
              <w:t xml:space="preserve">70 %</w:t>
            </w:r>
          </w:p>
          <w:p>
            <w:pPr>
              <w:spacing w:after="40" w:before="0"/>
              <w:jc w:val="left"/>
            </w:pPr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Scale-out: CPU &gt; 70% por 2 períodos de 60 s  →  +1 EC2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Scale-in:  CPU &lt; 30% por 15 períodos de 60 s  →  -1 EC2</w:t>
            </w:r>
          </w:p>
        </w:tc>
      </w:tr>
    </w:tbl>
    <w:sectPr>
      <w:pgSz w:w="11906" w:h="16838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CBD5E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2026-10-21T03:06:24.812Z</dcterms:created>
  <dcterms:modified xsi:type="dcterms:W3CDTF">2026-10-21T03:06:24.814Z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