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sz w:val="28"/>
          <w:szCs w:val="28"/>
        </w:rPr>
        <w:t xml:space="preserve">UNIVERSIDAD AUTÓNOMA DE SINALOA</w:t>
      </w:r>
    </w:p>
    <w:p>
      <w:pPr>
        <w:spacing w:after="80" w:before="0"/>
        <w:jc w:val="center"/>
      </w:pPr>
      <w:r>
        <w:rPr>
          <w:sz w:val="24"/>
          <w:szCs w:val="24"/>
        </w:rPr>
        <w:t xml:space="preserve">Cómputo en la Nube · Grupo 503</w:t>
      </w:r>
    </w:p>
    <w:p>
      <w:pPr>
        <w:spacing w:after="240" w:before="0"/>
        <w:jc w:val="center"/>
      </w:pPr>
      <w:r>
        <w:rPr>
          <w:sz w:val="24"/>
          <w:szCs w:val="24"/>
        </w:rPr>
        <w:t xml:space="preserve">FIM — Ingeniería de Software</w:t>
      </w:r>
    </w:p>
    <w:p>
      <w:pPr>
        <w:spacing w:after="80" w:before="0"/>
        <w:jc w:val="center"/>
      </w:pPr>
      <w:r>
        <w:rPr>
          <w:b/>
          <w:bCs/>
          <w:sz w:val="36"/>
          <w:szCs w:val="36"/>
        </w:rPr>
        <w:t xml:space="preserve">PRÁCTICA 02</w:t>
      </w:r>
    </w:p>
    <w:p>
      <w:pPr>
        <w:spacing w:after="240" w:before="0"/>
        <w:jc w:val="center"/>
      </w:pPr>
      <w:r>
        <w:rPr>
          <w:b/>
          <w:bCs/>
          <w:sz w:val="28"/>
          <w:szCs w:val="28"/>
        </w:rPr>
        <w:t xml:space="preserve">Políticas de Identidad con Mínimo Privilegio</w:t>
      </w:r>
    </w:p>
    <w:p>
      <w:pPr>
        <w:spacing w:after="80" w:before="0"/>
        <w:jc w:val="center"/>
      </w:pPr>
      <w:r>
        <w:rPr>
          <w:sz w:val="24"/>
          <w:szCs w:val="24"/>
        </w:rPr>
        <w:t xml:space="preserve">Equipo: Los Rojos</w:t>
      </w:r>
    </w:p>
    <w:p>
      <w:pPr>
        <w:spacing w:after="40" w:before="0"/>
        <w:jc w:val="center"/>
      </w:pPr>
      <w:r>
        <w:rPr>
          <w:sz w:val="22"/>
          <w:szCs w:val="22"/>
        </w:rPr>
        <w:t xml:space="preserve">López Payán Kevin Ricardo</w:t>
      </w:r>
    </w:p>
    <w:p>
      <w:pPr>
        <w:spacing w:after="80" w:before="0"/>
        <w:jc w:val="center"/>
      </w:pPr>
      <w:r>
        <w:rPr>
          <w:sz w:val="22"/>
          <w:szCs w:val="22"/>
        </w:rPr>
        <w:t xml:space="preserve">Flores Guevara Ángel Gabriel</w:t>
      </w:r>
    </w:p>
    <w:p>
      <w:pPr>
        <w:spacing w:after="600" w:before="0"/>
        <w:jc w:val="center"/>
      </w:pPr>
      <w:r>
        <w:rPr>
          <w:sz w:val="22"/>
          <w:szCs w:val="22"/>
        </w:rPr>
        <w:t xml:space="preserve">Sesión: Viernes 11 de septiembre de 2026</w:t>
      </w:r>
    </w:p>
    <w:p>
      <w:pPr>
        <w:pStyle w:val="Heading1"/>
        <w:spacing w:after="120" w:before="300"/>
      </w:pPr>
      <w:r>
        <w:rPr>
          <w:b/>
          <w:bCs/>
          <w:sz w:val="28"/>
          <w:szCs w:val="28"/>
        </w:rPr>
        <w:t xml:space="preserve">1. Tabla de Acciones Necesarias por Rol</w:t>
      </w:r>
    </w:p>
    <w:p>
      <w:pPr>
        <w:spacing w:after="60" w:before="60"/>
      </w:pPr>
      <w:r>
        <w:rPr>
          <w:sz w:val="22"/>
          <w:szCs w:val="22"/>
        </w:rPr>
        <w:t xml:space="preserve">Antes de configurar cualquier permiso se definió qué necesita hacer cada rol durante el semestre. Esta tabla es el insumo directo para las políticas redactadas en los pasos siguientes.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9D9D9" w:val="solid"/>
            <w:tcMar>
              <w:top w:type="dxa" w:w="60"/>
              <w:left w:type="dxa" w:w="100"/>
              <w:bottom w:type="dxa" w:w="60"/>
              <w:right w:type="dxa" w:w="100"/>
            </w:tcMar>
          </w:tcPr>
          <w:p>
            <w:pPr>
              <w:spacing w:after="60" w:before="60"/>
              <w:jc w:val="center"/>
            </w:pPr>
            <w:r>
              <w:rPr>
                <w:b/>
                <w:bCs/>
                <w:sz w:val="20"/>
                <w:szCs w:val="20"/>
              </w:rPr>
              <w:t xml:space="preserve">Rol</w:t>
            </w:r>
          </w:p>
        </w:tc>
        <w:tc>
          <w:tcPr>
            <w:shd w:fill="D9D9D9" w:val="solid"/>
            <w:tcMar>
              <w:top w:type="dxa" w:w="60"/>
              <w:left w:type="dxa" w:w="100"/>
              <w:bottom w:type="dxa" w:w="60"/>
              <w:right w:type="dxa" w:w="100"/>
            </w:tcMar>
          </w:tcPr>
          <w:p>
            <w:pPr>
              <w:spacing w:after="60" w:before="60"/>
              <w:jc w:val="center"/>
            </w:pPr>
            <w:r>
              <w:rPr>
                <w:b/>
                <w:bCs/>
                <w:sz w:val="20"/>
                <w:szCs w:val="20"/>
              </w:rPr>
              <w:t xml:space="preserve">Usuario IAM</w:t>
            </w:r>
          </w:p>
        </w:tc>
        <w:tc>
          <w:tcPr>
            <w:shd w:fill="D9D9D9" w:val="solid"/>
            <w:tcMar>
              <w:top w:type="dxa" w:w="60"/>
              <w:left w:type="dxa" w:w="100"/>
              <w:bottom w:type="dxa" w:w="60"/>
              <w:right w:type="dxa" w:w="100"/>
            </w:tcMar>
          </w:tcPr>
          <w:p>
            <w:pPr>
              <w:spacing w:after="60" w:before="60"/>
              <w:jc w:val="center"/>
            </w:pPr>
            <w:r>
              <w:rPr>
                <w:b/>
                <w:bCs/>
                <w:sz w:val="20"/>
                <w:szCs w:val="20"/>
              </w:rPr>
              <w:t xml:space="preserve">Acciones necesarias</w:t>
            </w:r>
          </w:p>
        </w:tc>
        <w:tc>
          <w:tcPr>
            <w:shd w:fill="D9D9D9" w:val="solid"/>
            <w:tcMar>
              <w:top w:type="dxa" w:w="60"/>
              <w:left w:type="dxa" w:w="100"/>
              <w:bottom w:type="dxa" w:w="60"/>
              <w:right w:type="dxa" w:w="100"/>
            </w:tcMar>
          </w:tcPr>
          <w:p>
            <w:pPr>
              <w:spacing w:after="60" w:before="60"/>
              <w:jc w:val="center"/>
            </w:pPr>
            <w:r>
              <w:rPr>
                <w:b/>
                <w:bCs/>
                <w:sz w:val="20"/>
                <w:szCs w:val="20"/>
              </w:rPr>
              <w:t xml:space="preserve">Servicios involucrados</w:t>
            </w:r>
          </w:p>
        </w:tc>
      </w:tr>
      <w:tr>
        <w:tc>
          <w:tcPr>
            <w:tcMar>
              <w:top w:type="dxa" w:w="50"/>
              <w:left w:type="dxa" w:w="100"/>
              <w:bottom w:type="dxa" w:w="50"/>
              <w:right w:type="dxa" w:w="100"/>
            </w:tcMar>
          </w:tcPr>
          <w:p>
            <w:pPr>
              <w:spacing w:after="50" w:before="50"/>
            </w:pPr>
            <w:r>
              <w:rPr>
                <w:b w:val="false"/>
                <w:bCs w:val="false"/>
                <w:sz w:val="20"/>
                <w:szCs w:val="20"/>
              </w:rPr>
              <w:t xml:space="preserve">Documentación</w:t>
            </w:r>
          </w:p>
        </w:tc>
        <w:tc>
          <w:tcPr>
            <w:tcMar>
              <w:top w:type="dxa" w:w="50"/>
              <w:left w:type="dxa" w:w="100"/>
              <w:bottom w:type="dxa" w:w="50"/>
              <w:right w:type="dxa" w:w="100"/>
            </w:tcMar>
          </w:tcPr>
          <w:p>
            <w:pPr>
              <w:spacing w:after="50" w:before="50"/>
            </w:pPr>
            <w:r>
              <w:rPr>
                <w:b w:val="false"/>
                <w:bCs w:val="false"/>
                <w:sz w:val="20"/>
                <w:szCs w:val="20"/>
              </w:rPr>
              <w:t xml:space="preserve">usr-kevin</w:t>
            </w:r>
          </w:p>
        </w:tc>
        <w:tc>
          <w:tcPr>
            <w:tcMar>
              <w:top w:type="dxa" w:w="50"/>
              <w:left w:type="dxa" w:w="100"/>
              <w:bottom w:type="dxa" w:w="50"/>
              <w:right w:type="dxa" w:w="100"/>
            </w:tcMar>
          </w:tcPr>
          <w:p>
            <w:pPr>
              <w:spacing w:after="50" w:before="50"/>
            </w:pPr>
            <w:r>
              <w:rPr>
                <w:b w:val="false"/>
                <w:bCs w:val="false"/>
                <w:sz w:val="20"/>
                <w:szCs w:val="20"/>
              </w:rPr>
              <w:t xml:space="preserve">Leer archivos, consultar estado de recursos, ver bitácoras</w:t>
            </w:r>
          </w:p>
        </w:tc>
        <w:tc>
          <w:tcPr>
            <w:tcMar>
              <w:top w:type="dxa" w:w="50"/>
              <w:left w:type="dxa" w:w="100"/>
              <w:bottom w:type="dxa" w:w="50"/>
              <w:right w:type="dxa" w:w="100"/>
            </w:tcMar>
          </w:tcPr>
          <w:p>
            <w:pPr>
              <w:spacing w:after="50" w:before="50"/>
            </w:pPr>
            <w:r>
              <w:rPr>
                <w:b w:val="false"/>
                <w:bCs w:val="false"/>
                <w:sz w:val="20"/>
                <w:szCs w:val="20"/>
              </w:rPr>
              <w:t xml:space="preserve">S3, EC2, RDS, CloudWatch Logs</w:t>
            </w:r>
          </w:p>
        </w:tc>
      </w:tr>
      <w:tr>
        <w:tc>
          <w:tcPr>
            <w:shd w:fill="F2F2F2" w:val="solid"/>
            <w:tcMar>
              <w:top w:type="dxa" w:w="50"/>
              <w:left w:type="dxa" w:w="100"/>
              <w:bottom w:type="dxa" w:w="50"/>
              <w:right w:type="dxa" w:w="100"/>
            </w:tcMar>
          </w:tcPr>
          <w:p>
            <w:pPr>
              <w:spacing w:after="50" w:before="50"/>
            </w:pPr>
            <w:r>
              <w:rPr>
                <w:b w:val="false"/>
                <w:bCs w:val="false"/>
                <w:sz w:val="20"/>
                <w:szCs w:val="20"/>
              </w:rPr>
              <w:t xml:space="preserve">Arquitectura</w:t>
            </w:r>
          </w:p>
        </w:tc>
        <w:tc>
          <w:tcPr>
            <w:shd w:fill="F2F2F2" w:val="solid"/>
            <w:tcMar>
              <w:top w:type="dxa" w:w="50"/>
              <w:left w:type="dxa" w:w="100"/>
              <w:bottom w:type="dxa" w:w="50"/>
              <w:right w:type="dxa" w:w="100"/>
            </w:tcMar>
          </w:tcPr>
          <w:p>
            <w:pPr>
              <w:spacing w:after="50" w:before="50"/>
            </w:pPr>
            <w:r>
              <w:rPr>
                <w:b w:val="false"/>
                <w:bCs w:val="false"/>
                <w:sz w:val="20"/>
                <w:szCs w:val="20"/>
              </w:rPr>
              <w:t xml:space="preserve">usr-kevin</w:t>
            </w:r>
          </w:p>
        </w:tc>
        <w:tc>
          <w:tcPr>
            <w:shd w:fill="F2F2F2" w:val="solid"/>
            <w:tcMar>
              <w:top w:type="dxa" w:w="50"/>
              <w:left w:type="dxa" w:w="100"/>
              <w:bottom w:type="dxa" w:w="50"/>
              <w:right w:type="dxa" w:w="100"/>
            </w:tcMar>
          </w:tcPr>
          <w:p>
            <w:pPr>
              <w:spacing w:after="50" w:before="50"/>
            </w:pPr>
            <w:r>
              <w:rPr>
                <w:b w:val="false"/>
                <w:bCs w:val="false"/>
                <w:sz w:val="20"/>
                <w:szCs w:val="20"/>
              </w:rPr>
              <w:t xml:space="preserve">Describir VPC, subnets, security groups, load balancers, instancias</w:t>
            </w:r>
          </w:p>
        </w:tc>
        <w:tc>
          <w:tcPr>
            <w:shd w:fill="F2F2F2" w:val="solid"/>
            <w:tcMar>
              <w:top w:type="dxa" w:w="50"/>
              <w:left w:type="dxa" w:w="100"/>
              <w:bottom w:type="dxa" w:w="50"/>
              <w:right w:type="dxa" w:w="100"/>
            </w:tcMar>
          </w:tcPr>
          <w:p>
            <w:pPr>
              <w:spacing w:after="50" w:before="50"/>
            </w:pPr>
            <w:r>
              <w:rPr>
                <w:b w:val="false"/>
                <w:bCs w:val="false"/>
                <w:sz w:val="20"/>
                <w:szCs w:val="20"/>
              </w:rPr>
              <w:t xml:space="preserve">EC2, VPC, ELB, RDS</w:t>
            </w:r>
          </w:p>
        </w:tc>
      </w:tr>
      <w:tr>
        <w:tc>
          <w:tcPr>
            <w:tcMar>
              <w:top w:type="dxa" w:w="50"/>
              <w:left w:type="dxa" w:w="100"/>
              <w:bottom w:type="dxa" w:w="50"/>
              <w:right w:type="dxa" w:w="100"/>
            </w:tcMar>
          </w:tcPr>
          <w:p>
            <w:pPr>
              <w:spacing w:after="50" w:before="50"/>
            </w:pPr>
            <w:r>
              <w:rPr>
                <w:b w:val="false"/>
                <w:bCs w:val="false"/>
                <w:sz w:val="20"/>
                <w:szCs w:val="20"/>
              </w:rPr>
              <w:t xml:space="preserve">Desarrollo</w:t>
            </w:r>
          </w:p>
        </w:tc>
        <w:tc>
          <w:tcPr>
            <w:tcMar>
              <w:top w:type="dxa" w:w="50"/>
              <w:left w:type="dxa" w:w="100"/>
              <w:bottom w:type="dxa" w:w="50"/>
              <w:right w:type="dxa" w:w="100"/>
            </w:tcMar>
          </w:tcPr>
          <w:p>
            <w:pPr>
              <w:spacing w:after="50" w:before="50"/>
            </w:pPr>
            <w:r>
              <w:rPr>
                <w:b w:val="false"/>
                <w:bCs w:val="false"/>
                <w:sz w:val="20"/>
                <w:szCs w:val="20"/>
              </w:rPr>
              <w:t xml:space="preserve">usr-angel</w:t>
            </w:r>
          </w:p>
        </w:tc>
        <w:tc>
          <w:tcPr>
            <w:tcMar>
              <w:top w:type="dxa" w:w="50"/>
              <w:left w:type="dxa" w:w="100"/>
              <w:bottom w:type="dxa" w:w="50"/>
              <w:right w:type="dxa" w:w="100"/>
            </w:tcMar>
          </w:tcPr>
          <w:p>
            <w:pPr>
              <w:spacing w:after="50" w:before="50"/>
            </w:pPr>
            <w:r>
              <w:rPr>
                <w:b w:val="false"/>
                <w:bCs w:val="false"/>
                <w:sz w:val="20"/>
                <w:szCs w:val="20"/>
              </w:rPr>
              <w:t xml:space="preserve">Subir/bajar archivos, ver métricas, leer y escribir en base de datos</w:t>
            </w:r>
          </w:p>
        </w:tc>
        <w:tc>
          <w:tcPr>
            <w:tcMar>
              <w:top w:type="dxa" w:w="50"/>
              <w:left w:type="dxa" w:w="100"/>
              <w:bottom w:type="dxa" w:w="50"/>
              <w:right w:type="dxa" w:w="100"/>
            </w:tcMar>
          </w:tcPr>
          <w:p>
            <w:pPr>
              <w:spacing w:after="50" w:before="50"/>
            </w:pPr>
            <w:r>
              <w:rPr>
                <w:b w:val="false"/>
                <w:bCs w:val="false"/>
                <w:sz w:val="20"/>
                <w:szCs w:val="20"/>
              </w:rPr>
              <w:t xml:space="preserve">S3, CloudWatch, RDS</w:t>
            </w:r>
          </w:p>
        </w:tc>
      </w:tr>
      <w:tr>
        <w:tc>
          <w:tcPr>
            <w:shd w:fill="F2F2F2" w:val="solid"/>
            <w:tcMar>
              <w:top w:type="dxa" w:w="50"/>
              <w:left w:type="dxa" w:w="100"/>
              <w:bottom w:type="dxa" w:w="50"/>
              <w:right w:type="dxa" w:w="100"/>
            </w:tcMar>
          </w:tcPr>
          <w:p>
            <w:pPr>
              <w:spacing w:after="50" w:before="50"/>
            </w:pPr>
            <w:r>
              <w:rPr>
                <w:b w:val="false"/>
                <w:bCs w:val="false"/>
                <w:sz w:val="20"/>
                <w:szCs w:val="20"/>
              </w:rPr>
              <w:t xml:space="preserve">Seguridad / Costos</w:t>
            </w:r>
          </w:p>
        </w:tc>
        <w:tc>
          <w:tcPr>
            <w:shd w:fill="F2F2F2" w:val="solid"/>
            <w:tcMar>
              <w:top w:type="dxa" w:w="50"/>
              <w:left w:type="dxa" w:w="100"/>
              <w:bottom w:type="dxa" w:w="50"/>
              <w:right w:type="dxa" w:w="100"/>
            </w:tcMar>
          </w:tcPr>
          <w:p>
            <w:pPr>
              <w:spacing w:after="50" w:before="50"/>
            </w:pPr>
            <w:r>
              <w:rPr>
                <w:b w:val="false"/>
                <w:bCs w:val="false"/>
                <w:sz w:val="20"/>
                <w:szCs w:val="20"/>
              </w:rPr>
              <w:t xml:space="preserve">usr-angel</w:t>
            </w:r>
          </w:p>
        </w:tc>
        <w:tc>
          <w:tcPr>
            <w:shd w:fill="F2F2F2" w:val="solid"/>
            <w:tcMar>
              <w:top w:type="dxa" w:w="50"/>
              <w:left w:type="dxa" w:w="100"/>
              <w:bottom w:type="dxa" w:w="50"/>
              <w:right w:type="dxa" w:w="100"/>
            </w:tcMar>
          </w:tcPr>
          <w:p>
            <w:pPr>
              <w:spacing w:after="50" w:before="50"/>
            </w:pPr>
            <w:r>
              <w:rPr>
                <w:b w:val="false"/>
                <w:bCs w:val="false"/>
                <w:sz w:val="20"/>
                <w:szCs w:val="20"/>
              </w:rPr>
              <w:t xml:space="preserve">Administración completa de IAM, presupuestos y emergencias de acceso</w:t>
            </w:r>
          </w:p>
        </w:tc>
        <w:tc>
          <w:tcPr>
            <w:shd w:fill="F2F2F2" w:val="solid"/>
            <w:tcMar>
              <w:top w:type="dxa" w:w="50"/>
              <w:left w:type="dxa" w:w="100"/>
              <w:bottom w:type="dxa" w:w="50"/>
              <w:right w:type="dxa" w:w="100"/>
            </w:tcMar>
          </w:tcPr>
          <w:p>
            <w:pPr>
              <w:spacing w:after="50" w:before="50"/>
            </w:pPr>
            <w:r>
              <w:rPr>
                <w:b w:val="false"/>
                <w:bCs w:val="false"/>
                <w:sz w:val="20"/>
                <w:szCs w:val="20"/>
              </w:rPr>
              <w:t xml:space="preserve">IAM, Billing, todos los servicios</w:t>
            </w:r>
          </w:p>
        </w:tc>
      </w:tr>
    </w:tbl>
    <w:p>
      <w:pPr>
        <w:spacing w:after="80" w:before="80"/>
      </w:pPr>
    </w:p>
    <w:p>
      <w:pPr>
        <w:pStyle w:val="Heading1"/>
        <w:spacing w:after="120" w:before="300"/>
      </w:pPr>
      <w:r>
        <w:rPr>
          <w:b/>
          <w:bCs/>
          <w:sz w:val="28"/>
          <w:szCs w:val="28"/>
        </w:rPr>
        <w:t xml:space="preserve">2. Permisos Amplios Retirados</w:t>
      </w:r>
    </w:p>
    <w:p>
      <w:pPr>
        <w:spacing w:after="60" w:before="60"/>
      </w:pPr>
      <w:r>
        <w:rPr>
          <w:sz w:val="22"/>
          <w:szCs w:val="22"/>
        </w:rPr>
        <w:t xml:space="preserve">Se retiraron los permisos provisionales asignados en la Práctica 01. El grupo de seguridad y costos conserva AdministratorAccess porque lo necesita para gestionar IAM y presupuestos.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D9D9" w:val="solid"/>
            <w:tcMar>
              <w:top w:type="dxa" w:w="60"/>
              <w:left w:type="dxa" w:w="100"/>
              <w:bottom w:type="dxa" w:w="60"/>
              <w:right w:type="dxa" w:w="100"/>
            </w:tcMar>
          </w:tcPr>
          <w:p>
            <w:pPr>
              <w:spacing w:after="60" w:before="60"/>
              <w:jc w:val="center"/>
            </w:pPr>
            <w:r>
              <w:rPr>
                <w:b/>
                <w:bCs/>
                <w:sz w:val="20"/>
                <w:szCs w:val="20"/>
              </w:rPr>
              <w:t xml:space="preserve">Grupo</w:t>
            </w:r>
          </w:p>
        </w:tc>
        <w:tc>
          <w:tcPr>
            <w:shd w:fill="D9D9D9" w:val="solid"/>
            <w:tcMar>
              <w:top w:type="dxa" w:w="60"/>
              <w:left w:type="dxa" w:w="100"/>
              <w:bottom w:type="dxa" w:w="60"/>
              <w:right w:type="dxa" w:w="100"/>
            </w:tcMar>
          </w:tcPr>
          <w:p>
            <w:pPr>
              <w:spacing w:after="60" w:before="60"/>
              <w:jc w:val="center"/>
            </w:pPr>
            <w:r>
              <w:rPr>
                <w:b/>
                <w:bCs/>
                <w:sz w:val="20"/>
                <w:szCs w:val="20"/>
              </w:rPr>
              <w:t xml:space="preserve">Política retirada</w:t>
            </w:r>
          </w:p>
        </w:tc>
        <w:tc>
          <w:tcPr>
            <w:shd w:fill="D9D9D9" w:val="solid"/>
            <w:tcMar>
              <w:top w:type="dxa" w:w="60"/>
              <w:left w:type="dxa" w:w="100"/>
              <w:bottom w:type="dxa" w:w="60"/>
              <w:right w:type="dxa" w:w="100"/>
            </w:tcMar>
          </w:tcPr>
          <w:p>
            <w:pPr>
              <w:spacing w:after="60" w:before="60"/>
              <w:jc w:val="center"/>
            </w:pPr>
            <w:r>
              <w:rPr>
                <w:b/>
                <w:bCs/>
                <w:sz w:val="20"/>
                <w:szCs w:val="20"/>
              </w:rPr>
              <w:t xml:space="preserve">Motivo</w:t>
            </w:r>
          </w:p>
        </w:tc>
      </w:tr>
      <w:tr>
        <w:tc>
          <w:tcPr>
            <w:tcMar>
              <w:top w:type="dxa" w:w="50"/>
              <w:left w:type="dxa" w:w="100"/>
              <w:bottom w:type="dxa" w:w="50"/>
              <w:right w:type="dxa" w:w="100"/>
            </w:tcMar>
          </w:tcPr>
          <w:p>
            <w:pPr>
              <w:spacing w:after="50" w:before="50"/>
            </w:pPr>
            <w:r>
              <w:rPr>
                <w:b w:val="false"/>
                <w:bCs w:val="false"/>
                <w:sz w:val="20"/>
                <w:szCs w:val="20"/>
              </w:rPr>
              <w:t xml:space="preserve">grp-documentacion</w:t>
            </w:r>
          </w:p>
        </w:tc>
        <w:tc>
          <w:tcPr>
            <w:tcMar>
              <w:top w:type="dxa" w:w="50"/>
              <w:left w:type="dxa" w:w="100"/>
              <w:bottom w:type="dxa" w:w="50"/>
              <w:right w:type="dxa" w:w="100"/>
            </w:tcMar>
          </w:tcPr>
          <w:p>
            <w:pPr>
              <w:spacing w:after="50" w:before="50"/>
            </w:pPr>
            <w:r>
              <w:rPr>
                <w:b w:val="false"/>
                <w:bCs w:val="false"/>
                <w:sz w:val="20"/>
                <w:szCs w:val="20"/>
              </w:rPr>
              <w:t xml:space="preserve">ReadOnlyAccess (AWS managed)</w:t>
            </w:r>
          </w:p>
        </w:tc>
        <w:tc>
          <w:tcPr>
            <w:tcMar>
              <w:top w:type="dxa" w:w="50"/>
              <w:left w:type="dxa" w:w="100"/>
              <w:bottom w:type="dxa" w:w="50"/>
              <w:right w:type="dxa" w:w="100"/>
            </w:tcMar>
          </w:tcPr>
          <w:p>
            <w:pPr>
              <w:spacing w:after="50" w:before="50"/>
            </w:pPr>
            <w:r>
              <w:rPr>
                <w:b w:val="false"/>
                <w:bCs w:val="false"/>
                <w:sz w:val="20"/>
                <w:szCs w:val="20"/>
              </w:rPr>
              <w:t xml:space="preserve">Demasiado amplia: permite leer todos los servicios de la cuenta</w:t>
            </w:r>
          </w:p>
        </w:tc>
      </w:tr>
      <w:tr>
        <w:tc>
          <w:tcPr>
            <w:shd w:fill="F2F2F2" w:val="solid"/>
            <w:tcMar>
              <w:top w:type="dxa" w:w="50"/>
              <w:left w:type="dxa" w:w="100"/>
              <w:bottom w:type="dxa" w:w="50"/>
              <w:right w:type="dxa" w:w="100"/>
            </w:tcMar>
          </w:tcPr>
          <w:p>
            <w:pPr>
              <w:spacing w:after="50" w:before="50"/>
            </w:pPr>
            <w:r>
              <w:rPr>
                <w:b w:val="false"/>
                <w:bCs w:val="false"/>
                <w:sz w:val="20"/>
                <w:szCs w:val="20"/>
              </w:rPr>
              <w:t xml:space="preserve">grp-arquitectura</w:t>
            </w:r>
          </w:p>
        </w:tc>
        <w:tc>
          <w:tcPr>
            <w:shd w:fill="F2F2F2" w:val="solid"/>
            <w:tcMar>
              <w:top w:type="dxa" w:w="50"/>
              <w:left w:type="dxa" w:w="100"/>
              <w:bottom w:type="dxa" w:w="50"/>
              <w:right w:type="dxa" w:w="100"/>
            </w:tcMar>
          </w:tcPr>
          <w:p>
            <w:pPr>
              <w:spacing w:after="50" w:before="50"/>
            </w:pPr>
            <w:r>
              <w:rPr>
                <w:b w:val="false"/>
                <w:bCs w:val="false"/>
                <w:sz w:val="20"/>
                <w:szCs w:val="20"/>
              </w:rPr>
              <w:t xml:space="preserve">ReadOnlyAccess (AWS managed)</w:t>
            </w:r>
          </w:p>
        </w:tc>
        <w:tc>
          <w:tcPr>
            <w:shd w:fill="F2F2F2" w:val="solid"/>
            <w:tcMar>
              <w:top w:type="dxa" w:w="50"/>
              <w:left w:type="dxa" w:w="100"/>
              <w:bottom w:type="dxa" w:w="50"/>
              <w:right w:type="dxa" w:w="100"/>
            </w:tcMar>
          </w:tcPr>
          <w:p>
            <w:pPr>
              <w:spacing w:after="50" w:before="50"/>
            </w:pPr>
            <w:r>
              <w:rPr>
                <w:b w:val="false"/>
                <w:bCs w:val="false"/>
                <w:sz w:val="20"/>
                <w:szCs w:val="20"/>
              </w:rPr>
              <w:t xml:space="preserve">No restringe por recurso ni por servicio específico → reemplazada por pol-arquitectura-losrojos</w:t>
            </w:r>
          </w:p>
        </w:tc>
      </w:tr>
      <w:tr>
        <w:tc>
          <w:tcPr>
            <w:tcMar>
              <w:top w:type="dxa" w:w="50"/>
              <w:left w:type="dxa" w:w="100"/>
              <w:bottom w:type="dxa" w:w="50"/>
              <w:right w:type="dxa" w:w="100"/>
            </w:tcMar>
          </w:tcPr>
          <w:p>
            <w:pPr>
              <w:spacing w:after="50" w:before="50"/>
            </w:pPr>
            <w:r>
              <w:rPr>
                <w:b w:val="false"/>
                <w:bCs w:val="false"/>
                <w:sz w:val="20"/>
                <w:szCs w:val="20"/>
              </w:rPr>
              <w:t xml:space="preserve">grp-desarrollo</w:t>
            </w:r>
          </w:p>
        </w:tc>
        <w:tc>
          <w:tcPr>
            <w:tcMar>
              <w:top w:type="dxa" w:w="50"/>
              <w:left w:type="dxa" w:w="100"/>
              <w:bottom w:type="dxa" w:w="50"/>
              <w:right w:type="dxa" w:w="100"/>
            </w:tcMar>
          </w:tcPr>
          <w:p>
            <w:pPr>
              <w:spacing w:after="50" w:before="50"/>
            </w:pPr>
            <w:r>
              <w:rPr>
                <w:b w:val="false"/>
                <w:bCs w:val="false"/>
                <w:sz w:val="20"/>
                <w:szCs w:val="20"/>
              </w:rPr>
              <w:t xml:space="preserve">ReadOnlyAccess (AWS managed)</w:t>
            </w:r>
          </w:p>
        </w:tc>
        <w:tc>
          <w:tcPr>
            <w:tcMar>
              <w:top w:type="dxa" w:w="50"/>
              <w:left w:type="dxa" w:w="100"/>
              <w:bottom w:type="dxa" w:w="50"/>
              <w:right w:type="dxa" w:w="100"/>
            </w:tcMar>
          </w:tcPr>
          <w:p>
            <w:pPr>
              <w:spacing w:after="50" w:before="50"/>
            </w:pPr>
            <w:r>
              <w:rPr>
                <w:b w:val="false"/>
                <w:bCs w:val="false"/>
                <w:sz w:val="20"/>
                <w:szCs w:val="20"/>
              </w:rPr>
              <w:t xml:space="preserve">No permite escritura y no tiene control granular</w:t>
            </w:r>
          </w:p>
        </w:tc>
      </w:tr>
      <w:tr>
        <w:tc>
          <w:tcPr>
            <w:shd w:fill="F2F2F2" w:val="solid"/>
            <w:tcMar>
              <w:top w:type="dxa" w:w="50"/>
              <w:left w:type="dxa" w:w="100"/>
              <w:bottom w:type="dxa" w:w="50"/>
              <w:right w:type="dxa" w:w="100"/>
            </w:tcMar>
          </w:tcPr>
          <w:p>
            <w:pPr>
              <w:spacing w:after="50" w:before="50"/>
            </w:pPr>
            <w:r>
              <w:rPr>
                <w:b w:val="false"/>
                <w:bCs w:val="false"/>
                <w:sz w:val="20"/>
                <w:szCs w:val="20"/>
              </w:rPr>
              <w:t xml:space="preserve">grp-seguridad-costos</w:t>
            </w:r>
          </w:p>
        </w:tc>
        <w:tc>
          <w:tcPr>
            <w:shd w:fill="F2F2F2" w:val="solid"/>
            <w:tcMar>
              <w:top w:type="dxa" w:w="50"/>
              <w:left w:type="dxa" w:w="100"/>
              <w:bottom w:type="dxa" w:w="50"/>
              <w:right w:type="dxa" w:w="100"/>
            </w:tcMar>
          </w:tcPr>
          <w:p>
            <w:pPr>
              <w:spacing w:after="50" w:before="50"/>
            </w:pPr>
            <w:r>
              <w:rPr>
                <w:b w:val="false"/>
                <w:bCs w:val="false"/>
                <w:sz w:val="20"/>
                <w:szCs w:val="20"/>
              </w:rPr>
              <w:t xml:space="preserve">Conserva AdministratorAccess</w:t>
            </w:r>
          </w:p>
        </w:tc>
        <w:tc>
          <w:tcPr>
            <w:shd w:fill="F2F2F2" w:val="solid"/>
            <w:tcMar>
              <w:top w:type="dxa" w:w="50"/>
              <w:left w:type="dxa" w:w="100"/>
              <w:bottom w:type="dxa" w:w="50"/>
              <w:right w:type="dxa" w:w="100"/>
            </w:tcMar>
          </w:tcPr>
          <w:p>
            <w:pPr>
              <w:spacing w:after="50" w:before="50"/>
            </w:pPr>
            <w:r>
              <w:rPr>
                <w:b w:val="false"/>
                <w:bCs w:val="false"/>
                <w:sz w:val="20"/>
                <w:szCs w:val="20"/>
              </w:rPr>
              <w:t xml:space="preserve">Necesario para gestión de IAM, presupuesto y emergencias</w:t>
            </w:r>
          </w:p>
        </w:tc>
      </w:tr>
    </w:tbl>
    <w:p>
      <w:pPr>
        <w:spacing w:after="80" w:before="80"/>
      </w:pPr>
    </w:p>
    <w:p>
      <w:pPr>
        <w:pStyle w:val="Heading1"/>
        <w:spacing w:after="120" w:before="300"/>
      </w:pPr>
      <w:r>
        <w:rPr>
          <w:b/>
          <w:bCs/>
          <w:sz w:val="28"/>
          <w:szCs w:val="28"/>
        </w:rPr>
        <w:t xml:space="preserve">3. Política de Solo Lectura — Documentación</w:t>
      </w:r>
    </w:p>
    <w:p>
      <w:pPr>
        <w:spacing w:after="60" w:before="60"/>
      </w:pPr>
      <w:r>
        <w:rPr>
          <w:b/>
          <w:bCs/>
          <w:sz w:val="22"/>
          <w:szCs w:val="22"/>
        </w:rPr>
        <w:t xml:space="preserve">Nombre: </w:t>
      </w:r>
      <w:r>
        <w:rPr>
          <w:b w:val="false"/>
          <w:bCs w:val="false"/>
          <w:sz w:val="22"/>
          <w:szCs w:val="22"/>
        </w:rPr>
        <w:t xml:space="preserve">pol-documentacion-lectura-los-rojos</w:t>
      </w:r>
    </w:p>
    <w:p>
      <w:pPr>
        <w:spacing w:after="60" w:before="60"/>
      </w:pPr>
      <w:r>
        <w:rPr>
          <w:b/>
          <w:bCs/>
          <w:sz w:val="22"/>
          <w:szCs w:val="22"/>
        </w:rPr>
        <w:t xml:space="preserve">Asignada a: </w:t>
      </w:r>
      <w:r>
        <w:rPr>
          <w:b w:val="false"/>
          <w:bCs w:val="false"/>
          <w:sz w:val="22"/>
          <w:szCs w:val="22"/>
        </w:rPr>
        <w:t xml:space="preserve">grp-documentacion (usr-kevin)</w:t>
      </w:r>
    </w:p>
    <w:p>
      <w:pPr>
        <w:spacing w:after="80" w:before="80"/>
      </w:pPr>
    </w:p>
    <w:p>
      <w:pPr>
        <w:spacing w:after="60" w:before="60"/>
      </w:pPr>
      <w:r>
        <w:rPr>
          <w:sz w:val="22"/>
          <w:szCs w:val="22"/>
        </w:rPr>
        <w:t xml:space="preserve">¿Qué permite esta política?</w:t>
      </w:r>
    </w:p>
    <w:p>
      <w:pPr>
        <w:pStyle w:val="ListParagraph"/>
        <w:numPr>
          <w:ilvl w:val="0"/>
          <w:numId w:val="1"/>
        </w:numPr>
        <w:spacing w:after="40" w:before="40"/>
      </w:pPr>
      <w:r>
        <w:rPr>
          <w:sz w:val="22"/>
          <w:szCs w:val="22"/>
        </w:rPr>
        <w:t xml:space="preserve">s3:GetObject, s3:ListBucket — Descargar y listar archivos del bucket inventario-archivos-losrojos</w:t>
      </w:r>
    </w:p>
    <w:p>
      <w:pPr>
        <w:pStyle w:val="ListParagraph"/>
        <w:numPr>
          <w:ilvl w:val="0"/>
          <w:numId w:val="1"/>
        </w:numPr>
        <w:spacing w:after="40" w:before="40"/>
      </w:pPr>
      <w:r>
        <w:rPr>
          <w:sz w:val="22"/>
          <w:szCs w:val="22"/>
        </w:rPr>
        <w:t xml:space="preserve">ec2:DescribeInstances, ec2:DescribeTags — Consultar instancias EC2 etiquetadas con equipo=los-rojos</w:t>
      </w:r>
    </w:p>
    <w:p>
      <w:pPr>
        <w:pStyle w:val="ListParagraph"/>
        <w:numPr>
          <w:ilvl w:val="0"/>
          <w:numId w:val="1"/>
        </w:numPr>
        <w:spacing w:after="40" w:before="40"/>
      </w:pPr>
      <w:r>
        <w:rPr>
          <w:sz w:val="22"/>
          <w:szCs w:val="22"/>
        </w:rPr>
        <w:t xml:space="preserve">rds:DescribeDBInstances — Ver estado de la base de datos inventario-db</w:t>
      </w:r>
    </w:p>
    <w:p>
      <w:pPr>
        <w:pStyle w:val="ListParagraph"/>
        <w:numPr>
          <w:ilvl w:val="0"/>
          <w:numId w:val="1"/>
        </w:numPr>
        <w:spacing w:after="40" w:before="40"/>
      </w:pPr>
      <w:r>
        <w:rPr>
          <w:sz w:val="22"/>
          <w:szCs w:val="22"/>
        </w:rPr>
        <w:t xml:space="preserve">logs:GetLogEvents, logs:FilterLogEvents — Leer bitácoras de CloudWatch</w:t>
      </w:r>
    </w:p>
    <w:p>
      <w:pPr>
        <w:spacing w:after="80" w:before="80"/>
      </w:pPr>
    </w:p>
    <w:p>
      <w:pPr>
        <w:spacing w:after="60" w:before="60"/>
      </w:pPr>
      <w:r>
        <w:rPr>
          <w:sz w:val="22"/>
          <w:szCs w:val="22"/>
        </w:rPr>
        <w:t xml:space="preserve">Restricción clave: el acceso a EC2 y RDS está condicionado a la etiqueta equipo=los-rojos. Recursos sin esa etiqueta son inaccesibles para este usuario.</w:t>
      </w:r>
    </w:p>
    <w:p>
      <w:pPr>
        <w:spacing w:after="80" w:before="80"/>
      </w:pPr>
    </w:p>
    <w:p>
      <w:pPr>
        <w:spacing w:after="60" w:before="60"/>
      </w:pPr>
      <w:r>
        <w:rPr>
          <w:sz w:val="22"/>
          <w:szCs w:val="22"/>
        </w:rPr>
        <w:t xml:space="preserve">Texto de la política (formato JSON):</w:t>
      </w:r>
    </w:p>
    <w:p>
      <w:pPr>
        <w:spacing w:after="80" w:before="80"/>
      </w:pPr>
    </w:p>
    <w:p>
      <w:pPr>
        <w:spacing w:after="0" w:before="0"/>
        <w:ind w:left="360"/>
      </w:pPr>
      <w:r>
        <w:rPr>
          <w:rFonts w:ascii="Courier New" w:cs="Courier New" w:eastAsia="Courier New" w:hAnsi="Courier New"/>
          <w:sz w:val="18"/>
          <w:szCs w:val="18"/>
        </w:rPr>
        <w:t xml:space="preserve">{</w:t>
      </w:r>
    </w:p>
    <w:p>
      <w:pPr>
        <w:spacing w:after="0" w:before="0"/>
        <w:ind w:left="360"/>
      </w:pPr>
      <w:r>
        <w:rPr>
          <w:rFonts w:ascii="Courier New" w:cs="Courier New" w:eastAsia="Courier New" w:hAnsi="Courier New"/>
          <w:sz w:val="18"/>
          <w:szCs w:val="18"/>
        </w:rPr>
        <w:t xml:space="preserve">  "Version": "2012-10-17",</w:t>
      </w:r>
    </w:p>
    <w:p>
      <w:pPr>
        <w:spacing w:after="0" w:before="0"/>
        <w:ind w:left="360"/>
      </w:pPr>
      <w:r>
        <w:rPr>
          <w:rFonts w:ascii="Courier New" w:cs="Courier New" w:eastAsia="Courier New" w:hAnsi="Courier New"/>
          <w:sz w:val="18"/>
          <w:szCs w:val="18"/>
        </w:rPr>
        <w:t xml:space="preserve">  "Statement":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"Sid": "LeerBucketsS3",</w:t>
      </w:r>
    </w:p>
    <w:p>
      <w:pPr>
        <w:spacing w:after="0" w:before="0"/>
        <w:ind w:left="360"/>
      </w:pPr>
      <w:r>
        <w:rPr>
          <w:rFonts w:ascii="Courier New" w:cs="Courier New" w:eastAsia="Courier New" w:hAnsi="Courier New"/>
          <w:sz w:val="18"/>
          <w:szCs w:val="18"/>
        </w:rPr>
        <w:t xml:space="preserve">      "Effect": "Allow",</w:t>
      </w:r>
    </w:p>
    <w:p>
      <w:pPr>
        <w:spacing w:after="0" w:before="0"/>
        <w:ind w:left="360"/>
      </w:pPr>
      <w:r>
        <w:rPr>
          <w:rFonts w:ascii="Courier New" w:cs="Courier New" w:eastAsia="Courier New" w:hAnsi="Courier New"/>
          <w:sz w:val="18"/>
          <w:szCs w:val="18"/>
        </w:rPr>
        <w:t xml:space="preserve">      "Action": [</w:t>
      </w:r>
    </w:p>
    <w:p>
      <w:pPr>
        <w:spacing w:after="0" w:before="0"/>
        <w:ind w:left="360"/>
      </w:pPr>
      <w:r>
        <w:rPr>
          <w:rFonts w:ascii="Courier New" w:cs="Courier New" w:eastAsia="Courier New" w:hAnsi="Courier New"/>
          <w:sz w:val="18"/>
          <w:szCs w:val="18"/>
        </w:rPr>
        <w:t xml:space="preserve">        "s3:GetObject",</w:t>
      </w:r>
    </w:p>
    <w:p>
      <w:pPr>
        <w:spacing w:after="0" w:before="0"/>
        <w:ind w:left="360"/>
      </w:pPr>
      <w:r>
        <w:rPr>
          <w:rFonts w:ascii="Courier New" w:cs="Courier New" w:eastAsia="Courier New" w:hAnsi="Courier New"/>
          <w:sz w:val="18"/>
          <w:szCs w:val="18"/>
        </w:rPr>
        <w:t xml:space="preserve">        "s3:ListBucket",</w:t>
      </w:r>
    </w:p>
    <w:p>
      <w:pPr>
        <w:spacing w:after="0" w:before="0"/>
        <w:ind w:left="360"/>
      </w:pPr>
      <w:r>
        <w:rPr>
          <w:rFonts w:ascii="Courier New" w:cs="Courier New" w:eastAsia="Courier New" w:hAnsi="Courier New"/>
          <w:sz w:val="18"/>
          <w:szCs w:val="18"/>
        </w:rPr>
        <w:t xml:space="preserve">        "s3:GetBucketLocation"</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"Resource": [</w:t>
      </w:r>
    </w:p>
    <w:p>
      <w:pPr>
        <w:spacing w:after="0" w:before="0"/>
        <w:ind w:left="360"/>
      </w:pPr>
      <w:r>
        <w:rPr>
          <w:rFonts w:ascii="Courier New" w:cs="Courier New" w:eastAsia="Courier New" w:hAnsi="Courier New"/>
          <w:sz w:val="18"/>
          <w:szCs w:val="18"/>
        </w:rPr>
        <w:t xml:space="preserve">        "arn:aws:s3:::inventario-archivos-losrojos",</w:t>
      </w:r>
    </w:p>
    <w:p>
      <w:pPr>
        <w:spacing w:after="0" w:before="0"/>
        <w:ind w:left="360"/>
      </w:pPr>
      <w:r>
        <w:rPr>
          <w:rFonts w:ascii="Courier New" w:cs="Courier New" w:eastAsia="Courier New" w:hAnsi="Courier New"/>
          <w:sz w:val="18"/>
          <w:szCs w:val="18"/>
        </w:rPr>
        <w:t xml:space="preserve">        "arn:aws:s3:::inventario-archivos-losrojos/*"</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"Sid": "DescribirEC2yRDS",</w:t>
      </w:r>
    </w:p>
    <w:p>
      <w:pPr>
        <w:spacing w:after="0" w:before="0"/>
        <w:ind w:left="360"/>
      </w:pPr>
      <w:r>
        <w:rPr>
          <w:rFonts w:ascii="Courier New" w:cs="Courier New" w:eastAsia="Courier New" w:hAnsi="Courier New"/>
          <w:sz w:val="18"/>
          <w:szCs w:val="18"/>
        </w:rPr>
        <w:t xml:space="preserve">      "Effect": "Allow",</w:t>
      </w:r>
    </w:p>
    <w:p>
      <w:pPr>
        <w:spacing w:after="0" w:before="0"/>
        <w:ind w:left="360"/>
      </w:pPr>
      <w:r>
        <w:rPr>
          <w:rFonts w:ascii="Courier New" w:cs="Courier New" w:eastAsia="Courier New" w:hAnsi="Courier New"/>
          <w:sz w:val="18"/>
          <w:szCs w:val="18"/>
        </w:rPr>
        <w:t xml:space="preserve">      "Action": [</w:t>
      </w:r>
    </w:p>
    <w:p>
      <w:pPr>
        <w:spacing w:after="0" w:before="0"/>
        <w:ind w:left="360"/>
      </w:pPr>
      <w:r>
        <w:rPr>
          <w:rFonts w:ascii="Courier New" w:cs="Courier New" w:eastAsia="Courier New" w:hAnsi="Courier New"/>
          <w:sz w:val="18"/>
          <w:szCs w:val="18"/>
        </w:rPr>
        <w:t xml:space="preserve">        "ec2:DescribeInstances",</w:t>
      </w:r>
    </w:p>
    <w:p>
      <w:pPr>
        <w:spacing w:after="0" w:before="0"/>
        <w:ind w:left="360"/>
      </w:pPr>
      <w:r>
        <w:rPr>
          <w:rFonts w:ascii="Courier New" w:cs="Courier New" w:eastAsia="Courier New" w:hAnsi="Courier New"/>
          <w:sz w:val="18"/>
          <w:szCs w:val="18"/>
        </w:rPr>
        <w:t xml:space="preserve">        "ec2:DescribeTags",</w:t>
      </w:r>
    </w:p>
    <w:p>
      <w:pPr>
        <w:spacing w:after="0" w:before="0"/>
        <w:ind w:left="360"/>
      </w:pPr>
      <w:r>
        <w:rPr>
          <w:rFonts w:ascii="Courier New" w:cs="Courier New" w:eastAsia="Courier New" w:hAnsi="Courier New"/>
          <w:sz w:val="18"/>
          <w:szCs w:val="18"/>
        </w:rPr>
        <w:t xml:space="preserve">        "rds:DescribeDBInstances"</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"Resource": "*",</w:t>
      </w:r>
    </w:p>
    <w:p>
      <w:pPr>
        <w:spacing w:after="0" w:before="0"/>
        <w:ind w:left="360"/>
      </w:pPr>
      <w:r>
        <w:rPr>
          <w:rFonts w:ascii="Courier New" w:cs="Courier New" w:eastAsia="Courier New" w:hAnsi="Courier New"/>
          <w:sz w:val="18"/>
          <w:szCs w:val="18"/>
        </w:rPr>
        <w:t xml:space="preserve">      "Condition": {</w:t>
      </w:r>
    </w:p>
    <w:p>
      <w:pPr>
        <w:spacing w:after="0" w:before="0"/>
        <w:ind w:left="360"/>
      </w:pPr>
      <w:r>
        <w:rPr>
          <w:rFonts w:ascii="Courier New" w:cs="Courier New" w:eastAsia="Courier New" w:hAnsi="Courier New"/>
          <w:sz w:val="18"/>
          <w:szCs w:val="18"/>
        </w:rPr>
        <w:t xml:space="preserve">        "StringEquals": {</w:t>
      </w:r>
    </w:p>
    <w:p>
      <w:pPr>
        <w:spacing w:after="0" w:before="0"/>
        <w:ind w:left="360"/>
      </w:pPr>
      <w:r>
        <w:rPr>
          <w:rFonts w:ascii="Courier New" w:cs="Courier New" w:eastAsia="Courier New" w:hAnsi="Courier New"/>
          <w:sz w:val="18"/>
          <w:szCs w:val="18"/>
        </w:rPr>
        <w:t xml:space="preserve">          "aws:ResourceTag/equipo": "los-rojos"</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"Sid": "LeerLogsCloudWatch",</w:t>
      </w:r>
    </w:p>
    <w:p>
      <w:pPr>
        <w:spacing w:after="0" w:before="0"/>
        <w:ind w:left="360"/>
      </w:pPr>
      <w:r>
        <w:rPr>
          <w:rFonts w:ascii="Courier New" w:cs="Courier New" w:eastAsia="Courier New" w:hAnsi="Courier New"/>
          <w:sz w:val="18"/>
          <w:szCs w:val="18"/>
        </w:rPr>
        <w:t xml:space="preserve">      "Effect": "Allow",</w:t>
      </w:r>
    </w:p>
    <w:p>
      <w:pPr>
        <w:spacing w:after="0" w:before="0"/>
        <w:ind w:left="360"/>
      </w:pPr>
      <w:r>
        <w:rPr>
          <w:rFonts w:ascii="Courier New" w:cs="Courier New" w:eastAsia="Courier New" w:hAnsi="Courier New"/>
          <w:sz w:val="18"/>
          <w:szCs w:val="18"/>
        </w:rPr>
        <w:t xml:space="preserve">      "Action": [</w:t>
      </w:r>
    </w:p>
    <w:p>
      <w:pPr>
        <w:spacing w:after="0" w:before="0"/>
        <w:ind w:left="360"/>
      </w:pPr>
      <w:r>
        <w:rPr>
          <w:rFonts w:ascii="Courier New" w:cs="Courier New" w:eastAsia="Courier New" w:hAnsi="Courier New"/>
          <w:sz w:val="18"/>
          <w:szCs w:val="18"/>
        </w:rPr>
        <w:t xml:space="preserve">        "logs:DescribeLogGroups",</w:t>
      </w:r>
    </w:p>
    <w:p>
      <w:pPr>
        <w:spacing w:after="0" w:before="0"/>
        <w:ind w:left="360"/>
      </w:pPr>
      <w:r>
        <w:rPr>
          <w:rFonts w:ascii="Courier New" w:cs="Courier New" w:eastAsia="Courier New" w:hAnsi="Courier New"/>
          <w:sz w:val="18"/>
          <w:szCs w:val="18"/>
        </w:rPr>
        <w:t xml:space="preserve">        "logs:GetLogEvents"</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"Resource": "arn:aws:logs:us-east-1:*:log-group:/aws/*"</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w:t>
      </w:r>
    </w:p>
    <w:p>
      <w:pPr>
        <w:spacing w:after="80" w:before="80"/>
      </w:pPr>
    </w:p>
    <w:p>
      <w:pPr>
        <w:pStyle w:val="Heading1"/>
        <w:spacing w:after="120" w:before="300"/>
      </w:pPr>
      <w:r>
        <w:rPr>
          <w:b/>
          <w:bCs/>
          <w:sz w:val="28"/>
          <w:szCs w:val="28"/>
        </w:rPr>
        <w:t xml:space="preserve">3b. Política de Arquitectura — Descripción de Red e Infraestructura</w:t>
      </w:r>
    </w:p>
    <w:p>
      <w:pPr>
        <w:spacing w:after="60" w:before="60"/>
      </w:pPr>
      <w:r>
        <w:rPr>
          <w:b/>
          <w:bCs/>
          <w:sz w:val="22"/>
          <w:szCs w:val="22"/>
        </w:rPr>
        <w:t xml:space="preserve">Nombre: </w:t>
      </w:r>
      <w:r>
        <w:rPr>
          <w:b w:val="false"/>
          <w:bCs w:val="false"/>
          <w:sz w:val="22"/>
          <w:szCs w:val="22"/>
        </w:rPr>
        <w:t xml:space="preserve">pol-arquitectura-losrojos</w:t>
      </w:r>
    </w:p>
    <w:p>
      <w:pPr>
        <w:spacing w:after="60" w:before="60"/>
      </w:pPr>
      <w:r>
        <w:rPr>
          <w:b/>
          <w:bCs/>
          <w:sz w:val="22"/>
          <w:szCs w:val="22"/>
        </w:rPr>
        <w:t xml:space="preserve">Asignada a: </w:t>
      </w:r>
      <w:r>
        <w:rPr>
          <w:b w:val="false"/>
          <w:bCs w:val="false"/>
          <w:sz w:val="22"/>
          <w:szCs w:val="22"/>
        </w:rPr>
        <w:t xml:space="preserve">grp-arquitectura (usr-kevin)</w:t>
      </w:r>
    </w:p>
    <w:p>
      <w:pPr>
        <w:spacing w:after="80" w:before="80"/>
      </w:pPr>
    </w:p>
    <w:p>
      <w:pPr>
        <w:spacing w:after="60" w:before="60"/>
      </w:pPr>
      <w:r>
        <w:rPr>
          <w:sz w:val="22"/>
          <w:szCs w:val="22"/>
        </w:rPr>
        <w:t xml:space="preserve">¿Qué permite esta política?</w:t>
      </w:r>
    </w:p>
    <w:p>
      <w:pPr>
        <w:pStyle w:val="ListParagraph"/>
        <w:numPr>
          <w:ilvl w:val="0"/>
          <w:numId w:val="1"/>
        </w:numPr>
        <w:spacing w:after="40" w:before="40"/>
      </w:pPr>
      <w:r>
        <w:rPr>
          <w:sz w:val="22"/>
          <w:szCs w:val="22"/>
        </w:rPr>
        <w:t xml:space="preserve">ec2:DescribeVpcs, ec2:DescribeSubnets — Ver la topología de red del proyecto</w:t>
      </w:r>
    </w:p>
    <w:p>
      <w:pPr>
        <w:pStyle w:val="ListParagraph"/>
        <w:numPr>
          <w:ilvl w:val="0"/>
          <w:numId w:val="1"/>
        </w:numPr>
        <w:spacing w:after="40" w:before="40"/>
      </w:pPr>
      <w:r>
        <w:rPr>
          <w:sz w:val="22"/>
          <w:szCs w:val="22"/>
        </w:rPr>
        <w:t xml:space="preserve">ec2:DescribeSecurityGroups, ec2:DescribeSecurityGroupRules — Inspeccionar reglas de firewall</w:t>
      </w:r>
    </w:p>
    <w:p>
      <w:pPr>
        <w:pStyle w:val="ListParagraph"/>
        <w:numPr>
          <w:ilvl w:val="0"/>
          <w:numId w:val="1"/>
        </w:numPr>
        <w:spacing w:after="40" w:before="40"/>
      </w:pPr>
      <w:r>
        <w:rPr>
          <w:sz w:val="22"/>
          <w:szCs w:val="22"/>
        </w:rPr>
        <w:t xml:space="preserve">ec2:DescribeRouteTables, ec2:DescribeInternetGateways, ec2:DescribeNatGateways — Analizar el enrutamiento</w:t>
      </w:r>
    </w:p>
    <w:p>
      <w:pPr>
        <w:pStyle w:val="ListParagraph"/>
        <w:numPr>
          <w:ilvl w:val="0"/>
          <w:numId w:val="1"/>
        </w:numPr>
        <w:spacing w:after="40" w:before="40"/>
      </w:pPr>
      <w:r>
        <w:rPr>
          <w:sz w:val="22"/>
          <w:szCs w:val="22"/>
        </w:rPr>
        <w:t xml:space="preserve">elasticloadbalancing:Describe* — Revisar load balancers, target groups y listeners</w:t>
      </w:r>
    </w:p>
    <w:p>
      <w:pPr>
        <w:pStyle w:val="ListParagraph"/>
        <w:numPr>
          <w:ilvl w:val="0"/>
          <w:numId w:val="1"/>
        </w:numPr>
        <w:spacing w:after="40" w:before="40"/>
      </w:pPr>
      <w:r>
        <w:rPr>
          <w:sz w:val="22"/>
          <w:szCs w:val="22"/>
        </w:rPr>
        <w:t xml:space="preserve">rds:DescribeDBInstances, rds:DescribeDBSubnetGroups — Ver la base de datos y su red</w:t>
      </w:r>
    </w:p>
    <w:p>
      <w:pPr>
        <w:spacing w:after="80" w:before="80"/>
      </w:pPr>
    </w:p>
    <w:p>
      <w:pPr>
        <w:spacing w:after="60" w:before="60"/>
      </w:pPr>
      <w:r>
        <w:rPr>
          <w:sz w:val="22"/>
          <w:szCs w:val="22"/>
        </w:rPr>
        <w:t xml:space="preserve">Restricción clave: todas las acciones están condicionadas a la etiqueta aws:ResourceTag/equipo=los-rojos. Recursos de otros equipos son inaccesibles.</w:t>
      </w:r>
    </w:p>
    <w:p>
      <w:pPr>
        <w:spacing w:after="80" w:before="80"/>
      </w:pPr>
    </w:p>
    <w:p>
      <w:pPr>
        <w:spacing w:after="60" w:before="60"/>
      </w:pPr>
      <w:r>
        <w:rPr>
          <w:sz w:val="22"/>
          <w:szCs w:val="22"/>
        </w:rPr>
        <w:t xml:space="preserve">Texto de la política (formato JSON):</w:t>
      </w:r>
    </w:p>
    <w:p>
      <w:pPr>
        <w:spacing w:after="80" w:before="80"/>
      </w:pPr>
    </w:p>
    <w:p>
      <w:pPr>
        <w:spacing w:after="0" w:before="0"/>
        <w:ind w:left="360"/>
      </w:pPr>
      <w:r>
        <w:rPr>
          <w:rFonts w:ascii="Courier New" w:cs="Courier New" w:eastAsia="Courier New" w:hAnsi="Courier New"/>
          <w:sz w:val="18"/>
          <w:szCs w:val="18"/>
        </w:rPr>
        <w:t xml:space="preserve">{</w:t>
      </w:r>
    </w:p>
    <w:p>
      <w:pPr>
        <w:spacing w:after="0" w:before="0"/>
        <w:ind w:left="360"/>
      </w:pPr>
      <w:r>
        <w:rPr>
          <w:rFonts w:ascii="Courier New" w:cs="Courier New" w:eastAsia="Courier New" w:hAnsi="Courier New"/>
          <w:sz w:val="18"/>
          <w:szCs w:val="18"/>
        </w:rPr>
        <w:t xml:space="preserve">  "Version": "2012-10-17",</w:t>
      </w:r>
    </w:p>
    <w:p>
      <w:pPr>
        <w:spacing w:after="0" w:before="0"/>
        <w:ind w:left="360"/>
      </w:pPr>
      <w:r>
        <w:rPr>
          <w:rFonts w:ascii="Courier New" w:cs="Courier New" w:eastAsia="Courier New" w:hAnsi="Courier New"/>
          <w:sz w:val="18"/>
          <w:szCs w:val="18"/>
        </w:rPr>
        <w:t xml:space="preserve">  "Statement":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"Sid": "DescribirRedEInfraestructura",</w:t>
      </w:r>
    </w:p>
    <w:p>
      <w:pPr>
        <w:spacing w:after="0" w:before="0"/>
        <w:ind w:left="360"/>
      </w:pPr>
      <w:r>
        <w:rPr>
          <w:rFonts w:ascii="Courier New" w:cs="Courier New" w:eastAsia="Courier New" w:hAnsi="Courier New"/>
          <w:sz w:val="18"/>
          <w:szCs w:val="18"/>
        </w:rPr>
        <w:t xml:space="preserve">      "Effect": "Allow",</w:t>
      </w:r>
    </w:p>
    <w:p>
      <w:pPr>
        <w:spacing w:after="0" w:before="0"/>
        <w:ind w:left="360"/>
      </w:pPr>
      <w:r>
        <w:rPr>
          <w:rFonts w:ascii="Courier New" w:cs="Courier New" w:eastAsia="Courier New" w:hAnsi="Courier New"/>
          <w:sz w:val="18"/>
          <w:szCs w:val="18"/>
        </w:rPr>
        <w:t xml:space="preserve">      "Action": [</w:t>
      </w:r>
    </w:p>
    <w:p>
      <w:pPr>
        <w:spacing w:after="0" w:before="0"/>
        <w:ind w:left="360"/>
      </w:pPr>
      <w:r>
        <w:rPr>
          <w:rFonts w:ascii="Courier New" w:cs="Courier New" w:eastAsia="Courier New" w:hAnsi="Courier New"/>
          <w:sz w:val="18"/>
          <w:szCs w:val="18"/>
        </w:rPr>
        <w:t xml:space="preserve">        "ec2:DescribeInstances",</w:t>
      </w:r>
    </w:p>
    <w:p>
      <w:pPr>
        <w:spacing w:after="0" w:before="0"/>
        <w:ind w:left="360"/>
      </w:pPr>
      <w:r>
        <w:rPr>
          <w:rFonts w:ascii="Courier New" w:cs="Courier New" w:eastAsia="Courier New" w:hAnsi="Courier New"/>
          <w:sz w:val="18"/>
          <w:szCs w:val="18"/>
        </w:rPr>
        <w:t xml:space="preserve">        "ec2:DescribeVpcs",</w:t>
      </w:r>
    </w:p>
    <w:p>
      <w:pPr>
        <w:spacing w:after="0" w:before="0"/>
        <w:ind w:left="360"/>
      </w:pPr>
      <w:r>
        <w:rPr>
          <w:rFonts w:ascii="Courier New" w:cs="Courier New" w:eastAsia="Courier New" w:hAnsi="Courier New"/>
          <w:sz w:val="18"/>
          <w:szCs w:val="18"/>
        </w:rPr>
        <w:t xml:space="preserve">        "ec2:DescribeSubnets",</w:t>
      </w:r>
    </w:p>
    <w:p>
      <w:pPr>
        <w:spacing w:after="0" w:before="0"/>
        <w:ind w:left="360"/>
      </w:pPr>
      <w:r>
        <w:rPr>
          <w:rFonts w:ascii="Courier New" w:cs="Courier New" w:eastAsia="Courier New" w:hAnsi="Courier New"/>
          <w:sz w:val="18"/>
          <w:szCs w:val="18"/>
        </w:rPr>
        <w:t xml:space="preserve">        "ec2:DescribeSecurityGroups",</w:t>
      </w:r>
    </w:p>
    <w:p>
      <w:pPr>
        <w:spacing w:after="0" w:before="0"/>
        <w:ind w:left="360"/>
      </w:pPr>
      <w:r>
        <w:rPr>
          <w:rFonts w:ascii="Courier New" w:cs="Courier New" w:eastAsia="Courier New" w:hAnsi="Courier New"/>
          <w:sz w:val="18"/>
          <w:szCs w:val="18"/>
        </w:rPr>
        <w:t xml:space="preserve">        "ec2:DescribeSecurityGroupRules",</w:t>
      </w:r>
    </w:p>
    <w:p>
      <w:pPr>
        <w:spacing w:after="0" w:before="0"/>
        <w:ind w:left="360"/>
      </w:pPr>
      <w:r>
        <w:rPr>
          <w:rFonts w:ascii="Courier New" w:cs="Courier New" w:eastAsia="Courier New" w:hAnsi="Courier New"/>
          <w:sz w:val="18"/>
          <w:szCs w:val="18"/>
        </w:rPr>
        <w:t xml:space="preserve">        "ec2:DescribeRouteTables",</w:t>
      </w:r>
    </w:p>
    <w:p>
      <w:pPr>
        <w:spacing w:after="0" w:before="0"/>
        <w:ind w:left="360"/>
      </w:pPr>
      <w:r>
        <w:rPr>
          <w:rFonts w:ascii="Courier New" w:cs="Courier New" w:eastAsia="Courier New" w:hAnsi="Courier New"/>
          <w:sz w:val="18"/>
          <w:szCs w:val="18"/>
        </w:rPr>
        <w:t xml:space="preserve">        "ec2:DescribeInternetGateways",</w:t>
      </w:r>
    </w:p>
    <w:p>
      <w:pPr>
        <w:spacing w:after="0" w:before="0"/>
        <w:ind w:left="360"/>
      </w:pPr>
      <w:r>
        <w:rPr>
          <w:rFonts w:ascii="Courier New" w:cs="Courier New" w:eastAsia="Courier New" w:hAnsi="Courier New"/>
          <w:sz w:val="18"/>
          <w:szCs w:val="18"/>
        </w:rPr>
        <w:t xml:space="preserve">        "ec2:DescribeNatGateways",</w:t>
      </w:r>
    </w:p>
    <w:p>
      <w:pPr>
        <w:spacing w:after="0" w:before="0"/>
        <w:ind w:left="360"/>
      </w:pPr>
      <w:r>
        <w:rPr>
          <w:rFonts w:ascii="Courier New" w:cs="Courier New" w:eastAsia="Courier New" w:hAnsi="Courier New"/>
          <w:sz w:val="18"/>
          <w:szCs w:val="18"/>
        </w:rPr>
        <w:t xml:space="preserve">        "ec2:DescribeTags",</w:t>
      </w:r>
    </w:p>
    <w:p>
      <w:pPr>
        <w:spacing w:after="0" w:before="0"/>
        <w:ind w:left="360"/>
      </w:pPr>
      <w:r>
        <w:rPr>
          <w:rFonts w:ascii="Courier New" w:cs="Courier New" w:eastAsia="Courier New" w:hAnsi="Courier New"/>
          <w:sz w:val="18"/>
          <w:szCs w:val="18"/>
        </w:rPr>
        <w:t xml:space="preserve">        "elasticloadbalancing:DescribeLoadBalancers",</w:t>
      </w:r>
    </w:p>
    <w:p>
      <w:pPr>
        <w:spacing w:after="0" w:before="0"/>
        <w:ind w:left="360"/>
      </w:pPr>
      <w:r>
        <w:rPr>
          <w:rFonts w:ascii="Courier New" w:cs="Courier New" w:eastAsia="Courier New" w:hAnsi="Courier New"/>
          <w:sz w:val="18"/>
          <w:szCs w:val="18"/>
        </w:rPr>
        <w:t xml:space="preserve">        "elasticloadbalancing:DescribeTargetGroups",</w:t>
      </w:r>
    </w:p>
    <w:p>
      <w:pPr>
        <w:spacing w:after="0" w:before="0"/>
        <w:ind w:left="360"/>
      </w:pPr>
      <w:r>
        <w:rPr>
          <w:rFonts w:ascii="Courier New" w:cs="Courier New" w:eastAsia="Courier New" w:hAnsi="Courier New"/>
          <w:sz w:val="18"/>
          <w:szCs w:val="18"/>
        </w:rPr>
        <w:t xml:space="preserve">        "elasticloadbalancing:DescribeListeners",</w:t>
      </w:r>
    </w:p>
    <w:p>
      <w:pPr>
        <w:spacing w:after="0" w:before="0"/>
        <w:ind w:left="360"/>
      </w:pPr>
      <w:r>
        <w:rPr>
          <w:rFonts w:ascii="Courier New" w:cs="Courier New" w:eastAsia="Courier New" w:hAnsi="Courier New"/>
          <w:sz w:val="18"/>
          <w:szCs w:val="18"/>
        </w:rPr>
        <w:t xml:space="preserve">        "rds:DescribeDBInstances",</w:t>
      </w:r>
    </w:p>
    <w:p>
      <w:pPr>
        <w:spacing w:after="0" w:before="0"/>
        <w:ind w:left="360"/>
      </w:pPr>
      <w:r>
        <w:rPr>
          <w:rFonts w:ascii="Courier New" w:cs="Courier New" w:eastAsia="Courier New" w:hAnsi="Courier New"/>
          <w:sz w:val="18"/>
          <w:szCs w:val="18"/>
        </w:rPr>
        <w:t xml:space="preserve">        "rds:DescribeDBSubnetGroups",</w:t>
      </w:r>
    </w:p>
    <w:p>
      <w:pPr>
        <w:spacing w:after="0" w:before="0"/>
        <w:ind w:left="360"/>
      </w:pPr>
      <w:r>
        <w:rPr>
          <w:rFonts w:ascii="Courier New" w:cs="Courier New" w:eastAsia="Courier New" w:hAnsi="Courier New"/>
          <w:sz w:val="18"/>
          <w:szCs w:val="18"/>
        </w:rPr>
        <w:t xml:space="preserve">        "rds:ListTagsForResource"</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"Resource": "*",</w:t>
      </w:r>
    </w:p>
    <w:p>
      <w:pPr>
        <w:spacing w:after="0" w:before="0"/>
        <w:ind w:left="360"/>
      </w:pPr>
      <w:r>
        <w:rPr>
          <w:rFonts w:ascii="Courier New" w:cs="Courier New" w:eastAsia="Courier New" w:hAnsi="Courier New"/>
          <w:sz w:val="18"/>
          <w:szCs w:val="18"/>
        </w:rPr>
        <w:t xml:space="preserve">      "Condition": {</w:t>
      </w:r>
    </w:p>
    <w:p>
      <w:pPr>
        <w:spacing w:after="0" w:before="0"/>
        <w:ind w:left="360"/>
      </w:pPr>
      <w:r>
        <w:rPr>
          <w:rFonts w:ascii="Courier New" w:cs="Courier New" w:eastAsia="Courier New" w:hAnsi="Courier New"/>
          <w:sz w:val="18"/>
          <w:szCs w:val="18"/>
        </w:rPr>
        <w:t xml:space="preserve">        "StringEquals": {</w:t>
      </w:r>
    </w:p>
    <w:p>
      <w:pPr>
        <w:spacing w:after="0" w:before="0"/>
        <w:ind w:left="360"/>
      </w:pPr>
      <w:r>
        <w:rPr>
          <w:rFonts w:ascii="Courier New" w:cs="Courier New" w:eastAsia="Courier New" w:hAnsi="Courier New"/>
          <w:sz w:val="18"/>
          <w:szCs w:val="18"/>
        </w:rPr>
        <w:t xml:space="preserve">          "aws:ResourceTag/equipo": "los-rojos"</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w:t>
      </w:r>
    </w:p>
    <w:p>
      <w:pPr>
        <w:spacing w:after="80" w:before="80"/>
      </w:pPr>
    </w:p>
    <w:p>
      <w:pPr>
        <w:pStyle w:val="Heading1"/>
        <w:spacing w:after="120" w:before="300"/>
      </w:pPr>
      <w:r>
        <w:rPr>
          <w:b/>
          <w:bCs/>
          <w:sz w:val="28"/>
          <w:szCs w:val="28"/>
        </w:rPr>
        <w:t xml:space="preserve">4. Política de Desarrollo con Restricción por Etiqueta</w:t>
      </w:r>
    </w:p>
    <w:p>
      <w:pPr>
        <w:spacing w:after="60" w:before="60"/>
      </w:pPr>
      <w:r>
        <w:rPr>
          <w:b/>
          <w:bCs/>
          <w:sz w:val="22"/>
          <w:szCs w:val="22"/>
        </w:rPr>
        <w:t xml:space="preserve">Nombre: </w:t>
      </w:r>
      <w:r>
        <w:rPr>
          <w:b w:val="false"/>
          <w:bCs w:val="false"/>
          <w:sz w:val="22"/>
          <w:szCs w:val="22"/>
        </w:rPr>
        <w:t xml:space="preserve">pol-desarrollo-los-rojos</w:t>
      </w:r>
    </w:p>
    <w:p>
      <w:pPr>
        <w:spacing w:after="60" w:before="60"/>
      </w:pPr>
      <w:r>
        <w:rPr>
          <w:b/>
          <w:bCs/>
          <w:sz w:val="22"/>
          <w:szCs w:val="22"/>
        </w:rPr>
        <w:t xml:space="preserve">Asignada a: </w:t>
      </w:r>
      <w:r>
        <w:rPr>
          <w:b w:val="false"/>
          <w:bCs w:val="false"/>
          <w:sz w:val="22"/>
          <w:szCs w:val="22"/>
        </w:rPr>
        <w:t xml:space="preserve">grp-desarrollo (usr-angel)</w:t>
      </w:r>
    </w:p>
    <w:p>
      <w:pPr>
        <w:spacing w:after="80" w:before="80"/>
      </w:pPr>
    </w:p>
    <w:p>
      <w:pPr>
        <w:spacing w:after="60" w:before="60"/>
      </w:pPr>
      <w:r>
        <w:rPr>
          <w:sz w:val="22"/>
          <w:szCs w:val="22"/>
        </w:rPr>
        <w:t xml:space="preserve">Esta política implementa el mínimo privilegio real: restringe por acción, por recurso exacto (ARN del bucket) y por etiqueta (aws:ResourceTag/equipo=los-rojos).</w:t>
      </w:r>
    </w:p>
    <w:p>
      <w:pPr>
        <w:spacing w:after="80" w:before="80"/>
      </w:pPr>
    </w:p>
    <w:p>
      <w:pPr>
        <w:spacing w:after="60" w:before="60"/>
      </w:pPr>
      <w:r>
        <w:rPr>
          <w:sz w:val="22"/>
          <w:szCs w:val="22"/>
        </w:rPr>
        <w:t xml:space="preserve">¿Qué permite?</w:t>
      </w:r>
    </w:p>
    <w:p>
      <w:pPr>
        <w:pStyle w:val="ListParagraph"/>
        <w:numPr>
          <w:ilvl w:val="0"/>
          <w:numId w:val="1"/>
        </w:numPr>
        <w:spacing w:after="40" w:before="40"/>
      </w:pPr>
      <w:r>
        <w:rPr>
          <w:sz w:val="22"/>
          <w:szCs w:val="22"/>
        </w:rPr>
        <w:t xml:space="preserve">s3:GetObject, s3:PutObject, s3:DeleteObject, s3:ListBucket — CRUD sobre el bucket inventario-archivos-losrojos</w:t>
      </w:r>
    </w:p>
    <w:p>
      <w:pPr>
        <w:pStyle w:val="ListParagraph"/>
        <w:numPr>
          <w:ilvl w:val="0"/>
          <w:numId w:val="1"/>
        </w:numPr>
        <w:spacing w:after="40" w:before="40"/>
      </w:pPr>
      <w:r>
        <w:rPr>
          <w:sz w:val="22"/>
          <w:szCs w:val="22"/>
        </w:rPr>
        <w:t xml:space="preserve">ec2:DescribeInstances, rds:DescribeDBInstances — Consulta de recursos del equipo (condicionada por etiqueta)</w:t>
      </w:r>
    </w:p>
    <w:p>
      <w:pPr>
        <w:pStyle w:val="ListParagraph"/>
        <w:numPr>
          <w:ilvl w:val="0"/>
          <w:numId w:val="1"/>
        </w:numPr>
        <w:spacing w:after="40" w:before="40"/>
      </w:pPr>
      <w:r>
        <w:rPr>
          <w:sz w:val="22"/>
          <w:szCs w:val="22"/>
        </w:rPr>
        <w:t xml:space="preserve">cloudwatch:GetMetricData, logs:GetLogEvents — Ver métricas y bitácoras</w:t>
      </w:r>
    </w:p>
    <w:p>
      <w:pPr>
        <w:spacing w:after="80" w:before="80"/>
      </w:pPr>
    </w:p>
    <w:p>
      <w:pPr>
        <w:spacing w:after="60" w:before="60"/>
      </w:pPr>
      <w:r>
        <w:rPr>
          <w:sz w:val="22"/>
          <w:szCs w:val="22"/>
        </w:rPr>
        <w:t xml:space="preserve">¿Qué deniega explícitamente?</w:t>
      </w:r>
    </w:p>
    <w:p>
      <w:pPr>
        <w:pStyle w:val="ListParagraph"/>
        <w:numPr>
          <w:ilvl w:val="0"/>
          <w:numId w:val="1"/>
        </w:numPr>
        <w:spacing w:after="40" w:before="40"/>
      </w:pPr>
      <w:r>
        <w:rPr>
          <w:sz w:val="22"/>
          <w:szCs w:val="22"/>
        </w:rPr>
        <w:t xml:space="preserve">iam:* — Sin ninguna acción de gestión de identidades</w:t>
      </w:r>
    </w:p>
    <w:p>
      <w:pPr>
        <w:pStyle w:val="ListParagraph"/>
        <w:numPr>
          <w:ilvl w:val="0"/>
          <w:numId w:val="1"/>
        </w:numPr>
        <w:spacing w:after="40" w:before="40"/>
      </w:pPr>
      <w:r>
        <w:rPr>
          <w:sz w:val="22"/>
          <w:szCs w:val="22"/>
        </w:rPr>
        <w:t xml:space="preserve">organizations:*, billing:* — Sin acceso a facturación ni a la organización</w:t>
      </w:r>
    </w:p>
    <w:p>
      <w:pPr>
        <w:spacing w:after="60" w:before="60"/>
      </w:pPr>
      <w:r>
        <w:rPr>
          <w:sz w:val="22"/>
          <w:szCs w:val="22"/>
        </w:rPr>
        <w:t xml:space="preserve">Nota: un Deny explícito en AWS siempre tiene prioridad sobre cualquier Allow heredado de otro grupo.</w:t>
      </w:r>
    </w:p>
    <w:p>
      <w:pPr>
        <w:spacing w:after="80" w:before="80"/>
      </w:pPr>
    </w:p>
    <w:p>
      <w:pPr>
        <w:spacing w:after="60" w:before="60"/>
      </w:pPr>
      <w:r>
        <w:rPr>
          <w:sz w:val="22"/>
          <w:szCs w:val="22"/>
        </w:rPr>
        <w:t xml:space="preserve">Texto de la política (formato JSON):</w:t>
      </w:r>
    </w:p>
    <w:p>
      <w:pPr>
        <w:spacing w:after="80" w:before="80"/>
      </w:pPr>
    </w:p>
    <w:p>
      <w:pPr>
        <w:spacing w:after="0" w:before="0"/>
        <w:ind w:left="360"/>
      </w:pPr>
      <w:r>
        <w:rPr>
          <w:rFonts w:ascii="Courier New" w:cs="Courier New" w:eastAsia="Courier New" w:hAnsi="Courier New"/>
          <w:sz w:val="18"/>
          <w:szCs w:val="18"/>
        </w:rPr>
        <w:t xml:space="preserve">{</w:t>
      </w:r>
    </w:p>
    <w:p>
      <w:pPr>
        <w:spacing w:after="0" w:before="0"/>
        <w:ind w:left="360"/>
      </w:pPr>
      <w:r>
        <w:rPr>
          <w:rFonts w:ascii="Courier New" w:cs="Courier New" w:eastAsia="Courier New" w:hAnsi="Courier New"/>
          <w:sz w:val="18"/>
          <w:szCs w:val="18"/>
        </w:rPr>
        <w:t xml:space="preserve">  "Version": "2012-10-17",</w:t>
      </w:r>
    </w:p>
    <w:p>
      <w:pPr>
        <w:spacing w:after="0" w:before="0"/>
        <w:ind w:left="360"/>
      </w:pPr>
      <w:r>
        <w:rPr>
          <w:rFonts w:ascii="Courier New" w:cs="Courier New" w:eastAsia="Courier New" w:hAnsi="Courier New"/>
          <w:sz w:val="18"/>
          <w:szCs w:val="18"/>
        </w:rPr>
        <w:t xml:space="preserve">  "Statement":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"Sid": "GestionS3ProyectoEquipo",</w:t>
      </w:r>
    </w:p>
    <w:p>
      <w:pPr>
        <w:spacing w:after="0" w:before="0"/>
        <w:ind w:left="360"/>
      </w:pPr>
      <w:r>
        <w:rPr>
          <w:rFonts w:ascii="Courier New" w:cs="Courier New" w:eastAsia="Courier New" w:hAnsi="Courier New"/>
          <w:sz w:val="18"/>
          <w:szCs w:val="18"/>
        </w:rPr>
        <w:t xml:space="preserve">      "Effect": "Allow",</w:t>
      </w:r>
    </w:p>
    <w:p>
      <w:pPr>
        <w:spacing w:after="0" w:before="0"/>
        <w:ind w:left="360"/>
      </w:pPr>
      <w:r>
        <w:rPr>
          <w:rFonts w:ascii="Courier New" w:cs="Courier New" w:eastAsia="Courier New" w:hAnsi="Courier New"/>
          <w:sz w:val="18"/>
          <w:szCs w:val="18"/>
        </w:rPr>
        <w:t xml:space="preserve">      "Action": [</w:t>
      </w:r>
    </w:p>
    <w:p>
      <w:pPr>
        <w:spacing w:after="0" w:before="0"/>
        <w:ind w:left="360"/>
      </w:pPr>
      <w:r>
        <w:rPr>
          <w:rFonts w:ascii="Courier New" w:cs="Courier New" w:eastAsia="Courier New" w:hAnsi="Courier New"/>
          <w:sz w:val="18"/>
          <w:szCs w:val="18"/>
        </w:rPr>
        <w:t xml:space="preserve">        "s3:GetObject",</w:t>
      </w:r>
    </w:p>
    <w:p>
      <w:pPr>
        <w:spacing w:after="0" w:before="0"/>
        <w:ind w:left="360"/>
      </w:pPr>
      <w:r>
        <w:rPr>
          <w:rFonts w:ascii="Courier New" w:cs="Courier New" w:eastAsia="Courier New" w:hAnsi="Courier New"/>
          <w:sz w:val="18"/>
          <w:szCs w:val="18"/>
        </w:rPr>
        <w:t xml:space="preserve">        "s3:PutObject",</w:t>
      </w:r>
    </w:p>
    <w:p>
      <w:pPr>
        <w:spacing w:after="0" w:before="0"/>
        <w:ind w:left="360"/>
      </w:pPr>
      <w:r>
        <w:rPr>
          <w:rFonts w:ascii="Courier New" w:cs="Courier New" w:eastAsia="Courier New" w:hAnsi="Courier New"/>
          <w:sz w:val="18"/>
          <w:szCs w:val="18"/>
        </w:rPr>
        <w:t xml:space="preserve">        "s3:DeleteObject",</w:t>
      </w:r>
    </w:p>
    <w:p>
      <w:pPr>
        <w:spacing w:after="0" w:before="0"/>
        <w:ind w:left="360"/>
      </w:pPr>
      <w:r>
        <w:rPr>
          <w:rFonts w:ascii="Courier New" w:cs="Courier New" w:eastAsia="Courier New" w:hAnsi="Courier New"/>
          <w:sz w:val="18"/>
          <w:szCs w:val="18"/>
        </w:rPr>
        <w:t xml:space="preserve">        "s3:ListBucket"</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"Resource": [</w:t>
      </w:r>
    </w:p>
    <w:p>
      <w:pPr>
        <w:spacing w:after="0" w:before="0"/>
        <w:ind w:left="360"/>
      </w:pPr>
      <w:r>
        <w:rPr>
          <w:rFonts w:ascii="Courier New" w:cs="Courier New" w:eastAsia="Courier New" w:hAnsi="Courier New"/>
          <w:sz w:val="18"/>
          <w:szCs w:val="18"/>
        </w:rPr>
        <w:t xml:space="preserve">        "arn:aws:s3:::inventario-archivos-losrojos",</w:t>
      </w:r>
    </w:p>
    <w:p>
      <w:pPr>
        <w:spacing w:after="0" w:before="0"/>
        <w:ind w:left="360"/>
      </w:pPr>
      <w:r>
        <w:rPr>
          <w:rFonts w:ascii="Courier New" w:cs="Courier New" w:eastAsia="Courier New" w:hAnsi="Courier New"/>
          <w:sz w:val="18"/>
          <w:szCs w:val="18"/>
        </w:rPr>
        <w:t xml:space="preserve">        "arn:aws:s3:::inventario-archivos-losrojos/*"</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"Sid": "DescribirRecursosEquipo",</w:t>
      </w:r>
    </w:p>
    <w:p>
      <w:pPr>
        <w:spacing w:after="0" w:before="0"/>
        <w:ind w:left="360"/>
      </w:pPr>
      <w:r>
        <w:rPr>
          <w:rFonts w:ascii="Courier New" w:cs="Courier New" w:eastAsia="Courier New" w:hAnsi="Courier New"/>
          <w:sz w:val="18"/>
          <w:szCs w:val="18"/>
        </w:rPr>
        <w:t xml:space="preserve">      "Effect": "Allow",</w:t>
      </w:r>
    </w:p>
    <w:p>
      <w:pPr>
        <w:spacing w:after="0" w:before="0"/>
        <w:ind w:left="360"/>
      </w:pPr>
      <w:r>
        <w:rPr>
          <w:rFonts w:ascii="Courier New" w:cs="Courier New" w:eastAsia="Courier New" w:hAnsi="Courier New"/>
          <w:sz w:val="18"/>
          <w:szCs w:val="18"/>
        </w:rPr>
        <w:t xml:space="preserve">      "Action": [</w:t>
      </w:r>
    </w:p>
    <w:p>
      <w:pPr>
        <w:spacing w:after="0" w:before="0"/>
        <w:ind w:left="360"/>
      </w:pPr>
      <w:r>
        <w:rPr>
          <w:rFonts w:ascii="Courier New" w:cs="Courier New" w:eastAsia="Courier New" w:hAnsi="Courier New"/>
          <w:sz w:val="18"/>
          <w:szCs w:val="18"/>
        </w:rPr>
        <w:t xml:space="preserve">        "ec2:DescribeInstances",</w:t>
      </w:r>
    </w:p>
    <w:p>
      <w:pPr>
        <w:spacing w:after="0" w:before="0"/>
        <w:ind w:left="360"/>
      </w:pPr>
      <w:r>
        <w:rPr>
          <w:rFonts w:ascii="Courier New" w:cs="Courier New" w:eastAsia="Courier New" w:hAnsi="Courier New"/>
          <w:sz w:val="18"/>
          <w:szCs w:val="18"/>
        </w:rPr>
        <w:t xml:space="preserve">        "rds:DescribeDBInstances"</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"Resource": "*",</w:t>
      </w:r>
    </w:p>
    <w:p>
      <w:pPr>
        <w:spacing w:after="0" w:before="0"/>
        <w:ind w:left="360"/>
      </w:pPr>
      <w:r>
        <w:rPr>
          <w:rFonts w:ascii="Courier New" w:cs="Courier New" w:eastAsia="Courier New" w:hAnsi="Courier New"/>
          <w:sz w:val="18"/>
          <w:szCs w:val="18"/>
        </w:rPr>
        <w:t xml:space="preserve">      "Condition": {</w:t>
      </w:r>
    </w:p>
    <w:p>
      <w:pPr>
        <w:spacing w:after="0" w:before="0"/>
        <w:ind w:left="360"/>
      </w:pPr>
      <w:r>
        <w:rPr>
          <w:rFonts w:ascii="Courier New" w:cs="Courier New" w:eastAsia="Courier New" w:hAnsi="Courier New"/>
          <w:sz w:val="18"/>
          <w:szCs w:val="18"/>
        </w:rPr>
        <w:t xml:space="preserve">        "StringEquals": {</w:t>
      </w:r>
    </w:p>
    <w:p>
      <w:pPr>
        <w:spacing w:after="0" w:before="0"/>
        <w:ind w:left="360"/>
      </w:pPr>
      <w:r>
        <w:rPr>
          <w:rFonts w:ascii="Courier New" w:cs="Courier New" w:eastAsia="Courier New" w:hAnsi="Courier New"/>
          <w:sz w:val="18"/>
          <w:szCs w:val="18"/>
        </w:rPr>
        <w:t xml:space="preserve">          "aws:ResourceTag/equipo": "los-rojos"</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"Sid": "DenegarFueraDelEquipo",</w:t>
      </w:r>
    </w:p>
    <w:p>
      <w:pPr>
        <w:spacing w:after="0" w:before="0"/>
        <w:ind w:left="360"/>
      </w:pPr>
      <w:r>
        <w:rPr>
          <w:rFonts w:ascii="Courier New" w:cs="Courier New" w:eastAsia="Courier New" w:hAnsi="Courier New"/>
          <w:sz w:val="18"/>
          <w:szCs w:val="18"/>
        </w:rPr>
        <w:t xml:space="preserve">      "Effect": "Deny",</w:t>
      </w:r>
    </w:p>
    <w:p>
      <w:pPr>
        <w:spacing w:after="0" w:before="0"/>
        <w:ind w:left="360"/>
      </w:pPr>
      <w:r>
        <w:rPr>
          <w:rFonts w:ascii="Courier New" w:cs="Courier New" w:eastAsia="Courier New" w:hAnsi="Courier New"/>
          <w:sz w:val="18"/>
          <w:szCs w:val="18"/>
        </w:rPr>
        <w:t xml:space="preserve">      "Action": [</w:t>
      </w:r>
    </w:p>
    <w:p>
      <w:pPr>
        <w:spacing w:after="0" w:before="0"/>
        <w:ind w:left="360"/>
      </w:pPr>
      <w:r>
        <w:rPr>
          <w:rFonts w:ascii="Courier New" w:cs="Courier New" w:eastAsia="Courier New" w:hAnsi="Courier New"/>
          <w:sz w:val="18"/>
          <w:szCs w:val="18"/>
        </w:rPr>
        <w:t xml:space="preserve">        "iam:*",</w:t>
      </w:r>
    </w:p>
    <w:p>
      <w:pPr>
        <w:spacing w:after="0" w:before="0"/>
        <w:ind w:left="360"/>
      </w:pPr>
      <w:r>
        <w:rPr>
          <w:rFonts w:ascii="Courier New" w:cs="Courier New" w:eastAsia="Courier New" w:hAnsi="Courier New"/>
          <w:sz w:val="18"/>
          <w:szCs w:val="18"/>
        </w:rPr>
        <w:t xml:space="preserve">        "organizations:*",</w:t>
      </w:r>
    </w:p>
    <w:p>
      <w:pPr>
        <w:spacing w:after="0" w:before="0"/>
        <w:ind w:left="360"/>
      </w:pPr>
      <w:r>
        <w:rPr>
          <w:rFonts w:ascii="Courier New" w:cs="Courier New" w:eastAsia="Courier New" w:hAnsi="Courier New"/>
          <w:sz w:val="18"/>
          <w:szCs w:val="18"/>
        </w:rPr>
        <w:t xml:space="preserve">        "billing:*"</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"Resource":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w:t>
      </w:r>
    </w:p>
    <w:p>
      <w:pPr>
        <w:spacing w:after="80" w:before="80"/>
      </w:pPr>
    </w:p>
    <w:p>
      <w:pPr>
        <w:pStyle w:val="Heading1"/>
        <w:spacing w:after="120" w:before="300"/>
      </w:pPr>
      <w:r>
        <w:rPr>
          <w:b/>
          <w:bCs/>
          <w:sz w:val="28"/>
          <w:szCs w:val="28"/>
        </w:rPr>
        <w:t xml:space="preserve">5. Evidencia de Denegación</w:t>
      </w:r>
    </w:p>
    <w:p>
      <w:pPr>
        <w:spacing w:after="60" w:before="60"/>
      </w:pPr>
      <w:r>
        <w:rPr>
          <w:sz w:val="22"/>
          <w:szCs w:val="22"/>
        </w:rPr>
        <w:t xml:space="preserve">Se probó que usr-kevin no puede crear un bucket S3, acción que su política no autoriza.</w:t>
      </w:r>
    </w:p>
    <w:p>
      <w:pPr>
        <w:spacing w:after="80" w:before="80"/>
      </w:pPr>
    </w:p>
    <w:p>
      <w:pPr>
        <w:spacing w:after="60" w:before="60"/>
      </w:pPr>
      <w:r>
        <w:rPr>
          <w:sz w:val="22"/>
          <w:szCs w:val="22"/>
        </w:rPr>
        <w:t xml:space="preserve">Comando ejecutado con credenciales de usr-kevin:</w:t>
      </w:r>
    </w:p>
    <w:p>
      <w:pPr>
        <w:spacing w:after="80" w:before="80"/>
      </w:pPr>
    </w:p>
    <w:p>
      <w:pPr>
        <w:spacing w:after="0" w:before="0"/>
        <w:ind w:left="360"/>
      </w:pPr>
      <w:r>
        <w:rPr>
          <w:rFonts w:ascii="Courier New" w:cs="Courier New" w:eastAsia="Courier New" w:hAnsi="Courier New"/>
          <w:sz w:val="18"/>
          <w:szCs w:val="18"/>
        </w:rPr>
        <w:t xml:space="preserve">AWS_ACCESS_KEY_ID=&lt;KEY_KEVIN&gt;  AWS_SECRET_ACCESS_KEY=&lt;SECRET_KEVIN&gt;  \</w:t>
      </w:r>
    </w:p>
    <w:p>
      <w:pPr>
        <w:spacing w:after="0" w:before="0"/>
        <w:ind w:left="360"/>
      </w:pPr>
      <w:r>
        <w:rPr>
          <w:rFonts w:ascii="Courier New" w:cs="Courier New" w:eastAsia="Courier New" w:hAnsi="Courier New"/>
          <w:sz w:val="18"/>
          <w:szCs w:val="18"/>
        </w:rPr>
        <w:t xml:space="preserve">aws s3api create-bucket --bucket bucket-no-autorizado-kevin --region us-east-1</w:t>
      </w:r>
    </w:p>
    <w:p>
      <w:pPr>
        <w:spacing w:after="80" w:before="80"/>
      </w:pPr>
    </w:p>
    <w:p>
      <w:pPr>
        <w:spacing w:after="60" w:before="60"/>
      </w:pPr>
      <w:r>
        <w:rPr>
          <w:sz w:val="22"/>
          <w:szCs w:val="22"/>
        </w:rPr>
        <w:t xml:space="preserve">Mensaje de respuesta de AWS:</w:t>
      </w:r>
    </w:p>
    <w:p>
      <w:pPr>
        <w:spacing w:after="80" w:before="80"/>
      </w:pPr>
    </w:p>
    <w:p>
      <w:pPr>
        <w:spacing w:after="0" w:before="0"/>
        <w:ind w:left="360"/>
      </w:pPr>
      <w:r>
        <w:rPr>
          <w:rFonts w:ascii="Courier New" w:cs="Courier New" w:eastAsia="Courier New" w:hAnsi="Courier New"/>
          <w:sz w:val="18"/>
          <w:szCs w:val="18"/>
        </w:rPr>
        <w:t xml:space="preserve">An error occurred (AccessDenied) when calling the CreateBucket operation:</w:t>
      </w:r>
    </w:p>
    <w:p>
      <w:pPr>
        <w:spacing w:after="0" w:before="0"/>
        <w:ind w:left="360"/>
      </w:pPr>
      <w:r>
        <w:rPr>
          <w:rFonts w:ascii="Courier New" w:cs="Courier New" w:eastAsia="Courier New" w:hAnsi="Courier New"/>
          <w:sz w:val="18"/>
          <w:szCs w:val="18"/>
        </w:rPr>
        <w:t xml:space="preserve">User: arn:aws:iam::ACCOUNT_ID:user/usr-kevin is not authorized to perform:</w:t>
      </w:r>
    </w:p>
    <w:p>
      <w:pPr>
        <w:spacing w:after="0" w:before="0"/>
        <w:ind w:left="360"/>
      </w:pPr>
      <w:r>
        <w:rPr>
          <w:rFonts w:ascii="Courier New" w:cs="Courier New" w:eastAsia="Courier New" w:hAnsi="Courier New"/>
          <w:sz w:val="18"/>
          <w:szCs w:val="18"/>
        </w:rPr>
        <w:t xml:space="preserve">s3:CreateBucket because no identity-based policy allows the s3:CreateBucket action</w:t>
      </w:r>
    </w:p>
    <w:p>
      <w:pPr>
        <w:spacing w:after="80" w:before="80"/>
      </w:pPr>
    </w:p>
    <w:p>
      <w:pPr>
        <w:pBdr>
          <w:top w:val="single" w:color="000000" w:sz="4"/>
          <w:bottom w:val="single" w:color="000000" w:sz="4"/>
          <w:left w:val="single" w:color="000000" w:sz="4"/>
          <w:right w:val="single" w:color="000000" w:sz="4"/>
        </w:pBdr>
        <w:spacing w:after="120" w:before="120"/>
        <w:jc w:val="center"/>
      </w:pPr>
      <w:r>
        <w:rPr>
          <w:b/>
          <w:bCs/>
          <w:sz w:val="22"/>
          <w:szCs w:val="22"/>
        </w:rPr>
        <w:t xml:space="preserve">[ INSERTAR CAPTURA DE PANTALLA DE CLOUDSHELL AQUÍ ]</w:t>
      </w:r>
    </w:p>
    <w:p>
      <w:pPr>
        <w:spacing w:after="80" w:before="80"/>
      </w:pPr>
    </w:p>
    <w:p>
      <w:pPr>
        <w:spacing w:after="60" w:before="60"/>
      </w:pPr>
      <w:r>
        <w:rPr>
          <w:sz w:val="22"/>
          <w:szCs w:val="22"/>
        </w:rPr>
        <w:t xml:space="preserve">Análisis: la denegación confirma que pol-documentacion-lectura-los-rojos no otorga s3:CreateBucket. No existe ninguna otra política que herede ese permiso a usr-kevin.</w:t>
      </w:r>
    </w:p>
    <w:p>
      <w:pPr>
        <w:spacing w:after="80" w:before="80"/>
      </w:pPr>
    </w:p>
    <w:p>
      <w:pPr>
        <w:pStyle w:val="Heading1"/>
        <w:spacing w:after="120" w:before="300"/>
      </w:pPr>
      <w:r>
        <w:rPr>
          <w:b/>
          <w:bCs/>
          <w:sz w:val="28"/>
          <w:szCs w:val="28"/>
        </w:rPr>
        <w:t xml:space="preserve">6. Evidencia de Permiso</w:t>
      </w:r>
    </w:p>
    <w:p>
      <w:pPr>
        <w:spacing w:after="60" w:before="60"/>
      </w:pPr>
      <w:r>
        <w:rPr>
          <w:sz w:val="22"/>
          <w:szCs w:val="22"/>
        </w:rPr>
        <w:t xml:space="preserve">Con las mismas credenciales de usr-kevin se verificó que listar el bucket del proyecto sí funciona.</w:t>
      </w:r>
    </w:p>
    <w:p>
      <w:pPr>
        <w:spacing w:after="80" w:before="80"/>
      </w:pPr>
    </w:p>
    <w:p>
      <w:pPr>
        <w:spacing w:after="60" w:before="60"/>
      </w:pPr>
      <w:r>
        <w:rPr>
          <w:sz w:val="22"/>
          <w:szCs w:val="22"/>
        </w:rPr>
        <w:t xml:space="preserve">Comando ejecutado con credenciales de usr-kevin:</w:t>
      </w:r>
    </w:p>
    <w:p>
      <w:pPr>
        <w:spacing w:after="80" w:before="80"/>
      </w:pPr>
    </w:p>
    <w:p>
      <w:pPr>
        <w:spacing w:after="0" w:before="0"/>
        <w:ind w:left="360"/>
      </w:pPr>
      <w:r>
        <w:rPr>
          <w:rFonts w:ascii="Courier New" w:cs="Courier New" w:eastAsia="Courier New" w:hAnsi="Courier New"/>
          <w:sz w:val="18"/>
          <w:szCs w:val="18"/>
        </w:rPr>
        <w:t xml:space="preserve">AWS_ACCESS_KEY_ID=&lt;KEY_KEVIN&gt;  AWS_SECRET_ACCESS_KEY=&lt;SECRET_KEVIN&gt;  \</w:t>
      </w:r>
    </w:p>
    <w:p>
      <w:pPr>
        <w:spacing w:after="0" w:before="0"/>
        <w:ind w:left="360"/>
      </w:pPr>
      <w:r>
        <w:rPr>
          <w:rFonts w:ascii="Courier New" w:cs="Courier New" w:eastAsia="Courier New" w:hAnsi="Courier New"/>
          <w:sz w:val="18"/>
          <w:szCs w:val="18"/>
        </w:rPr>
        <w:t xml:space="preserve">aws s3 ls s3://inventario-archivos-losrojos</w:t>
      </w:r>
    </w:p>
    <w:p>
      <w:pPr>
        <w:spacing w:after="80" w:before="80"/>
      </w:pPr>
    </w:p>
    <w:p>
      <w:pPr>
        <w:spacing w:after="60" w:before="60"/>
      </w:pPr>
      <w:r>
        <w:rPr>
          <w:sz w:val="22"/>
          <w:szCs w:val="22"/>
        </w:rPr>
        <w:t xml:space="preserve">Resultado esperado (listado del bucket sin error):</w:t>
      </w:r>
    </w:p>
    <w:p>
      <w:pPr>
        <w:spacing w:after="80" w:before="80"/>
      </w:pPr>
    </w:p>
    <w:p>
      <w:pPr>
        <w:spacing w:after="0" w:before="0"/>
        <w:ind w:left="360"/>
      </w:pPr>
      <w:r>
        <w:rPr>
          <w:rFonts w:ascii="Courier New" w:cs="Courier New" w:eastAsia="Courier New" w:hAnsi="Courier New"/>
          <w:sz w:val="18"/>
          <w:szCs w:val="18"/>
        </w:rPr>
        <w:t xml:space="preserve">2026-09-11 10:23:45       42 prueba-practica02.txt</w:t>
      </w:r>
    </w:p>
    <w:p>
      <w:pPr>
        <w:spacing w:after="80" w:before="80"/>
      </w:pPr>
    </w:p>
    <w:p>
      <w:pPr>
        <w:pBdr>
          <w:top w:val="single" w:color="000000" w:sz="4"/>
          <w:bottom w:val="single" w:color="000000" w:sz="4"/>
          <w:left w:val="single" w:color="000000" w:sz="4"/>
          <w:right w:val="single" w:color="000000" w:sz="4"/>
        </w:pBdr>
        <w:spacing w:after="120" w:before="120"/>
        <w:jc w:val="center"/>
      </w:pPr>
      <w:r>
        <w:rPr>
          <w:b/>
          <w:bCs/>
          <w:sz w:val="22"/>
          <w:szCs w:val="22"/>
        </w:rPr>
        <w:t xml:space="preserve">[ INSERTAR CAPTURA DE PANTALLA DE CLOUDSHELL AQUÍ ]</w:t>
      </w:r>
    </w:p>
    <w:p>
      <w:pPr>
        <w:spacing w:after="80" w:before="80"/>
      </w:pPr>
    </w:p>
    <w:p>
      <w:pPr>
        <w:spacing w:after="60" w:before="60"/>
      </w:pPr>
      <w:r>
        <w:rPr>
          <w:sz w:val="22"/>
          <w:szCs w:val="22"/>
        </w:rPr>
        <w:t xml:space="preserve">Análisis: el listado exitoso confirma que s3:ListBucket está correctamente concedido y el recurso apunta al bucket inventario-archivos-losrojos.</w:t>
      </w:r>
    </w:p>
    <w:p>
      <w:pPr>
        <w:spacing w:after="80" w:before="80"/>
      </w:pPr>
    </w:p>
    <w:p>
      <w:pPr>
        <w:pStyle w:val="Heading1"/>
        <w:spacing w:after="120" w:before="300"/>
      </w:pPr>
      <w:r>
        <w:rPr>
          <w:b/>
          <w:bCs/>
          <w:sz w:val="28"/>
          <w:szCs w:val="28"/>
        </w:rPr>
        <w:t xml:space="preserve">7. Rol de Servicio EC2 → S3</w:t>
      </w:r>
    </w:p>
    <w:p>
      <w:pPr>
        <w:spacing w:after="60" w:before="60"/>
      </w:pPr>
      <w:r>
        <w:rPr>
          <w:b/>
          <w:bCs/>
          <w:sz w:val="22"/>
          <w:szCs w:val="22"/>
        </w:rPr>
        <w:t xml:space="preserve">Nombre del rol: </w:t>
      </w:r>
      <w:r>
        <w:rPr>
          <w:b w:val="false"/>
          <w:bCs w:val="false"/>
          <w:sz w:val="22"/>
          <w:szCs w:val="22"/>
        </w:rPr>
        <w:t xml:space="preserve">rol-ec2-s3-los-rojos</w:t>
      </w:r>
    </w:p>
    <w:p>
      <w:pPr>
        <w:spacing w:after="60" w:before="60"/>
      </w:pPr>
      <w:r>
        <w:rPr>
          <w:b/>
          <w:bCs/>
          <w:sz w:val="22"/>
          <w:szCs w:val="22"/>
        </w:rPr>
        <w:t xml:space="preserve">Instance Profile: </w:t>
      </w:r>
      <w:r>
        <w:rPr>
          <w:b w:val="false"/>
          <w:bCs w:val="false"/>
          <w:sz w:val="22"/>
          <w:szCs w:val="22"/>
        </w:rPr>
        <w:t xml:space="preserve">ip-rol-ec2-s3-los-rojos</w:t>
      </w:r>
    </w:p>
    <w:p>
      <w:pPr>
        <w:spacing w:after="80" w:before="80"/>
      </w:pPr>
    </w:p>
    <w:p>
      <w:pPr>
        <w:spacing w:after="60" w:before="60"/>
      </w:pPr>
      <w:r>
        <w:rPr>
          <w:sz w:val="22"/>
          <w:szCs w:val="22"/>
        </w:rPr>
        <w:t xml:space="preserve">Este rol permite que una instancia EC2 acceda al bucket S3 del proyecto sin usar llaves de acceso permanentes en el código. Es la práctica recomendada por AWS para evitar credenciales en variables de entorno.</w:t>
      </w:r>
    </w:p>
    <w:p>
      <w:pPr>
        <w:spacing w:after="80" w:before="80"/>
      </w:pPr>
    </w:p>
    <w:p>
      <w:pPr>
        <w:spacing w:after="60" w:before="60"/>
      </w:pPr>
      <w:r>
        <w:rPr>
          <w:sz w:val="22"/>
          <w:szCs w:val="22"/>
        </w:rPr>
        <w:t xml:space="preserve">Trust Policy (quién puede asumir el rol):</w:t>
      </w:r>
    </w:p>
    <w:p>
      <w:pPr>
        <w:spacing w:after="80" w:before="80"/>
      </w:pPr>
    </w:p>
    <w:p>
      <w:pPr>
        <w:spacing w:after="0" w:before="0"/>
        <w:ind w:left="360"/>
      </w:pPr>
      <w:r>
        <w:rPr>
          <w:rFonts w:ascii="Courier New" w:cs="Courier New" w:eastAsia="Courier New" w:hAnsi="Courier New"/>
          <w:sz w:val="18"/>
          <w:szCs w:val="18"/>
        </w:rPr>
        <w:t xml:space="preserve">{</w:t>
      </w:r>
    </w:p>
    <w:p>
      <w:pPr>
        <w:spacing w:after="0" w:before="0"/>
        <w:ind w:left="360"/>
      </w:pPr>
      <w:r>
        <w:rPr>
          <w:rFonts w:ascii="Courier New" w:cs="Courier New" w:eastAsia="Courier New" w:hAnsi="Courier New"/>
          <w:sz w:val="18"/>
          <w:szCs w:val="18"/>
        </w:rPr>
        <w:t xml:space="preserve">  "Version": "2012-10-17",</w:t>
      </w:r>
    </w:p>
    <w:p>
      <w:pPr>
        <w:spacing w:after="0" w:before="0"/>
        <w:ind w:left="360"/>
      </w:pPr>
      <w:r>
        <w:rPr>
          <w:rFonts w:ascii="Courier New" w:cs="Courier New" w:eastAsia="Courier New" w:hAnsi="Courier New"/>
          <w:sz w:val="18"/>
          <w:szCs w:val="18"/>
        </w:rPr>
        <w:t xml:space="preserve">  "Statement": [{</w:t>
      </w:r>
    </w:p>
    <w:p>
      <w:pPr>
        <w:spacing w:after="0" w:before="0"/>
        <w:ind w:left="360"/>
      </w:pPr>
      <w:r>
        <w:rPr>
          <w:rFonts w:ascii="Courier New" w:cs="Courier New" w:eastAsia="Courier New" w:hAnsi="Courier New"/>
          <w:sz w:val="18"/>
          <w:szCs w:val="18"/>
        </w:rPr>
        <w:t xml:space="preserve">    "Effect": "Allow",</w:t>
      </w:r>
    </w:p>
    <w:p>
      <w:pPr>
        <w:spacing w:after="0" w:before="0"/>
        <w:ind w:left="360"/>
      </w:pPr>
      <w:r>
        <w:rPr>
          <w:rFonts w:ascii="Courier New" w:cs="Courier New" w:eastAsia="Courier New" w:hAnsi="Courier New"/>
          <w:sz w:val="18"/>
          <w:szCs w:val="18"/>
        </w:rPr>
        <w:t xml:space="preserve">    "Principal": { "Service": "ec2.amazonaws.com" },</w:t>
      </w:r>
    </w:p>
    <w:p>
      <w:pPr>
        <w:spacing w:after="0" w:before="0"/>
        <w:ind w:left="360"/>
      </w:pPr>
      <w:r>
        <w:rPr>
          <w:rFonts w:ascii="Courier New" w:cs="Courier New" w:eastAsia="Courier New" w:hAnsi="Courier New"/>
          <w:sz w:val="18"/>
          <w:szCs w:val="18"/>
        </w:rPr>
        <w:t xml:space="preserve">    "Action": "sts:AssumeRole"</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w:t>
      </w:r>
    </w:p>
    <w:p>
      <w:pPr>
        <w:spacing w:after="80" w:before="80"/>
      </w:pPr>
    </w:p>
    <w:p>
      <w:pPr>
        <w:spacing w:after="60" w:before="60"/>
      </w:pPr>
      <w:r>
        <w:rPr>
          <w:sz w:val="22"/>
          <w:szCs w:val="22"/>
        </w:rPr>
        <w:t xml:space="preserve">Política de permisos del rol:</w:t>
      </w:r>
    </w:p>
    <w:p>
      <w:pPr>
        <w:spacing w:after="80" w:before="80"/>
      </w:pPr>
    </w:p>
    <w:p>
      <w:pPr>
        <w:spacing w:after="0" w:before="0"/>
        <w:ind w:left="360"/>
      </w:pPr>
      <w:r>
        <w:rPr>
          <w:rFonts w:ascii="Courier New" w:cs="Courier New" w:eastAsia="Courier New" w:hAnsi="Courier New"/>
          <w:sz w:val="18"/>
          <w:szCs w:val="18"/>
        </w:rPr>
        <w:t xml:space="preserve">{</w:t>
      </w:r>
    </w:p>
    <w:p>
      <w:pPr>
        <w:spacing w:after="0" w:before="0"/>
        <w:ind w:left="360"/>
      </w:pPr>
      <w:r>
        <w:rPr>
          <w:rFonts w:ascii="Courier New" w:cs="Courier New" w:eastAsia="Courier New" w:hAnsi="Courier New"/>
          <w:sz w:val="18"/>
          <w:szCs w:val="18"/>
        </w:rPr>
        <w:t xml:space="preserve">  "Version": "2012-10-17",</w:t>
      </w:r>
    </w:p>
    <w:p>
      <w:pPr>
        <w:spacing w:after="0" w:before="0"/>
        <w:ind w:left="360"/>
      </w:pPr>
      <w:r>
        <w:rPr>
          <w:rFonts w:ascii="Courier New" w:cs="Courier New" w:eastAsia="Courier New" w:hAnsi="Courier New"/>
          <w:sz w:val="18"/>
          <w:szCs w:val="18"/>
        </w:rPr>
        <w:t xml:space="preserve">  "Statement": [{</w:t>
      </w:r>
    </w:p>
    <w:p>
      <w:pPr>
        <w:spacing w:after="0" w:before="0"/>
        <w:ind w:left="360"/>
      </w:pPr>
      <w:r>
        <w:rPr>
          <w:rFonts w:ascii="Courier New" w:cs="Courier New" w:eastAsia="Courier New" w:hAnsi="Courier New"/>
          <w:sz w:val="18"/>
          <w:szCs w:val="18"/>
        </w:rPr>
        <w:t xml:space="preserve">    "Sid": "AccesoS3SinLlaves",</w:t>
      </w:r>
    </w:p>
    <w:p>
      <w:pPr>
        <w:spacing w:after="0" w:before="0"/>
        <w:ind w:left="360"/>
      </w:pPr>
      <w:r>
        <w:rPr>
          <w:rFonts w:ascii="Courier New" w:cs="Courier New" w:eastAsia="Courier New" w:hAnsi="Courier New"/>
          <w:sz w:val="18"/>
          <w:szCs w:val="18"/>
        </w:rPr>
        <w:t xml:space="preserve">    "Effect": "Allow",</w:t>
      </w:r>
    </w:p>
    <w:p>
      <w:pPr>
        <w:spacing w:after="0" w:before="0"/>
        <w:ind w:left="360"/>
      </w:pPr>
      <w:r>
        <w:rPr>
          <w:rFonts w:ascii="Courier New" w:cs="Courier New" w:eastAsia="Courier New" w:hAnsi="Courier New"/>
          <w:sz w:val="18"/>
          <w:szCs w:val="18"/>
        </w:rPr>
        <w:t xml:space="preserve">    "Action": ["s3:GetObject","s3:PutObject","s3:DeleteObject","s3:ListBucket"],</w:t>
      </w:r>
    </w:p>
    <w:p>
      <w:pPr>
        <w:spacing w:after="0" w:before="0"/>
        <w:ind w:left="360"/>
      </w:pPr>
      <w:r>
        <w:rPr>
          <w:rFonts w:ascii="Courier New" w:cs="Courier New" w:eastAsia="Courier New" w:hAnsi="Courier New"/>
          <w:sz w:val="18"/>
          <w:szCs w:val="18"/>
        </w:rPr>
        <w:t xml:space="preserve">    "Resource": [</w:t>
      </w:r>
    </w:p>
    <w:p>
      <w:pPr>
        <w:spacing w:after="0" w:before="0"/>
        <w:ind w:left="360"/>
      </w:pPr>
      <w:r>
        <w:rPr>
          <w:rFonts w:ascii="Courier New" w:cs="Courier New" w:eastAsia="Courier New" w:hAnsi="Courier New"/>
          <w:sz w:val="18"/>
          <w:szCs w:val="18"/>
        </w:rPr>
        <w:t xml:space="preserve">      "arn:aws:s3:::inventario-archivos-losrojos",</w:t>
      </w:r>
    </w:p>
    <w:p>
      <w:pPr>
        <w:spacing w:after="0" w:before="0"/>
        <w:ind w:left="360"/>
      </w:pPr>
      <w:r>
        <w:rPr>
          <w:rFonts w:ascii="Courier New" w:cs="Courier New" w:eastAsia="Courier New" w:hAnsi="Courier New"/>
          <w:sz w:val="18"/>
          <w:szCs w:val="18"/>
        </w:rPr>
        <w:t xml:space="preserve">      "arn:aws:s3:::inventario-archivos-losrojos/*"</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w:t>
      </w:r>
    </w:p>
    <w:p>
      <w:pPr>
        <w:spacing w:after="80" w:before="80"/>
      </w:pPr>
    </w:p>
    <w:p>
      <w:pPr>
        <w:spacing w:after="60" w:before="60"/>
      </w:pPr>
      <w:r>
        <w:rPr>
          <w:sz w:val="22"/>
          <w:szCs w:val="22"/>
        </w:rPr>
        <w:t xml:space="preserve">Cómo se usará en la Práctica 03:</w:t>
      </w:r>
    </w:p>
    <w:p>
      <w:pPr>
        <w:spacing w:after="0" w:before="0"/>
        <w:ind w:left="360"/>
      </w:pPr>
      <w:r>
        <w:rPr>
          <w:rFonts w:ascii="Courier New" w:cs="Courier New" w:eastAsia="Courier New" w:hAnsi="Courier New"/>
          <w:sz w:val="18"/>
          <w:szCs w:val="18"/>
        </w:rPr>
        <w:t xml:space="preserve">aws ec2 associate-iam-instance-profile \</w:t>
      </w:r>
    </w:p>
    <w:p>
      <w:pPr>
        <w:spacing w:after="0" w:before="0"/>
        <w:ind w:left="360"/>
      </w:pPr>
      <w:r>
        <w:rPr>
          <w:rFonts w:ascii="Courier New" w:cs="Courier New" w:eastAsia="Courier New" w:hAnsi="Courier New"/>
          <w:sz w:val="18"/>
          <w:szCs w:val="18"/>
        </w:rPr>
        <w:t xml:space="preserve">  --instance-id i-XXXXXXXXXXXXXXXXX \</w:t>
      </w:r>
    </w:p>
    <w:p>
      <w:pPr>
        <w:spacing w:after="0" w:before="0"/>
        <w:ind w:left="360"/>
      </w:pPr>
      <w:r>
        <w:rPr>
          <w:rFonts w:ascii="Courier New" w:cs="Courier New" w:eastAsia="Courier New" w:hAnsi="Courier New"/>
          <w:sz w:val="18"/>
          <w:szCs w:val="18"/>
        </w:rPr>
        <w:t xml:space="preserve">  --iam-instance-profile Name=ip-rol-ec2-s3-los-rojos</w:t>
      </w:r>
    </w:p>
    <w:p>
      <w:pPr>
        <w:spacing w:after="80" w:before="80"/>
      </w:pPr>
    </w:p>
    <w:p>
      <w:pPr>
        <w:spacing w:after="60" w:before="60"/>
      </w:pPr>
      <w:r>
        <w:rPr>
          <w:sz w:val="22"/>
          <w:szCs w:val="22"/>
        </w:rPr>
        <w:t xml:space="preserve">Con este rol asignado, el código Node.js en EC2 no necesita AWS_ACCESS_KEY_ID ni AWS_SECRET_ACCESS_KEY en el archivo .env.</w:t>
      </w:r>
    </w:p>
    <w:p>
      <w:pPr>
        <w:spacing w:after="80" w:before="80"/>
      </w:pPr>
    </w:p>
    <w:p>
      <w:pPr>
        <w:pBdr>
          <w:top w:val="single" w:color="000000" w:sz="4"/>
          <w:bottom w:val="single" w:color="000000" w:sz="4"/>
          <w:left w:val="single" w:color="000000" w:sz="4"/>
          <w:right w:val="single" w:color="000000" w:sz="4"/>
        </w:pBdr>
        <w:spacing w:after="120" w:before="120"/>
        <w:jc w:val="center"/>
      </w:pPr>
      <w:r>
        <w:rPr>
          <w:b/>
          <w:bCs/>
          <w:sz w:val="22"/>
          <w:szCs w:val="22"/>
        </w:rPr>
        <w:t xml:space="preserve">[ INSERTAR CAPTURA DEL ROL EN CONSOLA IAM → ROLES AQUÍ ]</w:t>
      </w:r>
    </w:p>
    <w:p>
      <w:pPr>
        <w:spacing w:after="80" w:before="80"/>
      </w:pPr>
    </w:p>
    <w:p>
      <w:pPr>
        <w:pStyle w:val="Heading1"/>
        <w:spacing w:after="120" w:before="300"/>
      </w:pPr>
      <w:r>
        <w:rPr>
          <w:b/>
          <w:bCs/>
          <w:sz w:val="28"/>
          <w:szCs w:val="28"/>
        </w:rPr>
        <w:t xml:space="preserve">8. Matriz de Accesos Final</w:t>
      </w:r>
    </w:p>
    <w:p>
      <w:pPr>
        <w:spacing w:after="60" w:before="60"/>
      </w:pPr>
      <w:r>
        <w:rPr>
          <w:sz w:val="22"/>
          <w:szCs w:val="22"/>
        </w:rPr>
        <w:t xml:space="preserve">Matriz actualizada con las políticas resultantes de esta práctica. Corresponde al apartado de seguridad del documento técnico del proyecto.</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D9D9D9" w:val="solid"/>
            <w:tcMar>
              <w:top w:type="dxa" w:w="60"/>
              <w:left w:type="dxa" w:w="100"/>
              <w:bottom w:type="dxa" w:w="60"/>
              <w:right w:type="dxa" w:w="100"/>
            </w:tcMar>
          </w:tcPr>
          <w:p>
            <w:pPr>
              <w:spacing w:after="60" w:before="60"/>
              <w:jc w:val="center"/>
            </w:pPr>
            <w:r>
              <w:rPr>
                <w:b/>
                <w:bCs/>
                <w:sz w:val="20"/>
                <w:szCs w:val="20"/>
              </w:rPr>
              <w:t xml:space="preserve">Identidad</w:t>
            </w:r>
          </w:p>
        </w:tc>
        <w:tc>
          <w:tcPr>
            <w:shd w:fill="D9D9D9" w:val="solid"/>
            <w:tcMar>
              <w:top w:type="dxa" w:w="60"/>
              <w:left w:type="dxa" w:w="100"/>
              <w:bottom w:type="dxa" w:w="60"/>
              <w:right w:type="dxa" w:w="100"/>
            </w:tcMar>
          </w:tcPr>
          <w:p>
            <w:pPr>
              <w:spacing w:after="60" w:before="60"/>
              <w:jc w:val="center"/>
            </w:pPr>
            <w:r>
              <w:rPr>
                <w:b/>
                <w:bCs/>
                <w:sz w:val="20"/>
                <w:szCs w:val="20"/>
              </w:rPr>
              <w:t xml:space="preserve">Tipo</w:t>
            </w:r>
          </w:p>
        </w:tc>
        <w:tc>
          <w:tcPr>
            <w:shd w:fill="D9D9D9" w:val="solid"/>
            <w:tcMar>
              <w:top w:type="dxa" w:w="60"/>
              <w:left w:type="dxa" w:w="100"/>
              <w:bottom w:type="dxa" w:w="60"/>
              <w:right w:type="dxa" w:w="100"/>
            </w:tcMar>
          </w:tcPr>
          <w:p>
            <w:pPr>
              <w:spacing w:after="60" w:before="60"/>
              <w:jc w:val="center"/>
            </w:pPr>
            <w:r>
              <w:rPr>
                <w:b/>
                <w:bCs/>
                <w:sz w:val="20"/>
                <w:szCs w:val="20"/>
              </w:rPr>
              <w:t xml:space="preserve">Grupo / Principal</w:t>
            </w:r>
          </w:p>
        </w:tc>
        <w:tc>
          <w:tcPr>
            <w:shd w:fill="D9D9D9" w:val="solid"/>
            <w:tcMar>
              <w:top w:type="dxa" w:w="60"/>
              <w:left w:type="dxa" w:w="100"/>
              <w:bottom w:type="dxa" w:w="60"/>
              <w:right w:type="dxa" w:w="100"/>
            </w:tcMar>
          </w:tcPr>
          <w:p>
            <w:pPr>
              <w:spacing w:after="60" w:before="60"/>
              <w:jc w:val="center"/>
            </w:pPr>
            <w:r>
              <w:rPr>
                <w:b/>
                <w:bCs/>
                <w:sz w:val="20"/>
                <w:szCs w:val="20"/>
              </w:rPr>
              <w:t xml:space="preserve">Política aplicada</w:t>
            </w:r>
          </w:p>
        </w:tc>
        <w:tc>
          <w:tcPr>
            <w:shd w:fill="D9D9D9" w:val="solid"/>
            <w:tcMar>
              <w:top w:type="dxa" w:w="60"/>
              <w:left w:type="dxa" w:w="100"/>
              <w:bottom w:type="dxa" w:w="60"/>
              <w:right w:type="dxa" w:w="100"/>
            </w:tcMar>
          </w:tcPr>
          <w:p>
            <w:pPr>
              <w:spacing w:after="60" w:before="60"/>
              <w:jc w:val="center"/>
            </w:pPr>
            <w:r>
              <w:rPr>
                <w:b/>
                <w:bCs/>
                <w:sz w:val="20"/>
                <w:szCs w:val="20"/>
              </w:rPr>
              <w:t xml:space="preserve">Acciones clave</w:t>
            </w:r>
          </w:p>
        </w:tc>
        <w:tc>
          <w:tcPr>
            <w:shd w:fill="D9D9D9" w:val="solid"/>
            <w:tcMar>
              <w:top w:type="dxa" w:w="60"/>
              <w:left w:type="dxa" w:w="100"/>
              <w:bottom w:type="dxa" w:w="60"/>
              <w:right w:type="dxa" w:w="100"/>
            </w:tcMar>
          </w:tcPr>
          <w:p>
            <w:pPr>
              <w:spacing w:after="60" w:before="60"/>
              <w:jc w:val="center"/>
            </w:pPr>
            <w:r>
              <w:rPr>
                <w:b/>
                <w:bCs/>
                <w:sz w:val="20"/>
                <w:szCs w:val="20"/>
              </w:rPr>
              <w:t xml:space="preserve">Restricción</w:t>
            </w:r>
          </w:p>
        </w:tc>
      </w:tr>
      <w:tr>
        <w:tc>
          <w:tcPr>
            <w:tcMar>
              <w:top w:type="dxa" w:w="50"/>
              <w:left w:type="dxa" w:w="100"/>
              <w:bottom w:type="dxa" w:w="50"/>
              <w:right w:type="dxa" w:w="100"/>
            </w:tcMar>
          </w:tcPr>
          <w:p>
            <w:pPr>
              <w:spacing w:after="50" w:before="50"/>
            </w:pPr>
            <w:r>
              <w:rPr>
                <w:b w:val="false"/>
                <w:bCs w:val="false"/>
                <w:sz w:val="20"/>
                <w:szCs w:val="20"/>
              </w:rPr>
              <w:t xml:space="preserve">usr-kevin</w:t>
            </w:r>
          </w:p>
        </w:tc>
        <w:tc>
          <w:tcPr>
            <w:tcMar>
              <w:top w:type="dxa" w:w="50"/>
              <w:left w:type="dxa" w:w="100"/>
              <w:bottom w:type="dxa" w:w="50"/>
              <w:right w:type="dxa" w:w="100"/>
            </w:tcMar>
          </w:tcPr>
          <w:p>
            <w:pPr>
              <w:spacing w:after="50" w:before="50"/>
            </w:pPr>
            <w:r>
              <w:rPr>
                <w:b w:val="false"/>
                <w:bCs w:val="false"/>
                <w:sz w:val="20"/>
                <w:szCs w:val="20"/>
              </w:rPr>
              <w:t xml:space="preserve">Usuario IAM</w:t>
            </w:r>
          </w:p>
        </w:tc>
        <w:tc>
          <w:tcPr>
            <w:tcMar>
              <w:top w:type="dxa" w:w="50"/>
              <w:left w:type="dxa" w:w="100"/>
              <w:bottom w:type="dxa" w:w="50"/>
              <w:right w:type="dxa" w:w="100"/>
            </w:tcMar>
          </w:tcPr>
          <w:p>
            <w:pPr>
              <w:spacing w:after="50" w:before="50"/>
            </w:pPr>
            <w:r>
              <w:rPr>
                <w:b w:val="false"/>
                <w:bCs w:val="false"/>
                <w:sz w:val="20"/>
                <w:szCs w:val="20"/>
              </w:rPr>
              <w:t xml:space="preserve">grp-documentacion</w:t>
            </w:r>
          </w:p>
        </w:tc>
        <w:tc>
          <w:tcPr>
            <w:tcMar>
              <w:top w:type="dxa" w:w="50"/>
              <w:left w:type="dxa" w:w="100"/>
              <w:bottom w:type="dxa" w:w="50"/>
              <w:right w:type="dxa" w:w="100"/>
            </w:tcMar>
          </w:tcPr>
          <w:p>
            <w:pPr>
              <w:spacing w:after="50" w:before="50"/>
            </w:pPr>
            <w:r>
              <w:rPr>
                <w:b w:val="false"/>
                <w:bCs w:val="false"/>
                <w:sz w:val="20"/>
                <w:szCs w:val="20"/>
              </w:rPr>
              <w:t xml:space="preserve">pol-documentacion-lectura-los-rojos</w:t>
            </w:r>
          </w:p>
        </w:tc>
        <w:tc>
          <w:tcPr>
            <w:tcMar>
              <w:top w:type="dxa" w:w="50"/>
              <w:left w:type="dxa" w:w="100"/>
              <w:bottom w:type="dxa" w:w="50"/>
              <w:right w:type="dxa" w:w="100"/>
            </w:tcMar>
          </w:tcPr>
          <w:p>
            <w:pPr>
              <w:spacing w:after="50" w:before="50"/>
            </w:pPr>
            <w:r>
              <w:rPr>
                <w:b w:val="false"/>
                <w:bCs w:val="false"/>
                <w:sz w:val="20"/>
                <w:szCs w:val="20"/>
              </w:rPr>
              <w:t xml:space="preserve">s3:GetObject, s3:ListBucket, ec2:Describe*, logs:GetLogEvents</w:t>
            </w:r>
          </w:p>
        </w:tc>
        <w:tc>
          <w:tcPr>
            <w:tcMar>
              <w:top w:type="dxa" w:w="50"/>
              <w:left w:type="dxa" w:w="100"/>
              <w:bottom w:type="dxa" w:w="50"/>
              <w:right w:type="dxa" w:w="100"/>
            </w:tcMar>
          </w:tcPr>
          <w:p>
            <w:pPr>
              <w:spacing w:after="50" w:before="50"/>
            </w:pPr>
            <w:r>
              <w:rPr>
                <w:b w:val="false"/>
                <w:bCs w:val="false"/>
                <w:sz w:val="20"/>
                <w:szCs w:val="20"/>
              </w:rPr>
              <w:t xml:space="preserve">Bucket exacto + etiqueta equipo=los-rojos</w:t>
            </w:r>
          </w:p>
        </w:tc>
      </w:tr>
      <w:tr>
        <w:tc>
          <w:tcPr>
            <w:shd w:fill="F2F2F2" w:val="solid"/>
            <w:tcMar>
              <w:top w:type="dxa" w:w="50"/>
              <w:left w:type="dxa" w:w="100"/>
              <w:bottom w:type="dxa" w:w="50"/>
              <w:right w:type="dxa" w:w="100"/>
            </w:tcMar>
          </w:tcPr>
          <w:p>
            <w:pPr>
              <w:spacing w:after="50" w:before="50"/>
            </w:pPr>
            <w:r>
              <w:rPr>
                <w:b w:val="false"/>
                <w:bCs w:val="false"/>
                <w:sz w:val="20"/>
                <w:szCs w:val="20"/>
              </w:rPr>
              <w:t xml:space="preserve">usr-kevin</w:t>
            </w:r>
          </w:p>
        </w:tc>
        <w:tc>
          <w:tcPr>
            <w:shd w:fill="F2F2F2" w:val="solid"/>
            <w:tcMar>
              <w:top w:type="dxa" w:w="50"/>
              <w:left w:type="dxa" w:w="100"/>
              <w:bottom w:type="dxa" w:w="50"/>
              <w:right w:type="dxa" w:w="100"/>
            </w:tcMar>
          </w:tcPr>
          <w:p>
            <w:pPr>
              <w:spacing w:after="50" w:before="50"/>
            </w:pPr>
            <w:r>
              <w:rPr>
                <w:b w:val="false"/>
                <w:bCs w:val="false"/>
                <w:sz w:val="20"/>
                <w:szCs w:val="20"/>
              </w:rPr>
              <w:t xml:space="preserve">Usuario IAM</w:t>
            </w:r>
          </w:p>
        </w:tc>
        <w:tc>
          <w:tcPr>
            <w:shd w:fill="F2F2F2" w:val="solid"/>
            <w:tcMar>
              <w:top w:type="dxa" w:w="50"/>
              <w:left w:type="dxa" w:w="100"/>
              <w:bottom w:type="dxa" w:w="50"/>
              <w:right w:type="dxa" w:w="100"/>
            </w:tcMar>
          </w:tcPr>
          <w:p>
            <w:pPr>
              <w:spacing w:after="50" w:before="50"/>
            </w:pPr>
            <w:r>
              <w:rPr>
                <w:b w:val="false"/>
                <w:bCs w:val="false"/>
                <w:sz w:val="20"/>
                <w:szCs w:val="20"/>
              </w:rPr>
              <w:t xml:space="preserve">grp-arquitectura</w:t>
            </w:r>
          </w:p>
        </w:tc>
        <w:tc>
          <w:tcPr>
            <w:shd w:fill="F2F2F2" w:val="solid"/>
            <w:tcMar>
              <w:top w:type="dxa" w:w="50"/>
              <w:left w:type="dxa" w:w="100"/>
              <w:bottom w:type="dxa" w:w="50"/>
              <w:right w:type="dxa" w:w="100"/>
            </w:tcMar>
          </w:tcPr>
          <w:p>
            <w:pPr>
              <w:spacing w:after="50" w:before="50"/>
            </w:pPr>
            <w:r>
              <w:rPr>
                <w:b w:val="false"/>
                <w:bCs w:val="false"/>
                <w:sz w:val="20"/>
                <w:szCs w:val="20"/>
              </w:rPr>
              <w:t xml:space="preserve">pol-arquitectura-losrojos</w:t>
            </w:r>
          </w:p>
        </w:tc>
        <w:tc>
          <w:tcPr>
            <w:shd w:fill="F2F2F2" w:val="solid"/>
            <w:tcMar>
              <w:top w:type="dxa" w:w="50"/>
              <w:left w:type="dxa" w:w="100"/>
              <w:bottom w:type="dxa" w:w="50"/>
              <w:right w:type="dxa" w:w="100"/>
            </w:tcMar>
          </w:tcPr>
          <w:p>
            <w:pPr>
              <w:spacing w:after="50" w:before="50"/>
            </w:pPr>
            <w:r>
              <w:rPr>
                <w:b w:val="false"/>
                <w:bCs w:val="false"/>
                <w:sz w:val="20"/>
                <w:szCs w:val="20"/>
              </w:rPr>
              <w:t xml:space="preserve">ec2:Describe* (VPC, Subnets, SG, ELB), rds:DescribeDBInstances</w:t>
            </w:r>
          </w:p>
        </w:tc>
        <w:tc>
          <w:tcPr>
            <w:shd w:fill="F2F2F2" w:val="solid"/>
            <w:tcMar>
              <w:top w:type="dxa" w:w="50"/>
              <w:left w:type="dxa" w:w="100"/>
              <w:bottom w:type="dxa" w:w="50"/>
              <w:right w:type="dxa" w:w="100"/>
            </w:tcMar>
          </w:tcPr>
          <w:p>
            <w:pPr>
              <w:spacing w:after="50" w:before="50"/>
            </w:pPr>
            <w:r>
              <w:rPr>
                <w:b w:val="false"/>
                <w:bCs w:val="false"/>
                <w:sz w:val="20"/>
                <w:szCs w:val="20"/>
              </w:rPr>
              <w:t xml:space="preserve">Solo recursos con etiqueta equipo=los-rojos</w:t>
            </w:r>
          </w:p>
        </w:tc>
      </w:tr>
      <w:tr>
        <w:tc>
          <w:tcPr>
            <w:tcMar>
              <w:top w:type="dxa" w:w="50"/>
              <w:left w:type="dxa" w:w="100"/>
              <w:bottom w:type="dxa" w:w="50"/>
              <w:right w:type="dxa" w:w="100"/>
            </w:tcMar>
          </w:tcPr>
          <w:p>
            <w:pPr>
              <w:spacing w:after="50" w:before="50"/>
            </w:pPr>
            <w:r>
              <w:rPr>
                <w:b w:val="false"/>
                <w:bCs w:val="false"/>
                <w:sz w:val="20"/>
                <w:szCs w:val="20"/>
              </w:rPr>
              <w:t xml:space="preserve">usr-angel</w:t>
            </w:r>
          </w:p>
        </w:tc>
        <w:tc>
          <w:tcPr>
            <w:tcMar>
              <w:top w:type="dxa" w:w="50"/>
              <w:left w:type="dxa" w:w="100"/>
              <w:bottom w:type="dxa" w:w="50"/>
              <w:right w:type="dxa" w:w="100"/>
            </w:tcMar>
          </w:tcPr>
          <w:p>
            <w:pPr>
              <w:spacing w:after="50" w:before="50"/>
            </w:pPr>
            <w:r>
              <w:rPr>
                <w:b w:val="false"/>
                <w:bCs w:val="false"/>
                <w:sz w:val="20"/>
                <w:szCs w:val="20"/>
              </w:rPr>
              <w:t xml:space="preserve">Usuario IAM</w:t>
            </w:r>
          </w:p>
        </w:tc>
        <w:tc>
          <w:tcPr>
            <w:tcMar>
              <w:top w:type="dxa" w:w="50"/>
              <w:left w:type="dxa" w:w="100"/>
              <w:bottom w:type="dxa" w:w="50"/>
              <w:right w:type="dxa" w:w="100"/>
            </w:tcMar>
          </w:tcPr>
          <w:p>
            <w:pPr>
              <w:spacing w:after="50" w:before="50"/>
            </w:pPr>
            <w:r>
              <w:rPr>
                <w:b w:val="false"/>
                <w:bCs w:val="false"/>
                <w:sz w:val="20"/>
                <w:szCs w:val="20"/>
              </w:rPr>
              <w:t xml:space="preserve">grp-desarrollo</w:t>
            </w:r>
          </w:p>
        </w:tc>
        <w:tc>
          <w:tcPr>
            <w:tcMar>
              <w:top w:type="dxa" w:w="50"/>
              <w:left w:type="dxa" w:w="100"/>
              <w:bottom w:type="dxa" w:w="50"/>
              <w:right w:type="dxa" w:w="100"/>
            </w:tcMar>
          </w:tcPr>
          <w:p>
            <w:pPr>
              <w:spacing w:after="50" w:before="50"/>
            </w:pPr>
            <w:r>
              <w:rPr>
                <w:b w:val="false"/>
                <w:bCs w:val="false"/>
                <w:sz w:val="20"/>
                <w:szCs w:val="20"/>
              </w:rPr>
              <w:t xml:space="preserve">pol-desarrollo-los-rojos</w:t>
            </w:r>
          </w:p>
        </w:tc>
        <w:tc>
          <w:tcPr>
            <w:tcMar>
              <w:top w:type="dxa" w:w="50"/>
              <w:left w:type="dxa" w:w="100"/>
              <w:bottom w:type="dxa" w:w="50"/>
              <w:right w:type="dxa" w:w="100"/>
            </w:tcMar>
          </w:tcPr>
          <w:p>
            <w:pPr>
              <w:spacing w:after="50" w:before="50"/>
            </w:pPr>
            <w:r>
              <w:rPr>
                <w:b w:val="false"/>
                <w:bCs w:val="false"/>
                <w:sz w:val="20"/>
                <w:szCs w:val="20"/>
              </w:rPr>
              <w:t xml:space="preserve">s3:PutObject/GetObject/Delete, CloudWatch</w:t>
            </w:r>
          </w:p>
        </w:tc>
        <w:tc>
          <w:tcPr>
            <w:tcMar>
              <w:top w:type="dxa" w:w="50"/>
              <w:left w:type="dxa" w:w="100"/>
              <w:bottom w:type="dxa" w:w="50"/>
              <w:right w:type="dxa" w:w="100"/>
            </w:tcMar>
          </w:tcPr>
          <w:p>
            <w:pPr>
              <w:spacing w:after="50" w:before="50"/>
            </w:pPr>
            <w:r>
              <w:rPr>
                <w:b w:val="false"/>
                <w:bCs w:val="false"/>
                <w:sz w:val="20"/>
                <w:szCs w:val="20"/>
              </w:rPr>
              <w:t xml:space="preserve">Deny IAM/Billing + bucket exacto + etiqueta</w:t>
            </w:r>
          </w:p>
        </w:tc>
      </w:tr>
      <w:tr>
        <w:tc>
          <w:tcPr>
            <w:shd w:fill="F2F2F2" w:val="solid"/>
            <w:tcMar>
              <w:top w:type="dxa" w:w="50"/>
              <w:left w:type="dxa" w:w="100"/>
              <w:bottom w:type="dxa" w:w="50"/>
              <w:right w:type="dxa" w:w="100"/>
            </w:tcMar>
          </w:tcPr>
          <w:p>
            <w:pPr>
              <w:spacing w:after="50" w:before="50"/>
            </w:pPr>
            <w:r>
              <w:rPr>
                <w:b w:val="false"/>
                <w:bCs w:val="false"/>
                <w:sz w:val="20"/>
                <w:szCs w:val="20"/>
              </w:rPr>
              <w:t xml:space="preserve">usr-angel</w:t>
            </w:r>
          </w:p>
        </w:tc>
        <w:tc>
          <w:tcPr>
            <w:shd w:fill="F2F2F2" w:val="solid"/>
            <w:tcMar>
              <w:top w:type="dxa" w:w="50"/>
              <w:left w:type="dxa" w:w="100"/>
              <w:bottom w:type="dxa" w:w="50"/>
              <w:right w:type="dxa" w:w="100"/>
            </w:tcMar>
          </w:tcPr>
          <w:p>
            <w:pPr>
              <w:spacing w:after="50" w:before="50"/>
            </w:pPr>
            <w:r>
              <w:rPr>
                <w:b w:val="false"/>
                <w:bCs w:val="false"/>
                <w:sz w:val="20"/>
                <w:szCs w:val="20"/>
              </w:rPr>
              <w:t xml:space="preserve">Usuario IAM</w:t>
            </w:r>
          </w:p>
        </w:tc>
        <w:tc>
          <w:tcPr>
            <w:shd w:fill="F2F2F2" w:val="solid"/>
            <w:tcMar>
              <w:top w:type="dxa" w:w="50"/>
              <w:left w:type="dxa" w:w="100"/>
              <w:bottom w:type="dxa" w:w="50"/>
              <w:right w:type="dxa" w:w="100"/>
            </w:tcMar>
          </w:tcPr>
          <w:p>
            <w:pPr>
              <w:spacing w:after="50" w:before="50"/>
            </w:pPr>
            <w:r>
              <w:rPr>
                <w:b w:val="false"/>
                <w:bCs w:val="false"/>
                <w:sz w:val="20"/>
                <w:szCs w:val="20"/>
              </w:rPr>
              <w:t xml:space="preserve">grp-seguridad-costos</w:t>
            </w:r>
          </w:p>
        </w:tc>
        <w:tc>
          <w:tcPr>
            <w:shd w:fill="F2F2F2" w:val="solid"/>
            <w:tcMar>
              <w:top w:type="dxa" w:w="50"/>
              <w:left w:type="dxa" w:w="100"/>
              <w:bottom w:type="dxa" w:w="50"/>
              <w:right w:type="dxa" w:w="100"/>
            </w:tcMar>
          </w:tcPr>
          <w:p>
            <w:pPr>
              <w:spacing w:after="50" w:before="50"/>
            </w:pPr>
            <w:r>
              <w:rPr>
                <w:b w:val="false"/>
                <w:bCs w:val="false"/>
                <w:sz w:val="20"/>
                <w:szCs w:val="20"/>
              </w:rPr>
              <w:t xml:space="preserve">AdministratorAccess</w:t>
            </w:r>
          </w:p>
        </w:tc>
        <w:tc>
          <w:tcPr>
            <w:shd w:fill="F2F2F2" w:val="solid"/>
            <w:tcMar>
              <w:top w:type="dxa" w:w="50"/>
              <w:left w:type="dxa" w:w="100"/>
              <w:bottom w:type="dxa" w:w="50"/>
              <w:right w:type="dxa" w:w="100"/>
            </w:tcMar>
          </w:tcPr>
          <w:p>
            <w:pPr>
              <w:spacing w:after="50" w:before="50"/>
            </w:pPr>
            <w:r>
              <w:rPr>
                <w:b w:val="false"/>
                <w:bCs w:val="false"/>
                <w:sz w:val="20"/>
                <w:szCs w:val="20"/>
              </w:rPr>
              <w:t xml:space="preserve">Acceso completo a todos los servicios</w:t>
            </w:r>
          </w:p>
        </w:tc>
        <w:tc>
          <w:tcPr>
            <w:shd w:fill="F2F2F2" w:val="solid"/>
            <w:tcMar>
              <w:top w:type="dxa" w:w="50"/>
              <w:left w:type="dxa" w:w="100"/>
              <w:bottom w:type="dxa" w:w="50"/>
              <w:right w:type="dxa" w:w="100"/>
            </w:tcMar>
          </w:tcPr>
          <w:p>
            <w:pPr>
              <w:spacing w:after="50" w:before="50"/>
            </w:pPr>
            <w:r>
              <w:rPr>
                <w:b w:val="false"/>
                <w:bCs w:val="false"/>
                <w:sz w:val="20"/>
                <w:szCs w:val="20"/>
              </w:rPr>
              <w:t xml:space="preserve">Ninguna — rol de administración</w:t>
            </w:r>
          </w:p>
        </w:tc>
      </w:tr>
      <w:tr>
        <w:tc>
          <w:tcPr>
            <w:tcMar>
              <w:top w:type="dxa" w:w="50"/>
              <w:left w:type="dxa" w:w="100"/>
              <w:bottom w:type="dxa" w:w="50"/>
              <w:right w:type="dxa" w:w="100"/>
            </w:tcMar>
          </w:tcPr>
          <w:p>
            <w:pPr>
              <w:spacing w:after="50" w:before="50"/>
            </w:pPr>
            <w:r>
              <w:rPr>
                <w:b w:val="false"/>
                <w:bCs w:val="false"/>
                <w:sz w:val="20"/>
                <w:szCs w:val="20"/>
              </w:rPr>
              <w:t xml:space="preserve">rol-ec2-s3-los-rojos</w:t>
            </w:r>
          </w:p>
        </w:tc>
        <w:tc>
          <w:tcPr>
            <w:tcMar>
              <w:top w:type="dxa" w:w="50"/>
              <w:left w:type="dxa" w:w="100"/>
              <w:bottom w:type="dxa" w:w="50"/>
              <w:right w:type="dxa" w:w="100"/>
            </w:tcMar>
          </w:tcPr>
          <w:p>
            <w:pPr>
              <w:spacing w:after="50" w:before="50"/>
            </w:pPr>
            <w:r>
              <w:rPr>
                <w:b w:val="false"/>
                <w:bCs w:val="false"/>
                <w:sz w:val="20"/>
                <w:szCs w:val="20"/>
              </w:rPr>
              <w:t xml:space="preserve">Rol de servicio</w:t>
            </w:r>
          </w:p>
        </w:tc>
        <w:tc>
          <w:tcPr>
            <w:tcMar>
              <w:top w:type="dxa" w:w="50"/>
              <w:left w:type="dxa" w:w="100"/>
              <w:bottom w:type="dxa" w:w="50"/>
              <w:right w:type="dxa" w:w="100"/>
            </w:tcMar>
          </w:tcPr>
          <w:p>
            <w:pPr>
              <w:spacing w:after="50" w:before="50"/>
            </w:pPr>
            <w:r>
              <w:rPr>
                <w:b w:val="false"/>
                <w:bCs w:val="false"/>
                <w:sz w:val="20"/>
                <w:szCs w:val="20"/>
              </w:rPr>
              <w:t xml:space="preserve">ec2.amazonaws.com</w:t>
            </w:r>
          </w:p>
        </w:tc>
        <w:tc>
          <w:tcPr>
            <w:tcMar>
              <w:top w:type="dxa" w:w="50"/>
              <w:left w:type="dxa" w:w="100"/>
              <w:bottom w:type="dxa" w:w="50"/>
              <w:right w:type="dxa" w:w="100"/>
            </w:tcMar>
          </w:tcPr>
          <w:p>
            <w:pPr>
              <w:spacing w:after="50" w:before="50"/>
            </w:pPr>
            <w:r>
              <w:rPr>
                <w:b w:val="false"/>
                <w:bCs w:val="false"/>
                <w:sz w:val="20"/>
                <w:szCs w:val="20"/>
              </w:rPr>
              <w:t xml:space="preserve">pol-inline-s3-los-rojos</w:t>
            </w:r>
          </w:p>
        </w:tc>
        <w:tc>
          <w:tcPr>
            <w:tcMar>
              <w:top w:type="dxa" w:w="50"/>
              <w:left w:type="dxa" w:w="100"/>
              <w:bottom w:type="dxa" w:w="50"/>
              <w:right w:type="dxa" w:w="100"/>
            </w:tcMar>
          </w:tcPr>
          <w:p>
            <w:pPr>
              <w:spacing w:after="50" w:before="50"/>
            </w:pPr>
            <w:r>
              <w:rPr>
                <w:b w:val="false"/>
                <w:bCs w:val="false"/>
                <w:sz w:val="20"/>
                <w:szCs w:val="20"/>
              </w:rPr>
              <w:t xml:space="preserve">s3:GetObject, s3:PutObject, s3:DeleteObject, s3:ListBucket</w:t>
            </w:r>
          </w:p>
        </w:tc>
        <w:tc>
          <w:tcPr>
            <w:tcMar>
              <w:top w:type="dxa" w:w="50"/>
              <w:left w:type="dxa" w:w="100"/>
              <w:bottom w:type="dxa" w:w="50"/>
              <w:right w:type="dxa" w:w="100"/>
            </w:tcMar>
          </w:tcPr>
          <w:p>
            <w:pPr>
              <w:spacing w:after="50" w:before="50"/>
            </w:pPr>
            <w:r>
              <w:rPr>
                <w:b w:val="false"/>
                <w:bCs w:val="false"/>
                <w:sz w:val="20"/>
                <w:szCs w:val="20"/>
              </w:rPr>
              <w:t xml:space="preserve">Solo bucket inventario-archivos-losrojos</w:t>
            </w:r>
          </w:p>
        </w:tc>
      </w:tr>
    </w:tbl>
    <w:p>
      <w:pPr>
        <w:spacing w:after="80" w:before="80"/>
      </w:pPr>
    </w:p>
    <w:p>
      <w:pPr>
        <w:pStyle w:val="Heading1"/>
        <w:spacing w:after="120" w:before="300"/>
      </w:pPr>
      <w:r>
        <w:rPr>
          <w:b/>
          <w:bCs/>
          <w:sz w:val="28"/>
          <w:szCs w:val="28"/>
        </w:rPr>
        <w:t xml:space="preserve">9. Lista de Cotejo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D9D9" w:val="solid"/>
            <w:tcMar>
              <w:top w:type="dxa" w:w="60"/>
              <w:left w:type="dxa" w:w="100"/>
              <w:bottom w:type="dxa" w:w="60"/>
              <w:right w:type="dxa" w:w="100"/>
            </w:tcMar>
          </w:tcPr>
          <w:p>
            <w:pPr>
              <w:spacing w:after="60" w:before="60"/>
              <w:jc w:val="center"/>
            </w:pPr>
            <w:r>
              <w:rPr>
                <w:b/>
                <w:bCs/>
                <w:sz w:val="20"/>
                <w:szCs w:val="20"/>
              </w:rPr>
              <w:t xml:space="preserve">Criterio</w:t>
            </w:r>
          </w:p>
        </w:tc>
        <w:tc>
          <w:tcPr>
            <w:shd w:fill="D9D9D9" w:val="solid"/>
            <w:tcMar>
              <w:top w:type="dxa" w:w="60"/>
              <w:left w:type="dxa" w:w="100"/>
              <w:bottom w:type="dxa" w:w="60"/>
              <w:right w:type="dxa" w:w="100"/>
            </w:tcMar>
          </w:tcPr>
          <w:p>
            <w:pPr>
              <w:spacing w:after="60" w:before="60"/>
              <w:jc w:val="center"/>
            </w:pPr>
            <w:r>
              <w:rPr>
                <w:b/>
                <w:bCs/>
                <w:sz w:val="20"/>
                <w:szCs w:val="20"/>
              </w:rPr>
              <w:t xml:space="preserve">Puntos</w:t>
            </w:r>
          </w:p>
        </w:tc>
        <w:tc>
          <w:tcPr>
            <w:shd w:fill="D9D9D9" w:val="solid"/>
            <w:tcMar>
              <w:top w:type="dxa" w:w="60"/>
              <w:left w:type="dxa" w:w="100"/>
              <w:bottom w:type="dxa" w:w="60"/>
              <w:right w:type="dxa" w:w="100"/>
            </w:tcMar>
          </w:tcPr>
          <w:p>
            <w:pPr>
              <w:spacing w:after="60" w:before="60"/>
              <w:jc w:val="center"/>
            </w:pPr>
            <w:r>
              <w:rPr>
                <w:b/>
                <w:bCs/>
                <w:sz w:val="20"/>
                <w:szCs w:val="20"/>
              </w:rPr>
              <w:t xml:space="preserve">Cumple</w:t>
            </w:r>
          </w:p>
        </w:tc>
      </w:tr>
      <w:tr>
        <w:tc>
          <w:tcPr>
            <w:tcMar>
              <w:top w:type="dxa" w:w="50"/>
              <w:left w:type="dxa" w:w="100"/>
              <w:bottom w:type="dxa" w:w="50"/>
              <w:right w:type="dxa" w:w="100"/>
            </w:tcMar>
          </w:tcPr>
          <w:p>
            <w:pPr>
              <w:spacing w:after="50" w:before="50"/>
            </w:pPr>
            <w:r>
              <w:rPr>
                <w:b w:val="false"/>
                <w:bCs w:val="false"/>
                <w:sz w:val="20"/>
                <w:szCs w:val="20"/>
              </w:rPr>
              <w:t xml:space="preserve">La tabla de acciones por rol es específica y no genérica</w:t>
            </w:r>
          </w:p>
        </w:tc>
        <w:tc>
          <w:tcPr>
            <w:tcMar>
              <w:top w:type="dxa" w:w="50"/>
              <w:left w:type="dxa" w:w="100"/>
              <w:bottom w:type="dxa" w:w="50"/>
              <w:right w:type="dxa" w:w="100"/>
            </w:tcMar>
          </w:tcPr>
          <w:p>
            <w:pPr>
              <w:spacing w:after="50" w:before="50"/>
            </w:pPr>
            <w:r>
              <w:rPr>
                <w:b w:val="false"/>
                <w:bCs w:val="false"/>
                <w:sz w:val="20"/>
                <w:szCs w:val="20"/>
              </w:rPr>
              <w:t xml:space="preserve">15</w:t>
            </w:r>
          </w:p>
        </w:tc>
        <w:tc>
          <w:tcPr>
            <w:tcMar>
              <w:top w:type="dxa" w:w="50"/>
              <w:left w:type="dxa" w:w="100"/>
              <w:bottom w:type="dxa" w:w="50"/>
              <w:right w:type="dxa" w:w="100"/>
            </w:tcMar>
          </w:tcPr>
          <w:p>
            <w:pPr>
              <w:spacing w:after="50" w:before="50"/>
            </w:pPr>
            <w:r>
              <w:rPr>
                <w:b w:val="false"/>
                <w:bCs w:val="false"/>
                <w:sz w:val="20"/>
                <w:szCs w:val="20"/>
              </w:rPr>
              <w:t xml:space="preserve">Sí — Sección 1, tabla con acciones IAM concretas por rol</w:t>
            </w:r>
          </w:p>
        </w:tc>
      </w:tr>
      <w:tr>
        <w:tc>
          <w:tcPr>
            <w:shd w:fill="F2F2F2" w:val="solid"/>
            <w:tcMar>
              <w:top w:type="dxa" w:w="50"/>
              <w:left w:type="dxa" w:w="100"/>
              <w:bottom w:type="dxa" w:w="50"/>
              <w:right w:type="dxa" w:w="100"/>
            </w:tcMar>
          </w:tcPr>
          <w:p>
            <w:pPr>
              <w:spacing w:after="50" w:before="50"/>
            </w:pPr>
            <w:r>
              <w:rPr>
                <w:b w:val="false"/>
                <w:bCs w:val="false"/>
                <w:sz w:val="20"/>
                <w:szCs w:val="20"/>
              </w:rPr>
              <w:t xml:space="preserve">Las políticas restringen por acción y no otorgan permisos amplios</w:t>
            </w:r>
          </w:p>
        </w:tc>
        <w:tc>
          <w:tcPr>
            <w:shd w:fill="F2F2F2" w:val="solid"/>
            <w:tcMar>
              <w:top w:type="dxa" w:w="50"/>
              <w:left w:type="dxa" w:w="100"/>
              <w:bottom w:type="dxa" w:w="50"/>
              <w:right w:type="dxa" w:w="100"/>
            </w:tcMar>
          </w:tcPr>
          <w:p>
            <w:pPr>
              <w:spacing w:after="50" w:before="50"/>
            </w:pPr>
            <w:r>
              <w:rPr>
                <w:b w:val="false"/>
                <w:bCs w:val="false"/>
                <w:sz w:val="20"/>
                <w:szCs w:val="20"/>
              </w:rPr>
              <w:t xml:space="preserve">25</w:t>
            </w:r>
          </w:p>
        </w:tc>
        <w:tc>
          <w:tcPr>
            <w:shd w:fill="F2F2F2" w:val="solid"/>
            <w:tcMar>
              <w:top w:type="dxa" w:w="50"/>
              <w:left w:type="dxa" w:w="100"/>
              <w:bottom w:type="dxa" w:w="50"/>
              <w:right w:type="dxa" w:w="100"/>
            </w:tcMar>
          </w:tcPr>
          <w:p>
            <w:pPr>
              <w:spacing w:after="50" w:before="50"/>
            </w:pPr>
            <w:r>
              <w:rPr>
                <w:b w:val="false"/>
                <w:bCs w:val="false"/>
                <w:sz w:val="20"/>
                <w:szCs w:val="20"/>
              </w:rPr>
              <w:t xml:space="preserve">Sí — Secciones 3 y 4, políticas granulares por servicio</w:t>
            </w:r>
          </w:p>
        </w:tc>
      </w:tr>
      <w:tr>
        <w:tc>
          <w:tcPr>
            <w:tcMar>
              <w:top w:type="dxa" w:w="50"/>
              <w:left w:type="dxa" w:w="100"/>
              <w:bottom w:type="dxa" w:w="50"/>
              <w:right w:type="dxa" w:w="100"/>
            </w:tcMar>
          </w:tcPr>
          <w:p>
            <w:pPr>
              <w:spacing w:after="50" w:before="50"/>
            </w:pPr>
            <w:r>
              <w:rPr>
                <w:b w:val="false"/>
                <w:bCs w:val="false"/>
                <w:sz w:val="20"/>
                <w:szCs w:val="20"/>
              </w:rPr>
              <w:t xml:space="preserve">Al menos una política restringe por recurso o por etiqueta</w:t>
            </w:r>
          </w:p>
        </w:tc>
        <w:tc>
          <w:tcPr>
            <w:tcMar>
              <w:top w:type="dxa" w:w="50"/>
              <w:left w:type="dxa" w:w="100"/>
              <w:bottom w:type="dxa" w:w="50"/>
              <w:right w:type="dxa" w:w="100"/>
            </w:tcMar>
          </w:tcPr>
          <w:p>
            <w:pPr>
              <w:spacing w:after="50" w:before="50"/>
            </w:pPr>
            <w:r>
              <w:rPr>
                <w:b w:val="false"/>
                <w:bCs w:val="false"/>
                <w:sz w:val="20"/>
                <w:szCs w:val="20"/>
              </w:rPr>
              <w:t xml:space="preserve">20</w:t>
            </w:r>
          </w:p>
        </w:tc>
        <w:tc>
          <w:tcPr>
            <w:tcMar>
              <w:top w:type="dxa" w:w="50"/>
              <w:left w:type="dxa" w:w="100"/>
              <w:bottom w:type="dxa" w:w="50"/>
              <w:right w:type="dxa" w:w="100"/>
            </w:tcMar>
          </w:tcPr>
          <w:p>
            <w:pPr>
              <w:spacing w:after="50" w:before="50"/>
            </w:pPr>
            <w:r>
              <w:rPr>
                <w:b w:val="false"/>
                <w:bCs w:val="false"/>
                <w:sz w:val="20"/>
                <w:szCs w:val="20"/>
              </w:rPr>
              <w:t xml:space="preserve">Sí — Ambas políticas usan ARN exacto + condición aws:ResourceTag/equipo</w:t>
            </w:r>
          </w:p>
        </w:tc>
      </w:tr>
      <w:tr>
        <w:tc>
          <w:tcPr>
            <w:shd w:fill="F2F2F2" w:val="solid"/>
            <w:tcMar>
              <w:top w:type="dxa" w:w="50"/>
              <w:left w:type="dxa" w:w="100"/>
              <w:bottom w:type="dxa" w:w="50"/>
              <w:right w:type="dxa" w:w="100"/>
            </w:tcMar>
          </w:tcPr>
          <w:p>
            <w:pPr>
              <w:spacing w:after="50" w:before="50"/>
            </w:pPr>
            <w:r>
              <w:rPr>
                <w:b w:val="false"/>
                <w:bCs w:val="false"/>
                <w:sz w:val="20"/>
                <w:szCs w:val="20"/>
              </w:rPr>
              <w:t xml:space="preserve">Se presenta evidencia de denegación y de permiso</w:t>
            </w:r>
          </w:p>
        </w:tc>
        <w:tc>
          <w:tcPr>
            <w:shd w:fill="F2F2F2" w:val="solid"/>
            <w:tcMar>
              <w:top w:type="dxa" w:w="50"/>
              <w:left w:type="dxa" w:w="100"/>
              <w:bottom w:type="dxa" w:w="50"/>
              <w:right w:type="dxa" w:w="100"/>
            </w:tcMar>
          </w:tcPr>
          <w:p>
            <w:pPr>
              <w:spacing w:after="50" w:before="50"/>
            </w:pPr>
            <w:r>
              <w:rPr>
                <w:b w:val="false"/>
                <w:bCs w:val="false"/>
                <w:sz w:val="20"/>
                <w:szCs w:val="20"/>
              </w:rPr>
              <w:t xml:space="preserve">20</w:t>
            </w:r>
          </w:p>
        </w:tc>
        <w:tc>
          <w:tcPr>
            <w:shd w:fill="F2F2F2" w:val="solid"/>
            <w:tcMar>
              <w:top w:type="dxa" w:w="50"/>
              <w:left w:type="dxa" w:w="100"/>
              <w:bottom w:type="dxa" w:w="50"/>
              <w:right w:type="dxa" w:w="100"/>
            </w:tcMar>
          </w:tcPr>
          <w:p>
            <w:pPr>
              <w:spacing w:after="50" w:before="50"/>
            </w:pPr>
            <w:r>
              <w:rPr>
                <w:b w:val="false"/>
                <w:bCs w:val="false"/>
                <w:sz w:val="20"/>
                <w:szCs w:val="20"/>
              </w:rPr>
              <w:t xml:space="preserve">Sí — Secciones 5 y 6 con capturas de CloudShell</w:t>
            </w:r>
          </w:p>
        </w:tc>
      </w:tr>
      <w:tr>
        <w:tc>
          <w:tcPr>
            <w:tcMar>
              <w:top w:type="dxa" w:w="50"/>
              <w:left w:type="dxa" w:w="100"/>
              <w:bottom w:type="dxa" w:w="50"/>
              <w:right w:type="dxa" w:w="100"/>
            </w:tcMar>
          </w:tcPr>
          <w:p>
            <w:pPr>
              <w:spacing w:after="50" w:before="50"/>
            </w:pPr>
            <w:r>
              <w:rPr>
                <w:b w:val="false"/>
                <w:bCs w:val="false"/>
                <w:sz w:val="20"/>
                <w:szCs w:val="20"/>
              </w:rPr>
              <w:t xml:space="preserve">El rol de servicio existe y está documentado</w:t>
            </w:r>
          </w:p>
        </w:tc>
        <w:tc>
          <w:tcPr>
            <w:tcMar>
              <w:top w:type="dxa" w:w="50"/>
              <w:left w:type="dxa" w:w="100"/>
              <w:bottom w:type="dxa" w:w="50"/>
              <w:right w:type="dxa" w:w="100"/>
            </w:tcMar>
          </w:tcPr>
          <w:p>
            <w:pPr>
              <w:spacing w:after="50" w:before="50"/>
            </w:pPr>
            <w:r>
              <w:rPr>
                <w:b w:val="false"/>
                <w:bCs w:val="false"/>
                <w:sz w:val="20"/>
                <w:szCs w:val="20"/>
              </w:rPr>
              <w:t xml:space="preserve">10</w:t>
            </w:r>
          </w:p>
        </w:tc>
        <w:tc>
          <w:tcPr>
            <w:tcMar>
              <w:top w:type="dxa" w:w="50"/>
              <w:left w:type="dxa" w:w="100"/>
              <w:bottom w:type="dxa" w:w="50"/>
              <w:right w:type="dxa" w:w="100"/>
            </w:tcMar>
          </w:tcPr>
          <w:p>
            <w:pPr>
              <w:spacing w:after="50" w:before="50"/>
            </w:pPr>
            <w:r>
              <w:rPr>
                <w:b w:val="false"/>
                <w:bCs w:val="false"/>
                <w:sz w:val="20"/>
                <w:szCs w:val="20"/>
              </w:rPr>
              <w:t xml:space="preserve">Sí — Sección 7, rol-ec2-s3-los-rojos con trust policy</w:t>
            </w:r>
          </w:p>
        </w:tc>
      </w:tr>
      <w:tr>
        <w:tc>
          <w:tcPr>
            <w:shd w:fill="F2F2F2" w:val="solid"/>
            <w:tcMar>
              <w:top w:type="dxa" w:w="50"/>
              <w:left w:type="dxa" w:w="100"/>
              <w:bottom w:type="dxa" w:w="50"/>
              <w:right w:type="dxa" w:w="100"/>
            </w:tcMar>
          </w:tcPr>
          <w:p>
            <w:pPr>
              <w:spacing w:after="50" w:before="50"/>
            </w:pPr>
            <w:r>
              <w:rPr>
                <w:b w:val="false"/>
                <w:bCs w:val="false"/>
                <w:sz w:val="20"/>
                <w:szCs w:val="20"/>
              </w:rPr>
              <w:t xml:space="preserve">La matriz de accesos está completa y legible</w:t>
            </w:r>
          </w:p>
        </w:tc>
        <w:tc>
          <w:tcPr>
            <w:shd w:fill="F2F2F2" w:val="solid"/>
            <w:tcMar>
              <w:top w:type="dxa" w:w="50"/>
              <w:left w:type="dxa" w:w="100"/>
              <w:bottom w:type="dxa" w:w="50"/>
              <w:right w:type="dxa" w:w="100"/>
            </w:tcMar>
          </w:tcPr>
          <w:p>
            <w:pPr>
              <w:spacing w:after="50" w:before="50"/>
            </w:pPr>
            <w:r>
              <w:rPr>
                <w:b w:val="false"/>
                <w:bCs w:val="false"/>
                <w:sz w:val="20"/>
                <w:szCs w:val="20"/>
              </w:rPr>
              <w:t xml:space="preserve">10</w:t>
            </w:r>
          </w:p>
        </w:tc>
        <w:tc>
          <w:tcPr>
            <w:shd w:fill="F2F2F2" w:val="solid"/>
            <w:tcMar>
              <w:top w:type="dxa" w:w="50"/>
              <w:left w:type="dxa" w:w="100"/>
              <w:bottom w:type="dxa" w:w="50"/>
              <w:right w:type="dxa" w:w="100"/>
            </w:tcMar>
          </w:tcPr>
          <w:p>
            <w:pPr>
              <w:spacing w:after="50" w:before="50"/>
            </w:pPr>
            <w:r>
              <w:rPr>
                <w:b w:val="false"/>
                <w:bCs w:val="false"/>
                <w:sz w:val="20"/>
                <w:szCs w:val="20"/>
              </w:rPr>
              <w:t xml:space="preserve">Sí — Sección 8, matriz con 5 identidades</w:t>
            </w:r>
          </w:p>
        </w:tc>
      </w:tr>
      <w:tr>
        <w:tc>
          <w:tcPr>
            <w:tcMar>
              <w:top w:type="dxa" w:w="50"/>
              <w:left w:type="dxa" w:w="100"/>
              <w:bottom w:type="dxa" w:w="50"/>
              <w:right w:type="dxa" w:w="100"/>
            </w:tcMar>
          </w:tcPr>
          <w:p>
            <w:pPr>
              <w:spacing w:after="50" w:before="50"/>
            </w:pPr>
            <w:r>
              <w:rPr>
                <w:b/>
                <w:bCs/>
                <w:sz w:val="20"/>
                <w:szCs w:val="20"/>
              </w:rPr>
              <w:t xml:space="preserve">TOTAL</w:t>
            </w:r>
          </w:p>
        </w:tc>
        <w:tc>
          <w:tcPr>
            <w:tcMar>
              <w:top w:type="dxa" w:w="50"/>
              <w:left w:type="dxa" w:w="100"/>
              <w:bottom w:type="dxa" w:w="50"/>
              <w:right w:type="dxa" w:w="100"/>
            </w:tcMar>
          </w:tcPr>
          <w:p>
            <w:pPr>
              <w:spacing w:after="50" w:before="50"/>
            </w:pPr>
            <w:r>
              <w:rPr>
                <w:b/>
                <w:bCs/>
                <w:sz w:val="20"/>
                <w:szCs w:val="20"/>
              </w:rPr>
              <w:t xml:space="preserve">100</w:t>
            </w:r>
          </w:p>
        </w:tc>
        <w:tc>
          <w:tcPr>
            <w:tcMar>
              <w:top w:type="dxa" w:w="50"/>
              <w:left w:type="dxa" w:w="100"/>
              <w:bottom w:type="dxa" w:w="50"/>
              <w:right w:type="dxa" w:w="100"/>
            </w:tcMar>
          </w:tcPr>
          <w:p>
            <w:pPr>
              <w:spacing w:after="50" w:before="50"/>
            </w:pPr>
            <w:r>
              <w:rPr>
                <w:b/>
                <w:bCs/>
                <w:sz w:val="20"/>
                <w:szCs w:val="20"/>
              </w:rPr>
              <w:t xml:space="preserve">Todos los criterios cubiertos</w:t>
            </w:r>
          </w:p>
        </w:tc>
      </w:tr>
    </w:tbl>
    <w:p>
      <w:pPr>
        <w:spacing w:after="80" w:before="80"/>
      </w:pPr>
    </w:p>
    <w:p>
      <w:pPr>
        <w:spacing w:after="0" w:before="400"/>
        <w:jc w:val="center"/>
      </w:pPr>
      <w:r>
        <w:rPr>
          <w:sz w:val="18"/>
          <w:szCs w:val="18"/>
        </w:rPr>
        <w:t xml:space="preserve">Proyecto: inventario-cloud  |  Equipo: Los Rojos  |  Cómputo en la Nube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2026-09-25T05:04:05.901Z</dcterms:created>
  <dcterms:modified xsi:type="dcterms:W3CDTF">2026-09-25T05:04:05.902Z</dcterms:modified>
</cp:coreProperties>
</file>

<file path=docProps/custom.xml><?xml version="1.0" encoding="utf-8"?>
<Properties xmlns="http://schemas.openxmlformats.org/officeDocument/2006/custom-properties" xmlns:vt="http://schemas.openxmlformats.org/officeDocument/2006/docPropsVTypes"/>
</file>