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D4E33"/>
          <w:sz w:val="44"/>
          <w:szCs w:val="44"/>
        </w:rPr>
        <w:t xml:space="preserve">Plan Maestro de Desarrollo</w:t>
      </w:r>
    </w:p>
    <w:p>
      <w:pPr>
        <w:spacing w:after="60"/>
      </w:pPr>
      <w:r>
        <w:rPr>
          <w:b/>
          <w:bCs/>
          <w:sz w:val="32"/>
          <w:szCs w:val="32"/>
        </w:rPr>
        <w:t xml:space="preserve">Sistema POS e Inventario para Ferretería</w:t>
      </w:r>
    </w:p>
    <w:p>
      <w:pPr>
        <w:spacing w:after="300"/>
      </w:pPr>
      <w:r>
        <w:rPr>
          <w:color w:val="5F5E5A"/>
          <w:sz w:val="24"/>
          <w:szCs w:val="24"/>
        </w:rPr>
        <w:t xml:space="preserve">Laravel + FilamentPHP — Versión 2.0 (actualizada)</w:t>
      </w:r>
    </w:p>
    <w:p>
      <w:pPr>
        <w:spacing w:after="160"/>
      </w:pPr>
      <w:r>
        <w:t xml:space="preserve">Este documento actualiza la versión 1.0 del plan maestro. Incorpora mejoras de seguridad, auditoría, devoluciones, precios diferenciados, alertas automáticas, preparación para multi-sucursal, pruebas automatizadas y el marco legal colombiano aplicable. La integración de facturación electrónica ante la DIAN queda deliberadamente fuera de esta versión y se abordará en una fase posterior (ver nota final).</w:t>
      </w:r>
    </w:p>
    <w:p>
      <w:pPr>
        <w:pStyle w:val="Heading1"/>
        <w:spacing w:after="200" w:before="400"/>
      </w:pPr>
      <w:r>
        <w:t xml:space="preserve">1. Resumen de Cambios frente a la Versión 1.0</w:t>
      </w:r>
    </w:p>
    <w:p>
      <w:pPr>
        <w:spacing w:after="160"/>
      </w:pPr>
      <w:r>
        <w:t xml:space="preserve">La tabla siguiente resume qué se agregó o modificó. Las filas resaltadas en el resto del documento corresponden a contenido nuevo.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00"/>
      </w:tblGrid>
      <w:tr>
        <w:trPr>
          <w:tblHeader/>
        </w:trPr>
        <w:tc>
          <w:tcPr>
            <w:tcW w:type="dxa" w:w="3200"/>
            <w:shd w:fill="1D4E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Área</w:t>
            </w:r>
          </w:p>
        </w:tc>
        <w:tc>
          <w:tcPr>
            <w:tcW w:type="dxa" w:w="6500"/>
            <w:shd w:fill="1D4E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Cambio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Seguridad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Autenticación de dos factores, límite de intentos de acceso y registro de auditoría de acciones sensibles.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Legal / cumplimiento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Política de tratamiento de datos personales (habeas data), retención documental contable y estatuto del consumidor.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Ventas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Módulo formal de devoluciones y notas crédito; listas de precios diferenciadas (detal / mayorista / constructor).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Operación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Alertas automáticas de stock mínimo y de cartera vencida.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Arquitectura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Modelo de datos preparado para múltiples bodegas o sucursales.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Calidad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Estrategia de pruebas automatizadas (Pest) y ambiente de staging antes de producción.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Facturación electrónica DIAN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Fuera de alcance en esta versión. Sin cambios respecto a la v1.0 — el comprobante de venta sigue siendo un documento interno.</w:t>
            </w:r>
          </w:p>
        </w:tc>
      </w:tr>
    </w:tbl>
    <w:p>
      <w:pPr>
        <w:pStyle w:val="Heading1"/>
        <w:spacing w:after="200" w:before="400"/>
      </w:pPr>
      <w:r>
        <w:t xml:space="preserve">2. Arquitectura y Stack Tecnológico Actualizado</w:t>
      </w:r>
    </w:p>
    <w:p>
      <w:pPr>
        <w:spacing w:after="160"/>
      </w:pPr>
      <w:r>
        <w:t xml:space="preserve">Se mantiene el stack original de la v1.0 y se agregan cuatro componentes para cubrir seguridad, auditoría, notificaciones y calidad.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4100"/>
      </w:tblGrid>
      <w:tr>
        <w:trPr>
          <w:tblHeader/>
        </w:trPr>
        <w:tc>
          <w:tcPr>
            <w:tcW w:type="dxa" w:w="2000"/>
            <w:shd w:fill="1D4E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Capa</w:t>
            </w:r>
          </w:p>
        </w:tc>
        <w:tc>
          <w:tcPr>
            <w:tcW w:type="dxa" w:w="3600"/>
            <w:shd w:fill="1D4E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Tecnología</w:t>
            </w:r>
          </w:p>
        </w:tc>
        <w:tc>
          <w:tcPr>
            <w:tcW w:type="dxa" w:w="4100"/>
            <w:shd w:fill="1D4E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Rol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Backend Core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Laravel 11+ (PHP 8.2+)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Transacciones ACID, migraciones, Eloquent, validación de formularios.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Panel &amp; UI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FilamentPHP v3 + Livewire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Tablas reactivas, formularios, modales de cobro, widgets de stock.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Base de Datos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PostgreSQL 16 (o MySQL 8)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Integridad referencial y tipos decimales exactos.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Caché &amp; Colas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Redis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Catálogo en caché y procesamiento en segundo plano.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Roles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Spatie + Filament Shield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Matriz de permisos por recurso y rol.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Respaldos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Spatie Laravel Backup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Volcados diarios cifrados hacia almacenamiento externo.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Servidor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VPS Ubuntu + CloudPanel / Coolify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Nginx, SSL de Let's Encrypt, despliegue continuo.</w:t>
            </w:r>
          </w:p>
        </w:tc>
      </w:tr>
      <w:tr>
        <w:trPr>
          <w:cantSplit/>
        </w:trPr>
        <w:tc>
          <w:tcPr>
            <w:tcW w:type="dxa" w:w="2000"/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Seguridad</w:t>
            </w:r>
          </w:p>
        </w:tc>
        <w:tc>
          <w:tcPr>
            <w:tcW w:type="dxa" w:w="3600"/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Laravel Fortify (2FA) + rate limiting</w:t>
            </w:r>
          </w:p>
        </w:tc>
        <w:tc>
          <w:tcPr>
            <w:tcW w:type="dxa" w:w="4100"/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Segundo factor para administradores y límite de intentos de acceso.</w:t>
            </w:r>
          </w:p>
        </w:tc>
      </w:tr>
      <w:tr>
        <w:trPr>
          <w:cantSplit/>
        </w:trPr>
        <w:tc>
          <w:tcPr>
            <w:tcW w:type="dxa" w:w="2000"/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Auditoría</w:t>
            </w:r>
          </w:p>
        </w:tc>
        <w:tc>
          <w:tcPr>
            <w:tcW w:type="dxa" w:w="3600"/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Spatie Laravel Activitylog</w:t>
            </w:r>
          </w:p>
        </w:tc>
        <w:tc>
          <w:tcPr>
            <w:tcW w:type="dxa" w:w="4100"/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Trazabilidad inmutable de anulaciones, descuentos y cambios de precio.</w:t>
            </w:r>
          </w:p>
        </w:tc>
      </w:tr>
      <w:tr>
        <w:trPr>
          <w:cantSplit/>
        </w:trPr>
        <w:tc>
          <w:tcPr>
            <w:tcW w:type="dxa" w:w="2000"/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Notificaciones</w:t>
            </w:r>
          </w:p>
        </w:tc>
        <w:tc>
          <w:tcPr>
            <w:tcW w:type="dxa" w:w="3600"/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Laravel Notifications (correo + WhatsApp Business API)</w:t>
            </w:r>
          </w:p>
        </w:tc>
        <w:tc>
          <w:tcPr>
            <w:tcW w:type="dxa" w:w="4100"/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Alertas de stock mínimo y cartera vencida.</w:t>
            </w:r>
          </w:p>
        </w:tc>
      </w:tr>
      <w:tr>
        <w:trPr>
          <w:cantSplit/>
        </w:trPr>
        <w:tc>
          <w:tcPr>
            <w:tcW w:type="dxa" w:w="2000"/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Pruebas</w:t>
            </w:r>
          </w:p>
        </w:tc>
        <w:tc>
          <w:tcPr>
            <w:tcW w:type="dxa" w:w="3600"/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Pest v3</w:t>
            </w:r>
          </w:p>
        </w:tc>
        <w:tc>
          <w:tcPr>
            <w:tcW w:type="dxa" w:w="4100"/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Pruebas automatizadas sobre kardex, caja, cartera y concurrencia.</w:t>
            </w:r>
          </w:p>
        </w:tc>
      </w:tr>
    </w:tbl>
    <w:p>
      <w:pPr>
        <w:pStyle w:val="Heading1"/>
        <w:spacing w:after="200" w:before="400"/>
      </w:pPr>
      <w:r>
        <w:t xml:space="preserve">3. Marco Legal y Cumplimiento Normativo (Colombia)</w:t>
      </w:r>
    </w:p>
    <w:p>
      <w:pPr>
        <w:spacing w:after="160"/>
      </w:pPr>
      <w:r>
        <w:t xml:space="preserve">Sección nueva. Cubre las obligaciones legales que aplican a la operación del sistema hoy, sin incluir facturación electrónica DIAN (ver nota final).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100"/>
      </w:tblGrid>
      <w:tr>
        <w:trPr>
          <w:tblHeader/>
        </w:trPr>
        <w:tc>
          <w:tcPr>
            <w:tcW w:type="dxa" w:w="3600"/>
            <w:shd w:fill="1D4E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Norma</w:t>
            </w:r>
          </w:p>
        </w:tc>
        <w:tc>
          <w:tcPr>
            <w:tcW w:type="dxa" w:w="6100"/>
            <w:shd w:fill="1D4E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Aplicación en el sistema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Ley 1581 de 2012 y Decreto 1377 de 2013 (Habeas Data)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Política de tratamiento de datos personales publicada y visible; casilla de autorización explícita al registrar clientes, proveedores y empleados; tabla consent_logs con fecha, versión de política e IP.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Registro Nacional de Bases de Datos — RNBD (Circular Única SIC)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Evaluar con el contador o asesor legal si la ferretería, por ingresos o activos, debe inscribir sus bases de datos ante la Superintendencia de Industria y Comercio.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Código de Comercio, Art. 28 (Ley 962 de 2005)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Conservación de comprobantes contables (compras, ventas, kardex) por un mínimo de 10 años; política de archivo digital y respaldo a largo plazo, distinta del backup operativo diario.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Ley 1480 de 2011 (Estatuto del Consumidor)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Derecho de retracto y garantía sobre productos vendidos; sustenta directamente el nuevo módulo de devoluciones y notas crédito.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PCI DSS (si se integran datáfonos o pasarelas de pago)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sistema no debe capturar ni almacenar números de tarjeta; esa función se delega siempre al datáfono bancario certificado.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Resolución DIAN 000042 de 2020 y modificaciones (Factura Electrónica)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Fuera de alcance de esta versión. El comprobante de venta interno se mantiene sin CUFE ni XML UBL 2.1.</w:t>
            </w:r>
          </w:p>
        </w:tc>
      </w:tr>
    </w:tbl>
    <w:p>
      <w:pPr>
        <w:pBdr>
          <w:left w:val="single" w:color="1D4E33" w:sz="12" w:space="8"/>
        </w:pBdr>
        <w:spacing w:after="200" w:before="80"/>
        <w:ind w:left="200"/>
      </w:pPr>
      <w:r>
        <w:rPr>
          <w:i/>
          <w:iCs/>
          <w:color w:val="5F5E5A"/>
        </w:rPr>
        <w:t xml:space="preserve">Recomendación: validar estos puntos con un contador o abogado antes de producción, en particular la obligatoriedad del RNBD y la vigencia exacta de la resolución de facturación electrónica al momento del despliegue.</w:t>
      </w:r>
    </w:p>
    <w:p>
      <w:pPr>
        <w:pStyle w:val="Heading1"/>
        <w:spacing w:after="200" w:before="400"/>
      </w:pPr>
      <w:r>
        <w:t xml:space="preserve">4. Diseño de la Base de Datos Relacional (Actualizado)</w:t>
      </w:r>
    </w:p>
    <w:p>
      <w:pPr>
        <w:pStyle w:val="Heading2"/>
        <w:spacing w:after="150" w:before="300"/>
      </w:pPr>
      <w:r>
        <w:t xml:space="preserve">4.1 Entidades existentes (sin cambios respecto a la v1.0)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users, categories, brands, products, inventory_movements, suppliers, purchases, purchase_items, customers, cash_registers, cash_shifts, cash_movements, sales, sale_items, quotes — mismas columnas descritas en la versión 1.0.</w:t>
      </w:r>
    </w:p>
    <w:p>
      <w:pPr>
        <w:pStyle w:val="Heading2"/>
        <w:spacing w:after="150" w:before="300"/>
      </w:pPr>
      <w:r>
        <w:t xml:space="preserve">4.2 Entidades nuevas o modificadas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warehouses (bodegas/sucursales): </w:t>
      </w:r>
      <w:r>
        <w:t xml:space="preserve">id, name, address, is_active — prepara el sistema para más de un punto de venta sin migración disruptiva.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product_stock: </w:t>
      </w:r>
      <w:r>
        <w:t xml:space="preserve">id, product_id, warehouse_id, current_stock (decimal 12,2), min_stock (decimal 12,2) — reemplaza el stock fijo en products; hoy operará con un único registro por producto (una bodega), pero el modelo ya soporta varias.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price_lists: </w:t>
      </w:r>
      <w:r>
        <w:t xml:space="preserve">id, name (Detal, Mayorista, Constructor), is_default (boolean).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price_list_items: </w:t>
      </w:r>
      <w:r>
        <w:t xml:space="preserve">id, price_list_id, product_id, price (decimal 12,2).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sale_returns: </w:t>
      </w:r>
      <w:r>
        <w:t xml:space="preserve">id, sale_id, user_id, reason, refund_method (cash, credit_note, exchange), total_refunded, created_at.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sale_return_items: </w:t>
      </w:r>
      <w:r>
        <w:t xml:space="preserve">id, sale_return_id, sale_item_id, product_id, quantity, restock (boolean), subtotal.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consent_logs: </w:t>
      </w:r>
      <w:r>
        <w:t xml:space="preserve">id, subject_type (customer, supplier, employee), subject_id, policy_version, consented_at, ip_address — soporta el cumplimiento de habeas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activity_log: </w:t>
      </w:r>
      <w:r>
        <w:t xml:space="preserve">generada automáticamente por Spatie Activitylog — id, log_name, description, subject_type, subject_id, causer_id, properties (json), created_at.</w:t>
      </w:r>
    </w:p>
    <w:p>
      <w:pPr>
        <w:pBdr>
          <w:left w:val="single" w:color="1D4E33" w:sz="12" w:space="8"/>
        </w:pBdr>
        <w:spacing w:after="200" w:before="80"/>
        <w:ind w:left="200"/>
      </w:pPr>
      <w:r>
        <w:rPr>
          <w:i/>
          <w:iCs/>
          <w:color w:val="5F5E5A"/>
        </w:rPr>
        <w:t xml:space="preserve">Todas las tablas nuevas están resaltadas en las secciones de casos de negocio siguientes para diferenciarlas de las reglas originales.</w:t>
      </w:r>
    </w:p>
    <w:p>
      <w:pPr>
        <w:pStyle w:val="Heading1"/>
        <w:spacing w:after="200" w:before="400"/>
      </w:pPr>
      <w:r>
        <w:t xml:space="preserve">5. Integración con Hardware en Punto de Venta (POS)</w:t>
      </w:r>
    </w:p>
    <w:p>
      <w:pPr>
        <w:spacing w:after="160"/>
      </w:pPr>
      <w:r>
        <w:t xml:space="preserve">Sin cambios respecto a la v1.0.</w:t>
      </w:r>
    </w:p>
    <w:p>
      <w:pPr>
        <w:pStyle w:val="Heading2"/>
        <w:spacing w:after="150" w:before="300"/>
      </w:pPr>
      <w:r>
        <w:t xml:space="preserve">5.1 Impresoras Térmicas de Tirillas (58mm y 80mm)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Modo Estándar (CSS Print): vista Blade a 72mm u 48mm, impresión con --kiosk-printing en Chrome para evitar el diálogo del sistema.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Modo Avanzado (WebUSB / WebSerial o microservicio local): comandos ESC/POS directos para corte de papel (GS V 0) y apertura de gaveta (ESC p 0 25 250).</w:t>
      </w:r>
    </w:p>
    <w:p>
      <w:pPr>
        <w:pStyle w:val="Heading2"/>
        <w:spacing w:after="150" w:before="300"/>
      </w:pPr>
      <w:r>
        <w:t xml:space="preserve">5.2 Lector de Código de Barras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Los lectores USB operan como teclado (HID); un listener en JavaScript captura la ráfaga de teclas terminada en Enter y agrega el ítem al carrito sin enviar el formulario.</w:t>
      </w:r>
    </w:p>
    <w:p>
      <w:pPr>
        <w:pStyle w:val="Heading1"/>
        <w:spacing w:after="200" w:before="400"/>
      </w:pPr>
      <w:r>
        <w:t xml:space="preserve">6. Casos Borde y Reglas Críticas del Negocio (Actualizado)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Concurrencia: </w:t>
      </w:r>
      <w:r>
        <w:t xml:space="preserve">DB::transaction() con lockForUpdate() sobre el producto para impedir doble venta de la última unidad.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Precios por debajo del costo: </w:t>
      </w:r>
      <w:r>
        <w:t xml:space="preserve">advertencia bloqueante si un descuento deja el precio por debajo de cost_price; requiere autorización del administrador.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Productos fraccionados: </w:t>
      </w:r>
      <w:r>
        <w:t xml:space="preserve">conversión automática de stock entre empaques cerrados y unidades sueltas (padre/hijo o kits).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Créditos y topes de cartera: </w:t>
      </w:r>
      <w:r>
        <w:t xml:space="preserve">valida customer.current_debt + nueva_venta &lt;= customer.credit_limit; bloquea el cobro si se supera el cupo.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Devoluciones (nuevo): </w:t>
      </w:r>
      <w:r>
        <w:t xml:space="preserve">al registrar una sale_return, el stock solo se reintegra si restock=true, y se genera un inventory_movements tipo return referenciando la devolución. El reembolso respeta el método original (efectivo, nota crédito o cambio de producto).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Cartera vencida (nuevo): </w:t>
      </w:r>
      <w:r>
        <w:t xml:space="preserve">una tarea programada (Laravel Scheduler) revisa diariamente los clientes con current_debt &gt; 0 y fecha vencida, y dispara una notificación al cliente y al administrador.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Listas de precios (nuevo): </w:t>
      </w:r>
      <w:r>
        <w:t xml:space="preserve">en el POS se aplica automáticamente la price_list asignada al cliente (o la marcada is_default); la validación de precio mínimo por debajo del costo aplica igual sobre el precio de la lista seleccionada.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Consentimiento de datos (nuevo): </w:t>
      </w:r>
      <w:r>
        <w:t xml:space="preserve">al crear o editar por primera vez un cliente o proveedor, el sistema exige aceptar la política de tratamiento de datos vigente y registra el consentimiento en consent_logs.</w:t>
      </w:r>
    </w:p>
    <w:p>
      <w:pPr>
        <w:pStyle w:val="Heading1"/>
        <w:spacing w:after="200" w:before="400"/>
      </w:pPr>
      <w:r>
        <w:t xml:space="preserve">7. Seguridad y Auditoría (Nuevo)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Doble factor de autenticación: </w:t>
      </w:r>
      <w:r>
        <w:t xml:space="preserve">obligatorio para el rol administrador mediante Laravel Fortify; opcional pero recomendado para cajeros.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Límite de intentos de acceso: </w:t>
      </w:r>
      <w:r>
        <w:t xml:space="preserve">throttle de 5 intentos por minuto por IP/usuario en el login, con bloqueo temporal progresivo.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Registro de auditoría: </w:t>
      </w:r>
      <w:r>
        <w:t xml:space="preserve">Spatie Activitylog captura anulaciones de venta, cambios de precio, descuentos autorizados y aperturas/cierres de caja con diferencia; retención mínima de 1 año.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Roles y permisos: </w:t>
      </w:r>
      <w:r>
        <w:t xml:space="preserve">Filament Shield define la matriz de permisos por recurso; se añade un rol de solo lectura para auditoría externa (contador).</w:t>
      </w:r>
    </w:p>
    <w:p>
      <w:pPr>
        <w:pStyle w:val="Heading1"/>
        <w:spacing w:after="200" w:before="400"/>
      </w:pPr>
      <w:r>
        <w:t xml:space="preserve">8. Testing y Aseguramiento de Calidad (Nuevo)</w:t>
      </w:r>
    </w:p>
    <w:p>
      <w:pPr>
        <w:spacing w:after="160"/>
      </w:pPr>
      <w:r>
        <w:t xml:space="preserve">La lógica financiera y de inventario es la más sensible a errores silenciosos; se cubre con pruebas automatizadas desde la semana 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Herramienta: </w:t>
      </w:r>
      <w:r>
        <w:t xml:space="preserve">Pest v3 sobre PHPUnit, ya integrado de forma nativa con Laravel.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Prioridad de cobertura: </w:t>
      </w:r>
      <w:r>
        <w:t xml:space="preserve">cálculo de kardex y costos, bloqueo pesimista en concurrencia, validación de cupo de crédito, cierre de caja con diferencia, aplicación de listas de precio y devoluciones.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Meta de cobertura: </w:t>
      </w:r>
      <w:r>
        <w:t xml:space="preserve">mínimo 70% en las clases de dominio y servicios (no se exige sobre la capa de UI de Filament).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Ambiente de staging: </w:t>
      </w:r>
      <w:r>
        <w:t xml:space="preserve">réplica de producción para validar cada entrega semanal antes del despliegue final en la semana 9.</w:t>
      </w:r>
    </w:p>
    <w:p>
      <w:pPr>
        <w:pStyle w:val="Heading1"/>
        <w:spacing w:after="200" w:before="400"/>
      </w:pPr>
      <w:r>
        <w:t xml:space="preserve">9. Estrategia de Contingencia ante Fallas de Internet</w:t>
      </w:r>
    </w:p>
    <w:p>
      <w:pPr>
        <w:spacing w:after="160"/>
      </w:pPr>
      <w:r>
        <w:t xml:space="preserve">Sin cambios respecto a la v1.0.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Conectividad failover móvil: router con SIM 4G/5G que conmuta si falla la fibra.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Service Workers y caché offline (PWA): catálogo esencial de precios y códigos de barra disponible sin conexión.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Modo talonario de contingencia: numeración manual de emergencia en talonario físico prenumerado, para digitación posterior.</w:t>
      </w:r>
    </w:p>
    <w:p>
      <w:pPr>
        <w:pStyle w:val="Heading1"/>
        <w:spacing w:after="200" w:before="400"/>
      </w:pPr>
      <w:r>
        <w:t xml:space="preserve">10. Cronograma de Desarrollo Actualizado (9 Semanas)</w:t>
      </w:r>
    </w:p>
    <w:p>
      <w:pPr>
        <w:spacing w:after="160"/>
      </w:pPr>
      <w:r>
        <w:t xml:space="preserve">El alcance adicional (seguridad, auditoría, devoluciones, precios diferenciados, alertas y testing) extiende el cronograma original de 8 a 9 semanas.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00"/>
        <w:gridCol w:w="4000"/>
      </w:tblGrid>
      <w:tr>
        <w:trPr>
          <w:tblHeader/>
        </w:trPr>
        <w:tc>
          <w:tcPr>
            <w:tcW w:type="dxa" w:w="900"/>
            <w:shd w:fill="1D4E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Semana</w:t>
            </w:r>
          </w:p>
        </w:tc>
        <w:tc>
          <w:tcPr>
            <w:tcW w:type="dxa" w:w="4800"/>
            <w:shd w:fill="1D4E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Módulos y entregables</w:t>
            </w:r>
          </w:p>
        </w:tc>
        <w:tc>
          <w:tcPr>
            <w:tcW w:type="dxa" w:w="4000"/>
            <w:shd w:fill="1D4E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Criterio de aceptación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Modelado de base de datos (incluye warehouses, product_stock, price_lists, sale_returns, consent_logs), instalación de Laravel + Filament, configuración de Pest.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Esquema funcionando en PostgreSQL, panel accesible y primera suite de pruebas corriendo en CI.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Productos, categorías, marcas, carga masiva desde Excel, compresión WebP y listas de precios diferenciadas.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Importación de 5.000 referencias y venta de prueba aplicando lista mayorista vs. detal.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Proveedores, compras y Kardex de inventario, con pruebas automatizadas de cálculo de costos.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Entrada de mercancía recalcula stock y costo unitario; pruebas de concurrencia en verde.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Clientes, cartera, cupos de crédito, cotizaciones, consentimiento de datos (consent_logs) y política de tratamiento de datos.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Cotizaciones en PDF, validación de cupo y registro de consentimiento al crear un cliente.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Punto de Venta: terminal Livewire, escáner de código de barras, métodos de pago y aplicación automática de lista de precios.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Venta fluida por teclado con descuento atómico de inventario en milisegundos.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Cajas (apertura, arqueo, egresos, corte de turno) y módulo de Devoluciones / notas crédito.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Conciliación exacta de efectivo por cajero y devolución de prueba que reintegra stock correctamente.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Integración de hardware (impresora, gaveta), roles con Filament Shield, 2FA y rate limiting en el login.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Impresión en caliente sin diálogo del sistema; acceso bloqueado tras 5 intentos fallidos.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Auditoría (Activity Log), notificaciones de stock mínimo y cartera vencida, preparación multi-sucursal.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Cambios sensibles quedan trazados; alerta automática enviada ante stock bajo de prueba.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Testing integral en staging, despliegue en VPS de producción, backups automáticos, política de retención documental y capacitación a usuarios.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Sistema 100% operativo con SSL, respaldo diario programado y cobertura de pruebas ≥ 70% en dominio.</w:t>
            </w:r>
          </w:p>
        </w:tc>
      </w:tr>
    </w:tbl>
    <w:p>
      <w:pPr>
        <w:pStyle w:val="Heading1"/>
        <w:spacing w:after="200" w:before="400"/>
      </w:pPr>
      <w:r>
        <w:t xml:space="preserve">11. Boceto Funcional del Sistema</w:t>
      </w:r>
    </w:p>
    <w:p>
      <w:pPr>
        <w:spacing w:after="160"/>
      </w:pPr>
      <w:r>
        <w:t xml:space="preserve">Sección nueva. Documenta, en dos niveles, cómo operará el sistema en el día a día: primero la secuencia de una venta en el punto de venta, y luego el diccionario de tablas de la base de datos agrupado por dominio, con sus relaciones.</w:t>
      </w:r>
    </w:p>
    <w:p>
      <w:pPr>
        <w:pStyle w:val="Heading2"/>
        <w:spacing w:after="150" w:before="300"/>
      </w:pPr>
      <w:r>
        <w:t xml:space="preserve">11.1 Flujo de una Venta en el Punto de Venta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1. Escaneo o búsqueda: </w:t>
      </w:r>
      <w:r>
        <w:t xml:space="preserve">el cajero lee el código de barras (lector USB en modo teclado) o busca el producto por nombre/SKU.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2. Verificación de stock: </w:t>
      </w:r>
      <w:r>
        <w:t xml:space="preserve">el sistema bloquea la fila del producto (lockForUpdate) para evitar que dos cajas vendan la última unidad al mismo tiempo.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3. Selección de pago: </w:t>
      </w:r>
      <w:r>
        <w:t xml:space="preserve">efectivo, tarjeta (delegada al datáfono) o crédito, validando el cupo de cartera del cliente si aplica.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4. Descuento de inventario: </w:t>
      </w:r>
      <w:r>
        <w:t xml:space="preserve">se genera el movimiento en inventory_movements y se actualiza product_stock dentro de la misma transacción.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5. Impresión del comprobante: </w:t>
      </w:r>
      <w:r>
        <w:t xml:space="preserve">tirilla térmica vía ESC/POS; el documento sigue siendo un comprobante interno (sin CUFE de la DIAN, ver sección 12).</w:t>
      </w:r>
    </w:p>
    <w:p>
      <w:pPr>
        <w:pStyle w:val="Heading2"/>
        <w:spacing w:after="150" w:before="300"/>
      </w:pPr>
      <w:r>
        <w:t xml:space="preserve">11.2 Diccionario de Tablas — Catálogo e Inventario</w:t>
      </w:r>
    </w:p>
    <w:tbl>
      <w:tblPr>
        <w:tblW w:type="dxa" w:w="10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3900"/>
      </w:tblGrid>
      <w:tr>
        <w:trPr>
          <w:tblHeader/>
        </w:trPr>
        <w:tc>
          <w:tcPr>
            <w:tcW w:type="dxa" w:w="2600"/>
            <w:shd w:fill="1D4E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Entidad</w:t>
            </w:r>
          </w:p>
        </w:tc>
        <w:tc>
          <w:tcPr>
            <w:tcW w:type="dxa" w:w="4200"/>
            <w:shd w:fill="1D4E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Campos principales</w:t>
            </w:r>
          </w:p>
        </w:tc>
        <w:tc>
          <w:tcPr>
            <w:tcW w:type="dxa" w:w="3900"/>
            <w:shd w:fill="1D4E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Relación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categories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id, name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Un producto pertenece a una categoría.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brands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id, name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Un producto pertenece a una marca.</w:t>
            </w:r>
          </w:p>
        </w:tc>
      </w:tr>
      <w:tr>
        <w:trPr>
          <w:cantSplit/>
        </w:trPr>
        <w:tc>
          <w:tcPr>
            <w:tcW w:type="dxa" w:w="2600"/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warehouses</w:t>
            </w:r>
          </w:p>
        </w:tc>
        <w:tc>
          <w:tcPr>
            <w:tcW w:type="dxa" w:w="4200"/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id, name, is_active</w:t>
            </w:r>
          </w:p>
        </w:tc>
        <w:tc>
          <w:tcPr>
            <w:tcW w:type="dxa" w:w="3900"/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Cada bodega tiene su propio registro de stock por producto.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products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id, category_id, brand_id, sku, name, cost_price, sale_price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Tabla central: se conecta con inventario, compras y ventas.</w:t>
            </w:r>
          </w:p>
        </w:tc>
      </w:tr>
      <w:tr>
        <w:trPr>
          <w:cantSplit/>
        </w:trPr>
        <w:tc>
          <w:tcPr>
            <w:tcW w:type="dxa" w:w="2600"/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product_stock</w:t>
            </w:r>
          </w:p>
        </w:tc>
        <w:tc>
          <w:tcPr>
            <w:tcW w:type="dxa" w:w="4200"/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id, product_id, warehouse_id, current_stock, min_stock</w:t>
            </w:r>
          </w:p>
        </w:tc>
        <w:tc>
          <w:tcPr>
            <w:tcW w:type="dxa" w:w="3900"/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Une producto + bodega; reemplaza el stock fijo de la v1.0.</w:t>
            </w:r>
          </w:p>
        </w:tc>
      </w:tr>
      <w:tr>
        <w:trPr>
          <w:cantSplit/>
        </w:trPr>
        <w:tc>
          <w:tcPr>
            <w:tcW w:type="dxa" w:w="2600"/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price_lists</w:t>
            </w:r>
          </w:p>
        </w:tc>
        <w:tc>
          <w:tcPr>
            <w:tcW w:type="dxa" w:w="4200"/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id, name, is_default</w:t>
            </w:r>
          </w:p>
        </w:tc>
        <w:tc>
          <w:tcPr>
            <w:tcW w:type="dxa" w:w="3900"/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Agrupa los precios diferenciados (detal, mayorista, constructor).</w:t>
            </w:r>
          </w:p>
        </w:tc>
      </w:tr>
      <w:tr>
        <w:trPr>
          <w:cantSplit/>
        </w:trPr>
        <w:tc>
          <w:tcPr>
            <w:tcW w:type="dxa" w:w="2600"/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price_list_items</w:t>
            </w:r>
          </w:p>
        </w:tc>
        <w:tc>
          <w:tcPr>
            <w:tcW w:type="dxa" w:w="4200"/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id, price_list_id, product_id, price</w:t>
            </w:r>
          </w:p>
        </w:tc>
        <w:tc>
          <w:tcPr>
            <w:tcW w:type="dxa" w:w="3900"/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Precio de un producto específico dentro de una lista.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inventory_movements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id, product_id, type, quantity, created_at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Historial de entradas, salidas y ajustes (kardex).</w:t>
            </w:r>
          </w:p>
        </w:tc>
      </w:tr>
    </w:tbl>
    <w:p>
      <w:pPr>
        <w:pStyle w:val="Heading2"/>
        <w:spacing w:after="150" w:before="300"/>
      </w:pPr>
      <w:r>
        <w:t xml:space="preserve">11.3 Diccionario de Tablas — Compras</w:t>
      </w:r>
    </w:p>
    <w:tbl>
      <w:tblPr>
        <w:tblW w:type="dxa" w:w="10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3900"/>
      </w:tblGrid>
      <w:tr>
        <w:trPr>
          <w:tblHeader/>
        </w:trPr>
        <w:tc>
          <w:tcPr>
            <w:tcW w:type="dxa" w:w="2600"/>
            <w:shd w:fill="1D4E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Entidad</w:t>
            </w:r>
          </w:p>
        </w:tc>
        <w:tc>
          <w:tcPr>
            <w:tcW w:type="dxa" w:w="4200"/>
            <w:shd w:fill="1D4E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Campos principales</w:t>
            </w:r>
          </w:p>
        </w:tc>
        <w:tc>
          <w:tcPr>
            <w:tcW w:type="dxa" w:w="3900"/>
            <w:shd w:fill="1D4E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Relación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suppliers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id, name, nit, phone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Proveedor asociado a una o varias compras.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purchases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id, supplier_id, purchase_date, total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Encabezado de una compra.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purchase_items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id, purchase_id, product_id, quantity, unit_cost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Detalle de productos comprados; alimenta el kardex.</w:t>
            </w:r>
          </w:p>
        </w:tc>
      </w:tr>
    </w:tbl>
    <w:p>
      <w:pPr>
        <w:pStyle w:val="Heading2"/>
        <w:spacing w:after="150" w:before="300"/>
      </w:pPr>
      <w:r>
        <w:t xml:space="preserve">11.4 Diccionario de Tablas — Ventas</w:t>
      </w:r>
    </w:p>
    <w:tbl>
      <w:tblPr>
        <w:tblW w:type="dxa" w:w="10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3900"/>
      </w:tblGrid>
      <w:tr>
        <w:trPr>
          <w:tblHeader/>
        </w:trPr>
        <w:tc>
          <w:tcPr>
            <w:tcW w:type="dxa" w:w="2600"/>
            <w:shd w:fill="1D4E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Entidad</w:t>
            </w:r>
          </w:p>
        </w:tc>
        <w:tc>
          <w:tcPr>
            <w:tcW w:type="dxa" w:w="4200"/>
            <w:shd w:fill="1D4E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Campos principales</w:t>
            </w:r>
          </w:p>
        </w:tc>
        <w:tc>
          <w:tcPr>
            <w:tcW w:type="dxa" w:w="3900"/>
            <w:shd w:fill="1D4E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Relación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customers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id, name, document, credit_limit, current_debt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Cliente que compra, cotiza o autoriza tratamiento de datos.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quotes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id, customer_id, valid_until, total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Cotización previa a una venta.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sales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id, customer_id, user_id, payment_method, total, created_at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Encabezado de venta; comprobante interno (ver sección 12).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sale_items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id, sale_id, product_id, quantity, unit_price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Detalle de productos vendidos.</w:t>
            </w:r>
          </w:p>
        </w:tc>
      </w:tr>
      <w:tr>
        <w:trPr>
          <w:cantSplit/>
        </w:trPr>
        <w:tc>
          <w:tcPr>
            <w:tcW w:type="dxa" w:w="2600"/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sale_returns</w:t>
            </w:r>
          </w:p>
        </w:tc>
        <w:tc>
          <w:tcPr>
            <w:tcW w:type="dxa" w:w="4200"/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id, sale_id, reason, refund_method, total_refunded</w:t>
            </w:r>
          </w:p>
        </w:tc>
        <w:tc>
          <w:tcPr>
            <w:tcW w:type="dxa" w:w="3900"/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Devolución asociada a una venta.</w:t>
            </w:r>
          </w:p>
        </w:tc>
      </w:tr>
      <w:tr>
        <w:trPr>
          <w:cantSplit/>
        </w:trPr>
        <w:tc>
          <w:tcPr>
            <w:tcW w:type="dxa" w:w="2600"/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sale_return_items</w:t>
            </w:r>
          </w:p>
        </w:tc>
        <w:tc>
          <w:tcPr>
            <w:tcW w:type="dxa" w:w="4200"/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id, sale_return_id, sale_item_id, quantity, restock</w:t>
            </w:r>
          </w:p>
        </w:tc>
        <w:tc>
          <w:tcPr>
            <w:tcW w:type="dxa" w:w="3900"/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Detalle de la devolución; restock controla si vuelve al stock.</w:t>
            </w:r>
          </w:p>
        </w:tc>
      </w:tr>
      <w:tr>
        <w:trPr>
          <w:cantSplit/>
        </w:trPr>
        <w:tc>
          <w:tcPr>
            <w:tcW w:type="dxa" w:w="2600"/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consent_logs</w:t>
            </w:r>
          </w:p>
        </w:tc>
        <w:tc>
          <w:tcPr>
            <w:tcW w:type="dxa" w:w="4200"/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id, subject_type, subject_id, policy_version, consented_at</w:t>
            </w:r>
          </w:p>
        </w:tc>
        <w:tc>
          <w:tcPr>
            <w:tcW w:type="dxa" w:w="3900"/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Evidencia del consentimiento de habeas data.</w:t>
            </w:r>
          </w:p>
        </w:tc>
      </w:tr>
    </w:tbl>
    <w:p>
      <w:pPr>
        <w:pStyle w:val="Heading2"/>
        <w:spacing w:after="150" w:before="300"/>
      </w:pPr>
      <w:r>
        <w:t xml:space="preserve">11.5 Diccionario de Tablas — Caja y Seguridad</w:t>
      </w:r>
    </w:p>
    <w:tbl>
      <w:tblPr>
        <w:tblW w:type="dxa" w:w="10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3900"/>
      </w:tblGrid>
      <w:tr>
        <w:trPr>
          <w:tblHeader/>
        </w:trPr>
        <w:tc>
          <w:tcPr>
            <w:tcW w:type="dxa" w:w="2600"/>
            <w:shd w:fill="1D4E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Entidad</w:t>
            </w:r>
          </w:p>
        </w:tc>
        <w:tc>
          <w:tcPr>
            <w:tcW w:type="dxa" w:w="4200"/>
            <w:shd w:fill="1D4E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Campos principales</w:t>
            </w:r>
          </w:p>
        </w:tc>
        <w:tc>
          <w:tcPr>
            <w:tcW w:type="dxa" w:w="3900"/>
            <w:shd w:fill="1D4E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Relación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users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id, name, role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Cajero o administrador; procesa ventas y genera auditoría.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cash_registers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id, name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Caja física asignada a turnos.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cash_shifts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id, cash_register_id, user_id, opening_amount, closing_amount, opened_at, closed_at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Turno de caja abierto por un usuario.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cash_movements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id, cash_shift_id, type, amount, description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Ingresos y egresos dentro de un turno.</w:t>
            </w:r>
          </w:p>
        </w:tc>
      </w:tr>
      <w:tr>
        <w:trPr>
          <w:cantSplit/>
        </w:trPr>
        <w:tc>
          <w:tcPr>
            <w:tcW w:type="dxa" w:w="2600"/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activity_log</w:t>
            </w:r>
          </w:p>
        </w:tc>
        <w:tc>
          <w:tcPr>
            <w:tcW w:type="dxa" w:w="4200"/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id, causer_id, description, subject_type, created_at</w:t>
            </w:r>
          </w:p>
        </w:tc>
        <w:tc>
          <w:tcPr>
            <w:tcW w:type="dxa" w:w="3900"/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Auditoría de acciones sensibles.</w:t>
            </w:r>
          </w:p>
        </w:tc>
      </w:tr>
    </w:tbl>
    <w:p>
      <w:pPr>
        <w:pStyle w:val="Heading1"/>
        <w:spacing w:after="200" w:before="400"/>
      </w:pPr>
      <w:r>
        <w:t xml:space="preserve">12. Nota Final: Facturación Electrónica DIAN</w:t>
      </w:r>
    </w:p>
    <w:p>
      <w:pPr>
        <w:spacing w:after="160"/>
      </w:pPr>
      <w:r>
        <w:t xml:space="preserve">Por solicitud explícita, esta versión no incorpora la integración de facturación electrónica ante la DIAN (Resolución 000042 de 2020 y modificaciones). El comprobante de venta (sales) se mantiene como documento interno, igual que en la v1.0. Cuando se decida abordar este tema, se recomienda planificarlo como una fase independiente que incluya: elección de proveedor tecnológico autorizado (OFE), generación de XML UBL 2.1 y CUFE, numeración autorizada por la DIAN, y los ajustes correspondientes al modelo de datos de sales y sale_items.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</w:pPr>
    <w:rPr>
      <w:b/>
      <w:bCs/>
      <w:color w:val="1D4E33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b/>
      <w:bCs/>
      <w:color w:val="2C2C2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2026-09-05T00:30:31.800Z</dcterms:created>
  <dcterms:modified xsi:type="dcterms:W3CDTF">2026-09-05T00:30:31.811Z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