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44"/>
          <w:szCs w:val="44"/>
        </w:rPr>
        <w:t xml:space="preserve">TFG · DAM · Boutique &amp; Market</w:t>
      </w:r>
    </w:p>
    <w:p>
      <w:pPr>
        <w:spacing w:after="240" w:before="0"/>
        <w:jc w:val="center"/>
      </w:pPr>
      <w:r>
        <w:rPr>
          <w:i/>
          <w:iCs/>
          <w:color w:val="5F6368"/>
          <w:sz w:val="26"/>
          <w:szCs w:val="26"/>
        </w:rPr>
        <w:t xml:space="preserve">Apartados pendientes — contenido listo para integrar</w:t>
      </w:r>
    </w:p>
    <w:p>
      <w:pPr>
        <w:spacing w:after="0" w:before="600"/>
        <w:jc w:val="center"/>
      </w:pPr>
      <w:r>
        <w:rPr>
          <w:color w:val="5F6368"/>
          <w:sz w:val="22"/>
          <w:szCs w:val="22"/>
        </w:rPr>
        <w:t xml:space="preserve">Ángel Xavier Pons Marquez · 2026</w:t>
      </w:r>
    </w:p>
    <w:p>
      <w:r>
        <w:br w:type="page"/>
      </w:r>
    </w:p>
    <w:p>
      <w:pPr>
        <w:pStyle w:val="Heading1"/>
        <w:spacing w:after="200" w:before="360"/>
      </w:pPr>
      <w:r>
        <w:rPr>
          <w:b/>
          <w:bCs/>
          <w:color w:val="1A1A1A"/>
          <w:sz w:val="32"/>
          <w:szCs w:val="32"/>
        </w:rPr>
        <w:t xml:space="preserve">Cómo usar este documento</w:t>
      </w:r>
    </w:p>
    <w:p>
      <w:pPr>
        <w:spacing w:after="80" w:before="80" w:line="320"/>
        <w:jc w:val="both"/>
      </w:pPr>
      <w:r>
        <w:rPr>
          <w:b w:val="false"/>
          <w:bCs w:val="false"/>
          <w:i w:val="false"/>
          <w:iCs w:val="false"/>
          <w:sz w:val="22"/>
          <w:szCs w:val="22"/>
        </w:rPr>
        <w:t xml:space="preserve">Este documento contiene el contenido de todos los sub-apartados marcados como ‘revisar’ o ‘probable hueco’ en la auditoría frente a la rúbrica Carratalá. Cada bloque se identifica con su numeración exacta (p. ej. 2.1.2, 4.4.2). Copia el bloque completo en la posición correspondiente de tu documento principal. El estilo es neutro y tribunal-ready.</w:t>
      </w:r>
    </w:p>
    <w:p>
      <w:pPr>
        <w:shd w:fill="F1F3F4" w:val="clear"/>
        <w:spacing w:after="80" w:before="80"/>
      </w:pPr>
      <w:r>
        <w:rPr>
          <w:i/>
          <w:iCs/>
          <w:color w:val="5F6368"/>
          <w:sz w:val="20"/>
          <w:szCs w:val="20"/>
        </w:rPr>
        <w:t xml:space="preserve">Convención: el texto principal va en redonda; las observaciones y aclaraciones para ti (no para el TFG) van en gris cursiva. No copies los bloques en gris cursiva.</w:t>
      </w:r>
    </w:p>
    <w:p>
      <w:r>
        <w:br w:type="page"/>
      </w:r>
    </w:p>
    <w:p>
      <w:pPr>
        <w:pStyle w:val="Heading1"/>
        <w:spacing w:after="200" w:before="360"/>
      </w:pPr>
      <w:r>
        <w:rPr>
          <w:b/>
          <w:bCs/>
          <w:color w:val="1A1A1A"/>
          <w:sz w:val="32"/>
          <w:szCs w:val="32"/>
        </w:rPr>
        <w:t xml:space="preserve">2.1.2 Empresas tipo: estructura organizativa y funciones de cada departamento</w:t>
      </w:r>
    </w:p>
    <w:p>
      <w:pPr>
        <w:spacing w:after="80" w:before="80" w:line="320"/>
        <w:jc w:val="both"/>
      </w:pPr>
      <w:r>
        <w:rPr>
          <w:b w:val="false"/>
          <w:bCs w:val="false"/>
          <w:i w:val="false"/>
          <w:iCs w:val="false"/>
          <w:sz w:val="22"/>
          <w:szCs w:val="22"/>
        </w:rPr>
        <w:t xml:space="preserve">El proyecto Boutique &amp; Market está orientado a microempresas y autónomos del sector servicios (hostelería, comercio minorista, servicios estéticos y peluquería) que comparten una estructura organizativa muy similar y un volumen de personal reducido (1–10 empleados). Esta caracterización es relevante porque condiciona los requisitos del software: simplicidad, multi-rol, multi-dispositivo y un coste operativo bajo.</w:t>
      </w:r>
    </w:p>
    <w:p>
      <w:pPr>
        <w:spacing w:after="80" w:before="80" w:line="320"/>
        <w:jc w:val="both"/>
      </w:pPr>
      <w:r>
        <w:rPr>
          <w:b w:val="false"/>
          <w:bCs w:val="false"/>
          <w:i w:val="false"/>
          <w:iCs w:val="false"/>
          <w:sz w:val="22"/>
          <w:szCs w:val="22"/>
        </w:rPr>
        <w:t xml:space="preserve">El organigrama tipo de las dos empresas piloto que han servido de referencia (un comercio de moda — ‘Boutique’ — y una peluquería con espacio multifuncional — ‘Santi’) es plano y multi-rol: una persona —generalmente el propietario— concentra varias responsabilidades. Las funciones se reparten en cuatro áreas funcionales descritas a continuación.</w:t>
      </w:r>
    </w:p>
    <w:p>
      <w:pPr>
        <w:pStyle w:val="Heading3"/>
        <w:spacing w:after="120" w:before="220"/>
      </w:pPr>
      <w:r>
        <w:rPr>
          <w:b/>
          <w:bCs/>
          <w:color w:val="1A1A1A"/>
          <w:sz w:val="24"/>
          <w:szCs w:val="24"/>
        </w:rPr>
        <w:t xml:space="preserve">Departamento de Dirección y Administración</w:t>
      </w:r>
    </w:p>
    <w:p>
      <w:pPr>
        <w:spacing w:after="80" w:before="80" w:line="320"/>
        <w:jc w:val="both"/>
      </w:pPr>
      <w:r>
        <w:rPr>
          <w:b w:val="false"/>
          <w:bCs w:val="false"/>
          <w:i w:val="false"/>
          <w:iCs w:val="false"/>
          <w:sz w:val="22"/>
          <w:szCs w:val="22"/>
        </w:rPr>
        <w:t xml:space="preserve">Asume la gestión global del negocio. Sus funciones incluyen la toma de decisiones estratégicas, la relación con proveedores, la facturación, la conciliación bancaria y la elaboración de informes para la asesoría fiscal externa. En las empresas piloto este rol corresponde al propietario y representa el principal usuario de los módulos de Finanzas, Proveedores y Facturación del software.</w:t>
      </w:r>
    </w:p>
    <w:p>
      <w:pPr>
        <w:pStyle w:val="Heading3"/>
        <w:spacing w:after="120" w:before="220"/>
      </w:pPr>
      <w:r>
        <w:rPr>
          <w:b/>
          <w:bCs/>
          <w:color w:val="1A1A1A"/>
          <w:sz w:val="24"/>
          <w:szCs w:val="24"/>
        </w:rPr>
        <w:t xml:space="preserve">Departamento Comercial y Atención al Cliente</w:t>
      </w:r>
    </w:p>
    <w:p>
      <w:pPr>
        <w:spacing w:after="80" w:before="80" w:line="320"/>
        <w:jc w:val="both"/>
      </w:pPr>
      <w:r>
        <w:rPr>
          <w:b w:val="false"/>
          <w:bCs w:val="false"/>
          <w:i w:val="false"/>
          <w:iCs w:val="false"/>
          <w:sz w:val="22"/>
          <w:szCs w:val="22"/>
        </w:rPr>
        <w:t xml:space="preserve">Responsable del trato directo con el cliente final, gestión del calendario de citas (en el caso de la peluquería) y registro de las ventas en el TPV. En empresas pequeñas esta función la asume el propio personal técnico de manera rotativa. Se apoya en los módulos de Clientes, Calendario y Galería del software.</w:t>
      </w:r>
    </w:p>
    <w:p>
      <w:pPr>
        <w:pStyle w:val="Heading3"/>
        <w:spacing w:after="120" w:before="220"/>
      </w:pPr>
      <w:r>
        <w:rPr>
          <w:b/>
          <w:bCs/>
          <w:color w:val="1A1A1A"/>
          <w:sz w:val="24"/>
          <w:szCs w:val="24"/>
        </w:rPr>
        <w:t xml:space="preserve">Departamento Técnico/Operativo</w:t>
      </w:r>
    </w:p>
    <w:p>
      <w:pPr>
        <w:spacing w:after="80" w:before="80" w:line="320"/>
        <w:jc w:val="both"/>
      </w:pPr>
      <w:r>
        <w:rPr>
          <w:b w:val="false"/>
          <w:bCs w:val="false"/>
          <w:i w:val="false"/>
          <w:iCs w:val="false"/>
          <w:sz w:val="22"/>
          <w:szCs w:val="22"/>
        </w:rPr>
        <w:t xml:space="preserve">En la boutique corresponde al personal de tienda que gestiona el inventario físico, recibe mercancía, realiza el etiquetado y atiende a la clientela. En la peluquería corresponde al personal estilista. Sus interacciones con el software se concentran en el módulo de Inventario, el módulo de Uñas (en el caso del salón) y la consulta del calendario de citas.</w:t>
      </w:r>
    </w:p>
    <w:p>
      <w:pPr>
        <w:pStyle w:val="Heading3"/>
        <w:spacing w:after="120" w:before="220"/>
      </w:pPr>
      <w:r>
        <w:rPr>
          <w:b/>
          <w:bCs/>
          <w:color w:val="1A1A1A"/>
          <w:sz w:val="24"/>
          <w:szCs w:val="24"/>
        </w:rPr>
        <w:t xml:space="preserve">Departamento de Sistemas / TI externo</w:t>
      </w:r>
    </w:p>
    <w:p>
      <w:pPr>
        <w:spacing w:after="80" w:before="80" w:line="320"/>
        <w:jc w:val="both"/>
      </w:pPr>
      <w:r>
        <w:rPr>
          <w:b w:val="false"/>
          <w:bCs w:val="false"/>
          <w:i w:val="false"/>
          <w:iCs w:val="false"/>
          <w:sz w:val="22"/>
          <w:szCs w:val="22"/>
        </w:rPr>
        <w:t xml:space="preserve">Las microempresas no disponen de departamento informático propio. Esta función se externaliza, históricamente, a soluciones SaaS o a un autónomo informático. Boutique &amp; Market sustituye esa dependencia: el sistema se actualiza automáticamente vía CI/CD sin necesidad de intervención técnica por parte del cliente. La administración del sistema queda en manos del propietario del software (el desarrollador), que ofrece soporte remoto.</w:t>
      </w:r>
    </w:p>
    <w:p>
      <w:pPr>
        <w:spacing w:after="60" w:before="60"/>
      </w:pPr>
      <w:r>
        <w:t xml:space="preserve"/>
      </w:r>
    </w:p>
    <w:p>
      <w:pPr>
        <w:spacing w:after="80" w:before="80" w:line="320"/>
        <w:jc w:val="both"/>
      </w:pPr>
      <w:r>
        <w:rPr>
          <w:b w:val="false"/>
          <w:bCs w:val="false"/>
          <w:i/>
          <w:iCs/>
          <w:sz w:val="22"/>
          <w:szCs w:val="22"/>
        </w:rPr>
        <w:t xml:space="preserve">Figura: Organigrama tipo de las microempresas objetivo (estructura plana, multi-rol).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Departamento</w:t>
            </w:r>
          </w:p>
        </w:tc>
        <w:tc>
          <w:tcPr>
            <w:tcW w:type="dxa" w:w="36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Funciones principales</w:t>
            </w:r>
          </w:p>
        </w:tc>
        <w:tc>
          <w:tcPr>
            <w:tcW w:type="dxa" w:w="33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Módulos del software utilizados</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Dirección/Administración</w:t>
            </w:r>
          </w:p>
        </w:tc>
        <w:tc>
          <w:tcPr>
            <w:tcW w:type="dxa" w:w="36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Estrategia, proveedores, facturación, finanzas, relación con asesoría fiscal</w:t>
            </w:r>
          </w:p>
        </w:tc>
        <w:tc>
          <w:tcPr>
            <w:tcW w:type="dxa" w:w="3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Finanzas, Proveedores, Facturación</w:t>
            </w:r>
          </w:p>
        </w:tc>
      </w:tr>
      <w:tr>
        <w:tc>
          <w:tcPr>
            <w:tcW w:type="dxa" w:w="24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Comercial/Atención cliente</w:t>
            </w:r>
          </w:p>
        </w:tc>
        <w:tc>
          <w:tcPr>
            <w:tcW w:type="dxa" w:w="36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Atención cliente, gestión citas, ventas TPV, fidelización</w:t>
            </w:r>
          </w:p>
        </w:tc>
        <w:tc>
          <w:tcPr>
            <w:tcW w:type="dxa" w:w="3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Clientes, Calendario, Galería</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Técnico/Operativo</w:t>
            </w:r>
          </w:p>
        </w:tc>
        <w:tc>
          <w:tcPr>
            <w:tcW w:type="dxa" w:w="36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Recepción mercancía, inventario físico, atención técnica</w:t>
            </w:r>
          </w:p>
        </w:tc>
        <w:tc>
          <w:tcPr>
            <w:tcW w:type="dxa" w:w="3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Inventario, Uñas, Calendario</w:t>
            </w:r>
          </w:p>
        </w:tc>
      </w:tr>
      <w:tr>
        <w:tc>
          <w:tcPr>
            <w:tcW w:type="dxa" w:w="24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Sistemas/TI (externo)</w:t>
            </w:r>
          </w:p>
        </w:tc>
        <w:tc>
          <w:tcPr>
            <w:tcW w:type="dxa" w:w="36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Mantenimiento, actualizaciones, soporte</w:t>
            </w:r>
          </w:p>
        </w:tc>
        <w:tc>
          <w:tcPr>
            <w:tcW w:type="dxa" w:w="3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Panel administrador (acceso remoto)</w:t>
            </w:r>
          </w:p>
        </w:tc>
      </w:tr>
    </w:tbl>
    <w:p>
      <w:pPr>
        <w:spacing w:after="60" w:before="60"/>
      </w:pPr>
      <w:r>
        <w:t xml:space="preserve"/>
      </w:r>
    </w:p>
    <w:p>
      <w:pPr>
        <w:spacing w:after="80" w:before="80" w:line="320"/>
        <w:jc w:val="both"/>
      </w:pPr>
      <w:r>
        <w:rPr>
          <w:b w:val="false"/>
          <w:bCs w:val="false"/>
          <w:i w:val="false"/>
          <w:iCs w:val="false"/>
          <w:sz w:val="22"/>
          <w:szCs w:val="22"/>
        </w:rPr>
        <w:t xml:space="preserve">Esta estructura plana justifica una de las decisiones de diseño clave del proyecto: el sistema RBAC se simplifica a dos roles efectivos (administrador y usuario operativo), evitando la sobre-ingeniería propia de los ERPs corporativos.</w:t>
      </w:r>
    </w:p>
    <w:p>
      <w:r>
        <w:br w:type="page"/>
      </w:r>
    </w:p>
    <w:p>
      <w:pPr>
        <w:pStyle w:val="Heading1"/>
        <w:spacing w:after="200" w:before="360"/>
      </w:pPr>
      <w:r>
        <w:rPr>
          <w:b/>
          <w:bCs/>
          <w:color w:val="1A1A1A"/>
          <w:sz w:val="32"/>
          <w:szCs w:val="32"/>
        </w:rPr>
        <w:t xml:space="preserve">2.2.2 Oportunidades de negocio previsibles en el sector</w:t>
      </w:r>
    </w:p>
    <w:p>
      <w:pPr>
        <w:spacing w:after="80" w:before="80" w:line="320"/>
        <w:jc w:val="both"/>
      </w:pPr>
      <w:r>
        <w:rPr>
          <w:b w:val="false"/>
          <w:bCs w:val="false"/>
          <w:i w:val="false"/>
          <w:iCs w:val="false"/>
          <w:sz w:val="22"/>
          <w:szCs w:val="22"/>
        </w:rPr>
        <w:t xml:space="preserve">El sector de la pequeña empresa española mantiene una demanda creciente de soluciones de gestión accesibles. Tres tendencias respaldan la viabilidad de Boutique &amp; Market a medio plazo y constituyen oportunidades de negocio reales:</w:t>
      </w:r>
    </w:p>
    <w:p>
      <w:pPr>
        <w:pStyle w:val="Heading3"/>
        <w:spacing w:after="120" w:before="220"/>
      </w:pPr>
      <w:r>
        <w:rPr>
          <w:b/>
          <w:bCs/>
          <w:color w:val="1A1A1A"/>
          <w:sz w:val="24"/>
          <w:szCs w:val="24"/>
        </w:rPr>
        <w:t xml:space="preserve">Migración de PYMES al SaaS impulsada por el Kit Digital</w:t>
      </w:r>
    </w:p>
    <w:p>
      <w:pPr>
        <w:spacing w:after="80" w:before="80" w:line="320"/>
        <w:jc w:val="both"/>
      </w:pPr>
      <w:r>
        <w:rPr>
          <w:b w:val="false"/>
          <w:bCs w:val="false"/>
          <w:i w:val="false"/>
          <w:iCs w:val="false"/>
          <w:sz w:val="22"/>
          <w:szCs w:val="22"/>
        </w:rPr>
        <w:t xml:space="preserve">El programa de ayudas Kit Digital, gestionado por Red.es y financiado con fondos Next Generation EU, ha inyectado entre 2022 y 2025 más de tres mil millones de euros para acelerar la digitalización de microempresas y autónomos. Esto ha cambiado de forma estructural la disposición a contratar software de gestión en la nube, abriendo un mercado que antes operaba mayoritariamente con hojas de cálculo o software local.</w:t>
      </w:r>
    </w:p>
    <w:p>
      <w:pPr>
        <w:pStyle w:val="Heading3"/>
        <w:spacing w:after="120" w:before="220"/>
      </w:pPr>
      <w:r>
        <w:rPr>
          <w:b/>
          <w:bCs/>
          <w:color w:val="1A1A1A"/>
          <w:sz w:val="24"/>
          <w:szCs w:val="24"/>
        </w:rPr>
        <w:t xml:space="preserve">Saturación de los grandes ERPs y demanda de soluciones especializadas</w:t>
      </w:r>
    </w:p>
    <w:p>
      <w:pPr>
        <w:spacing w:after="80" w:before="80" w:line="320"/>
        <w:jc w:val="both"/>
      </w:pPr>
      <w:r>
        <w:rPr>
          <w:b w:val="false"/>
          <w:bCs w:val="false"/>
          <w:i w:val="false"/>
          <w:iCs w:val="false"/>
          <w:sz w:val="22"/>
          <w:szCs w:val="22"/>
        </w:rPr>
        <w:t xml:space="preserve">Los ERPs generalistas (Holded, Odoo, SAP Business One) cubren un espectro funcional muy amplio que resulta sobredimensionado para microempresas. Existe una oportunidad clara para soluciones verticales, ligeras y económicas, orientadas a sectores concretos (hostelería, peluquería, comercio minorista). Boutique &amp; Market se posiciona en ese nicho.</w:t>
      </w:r>
    </w:p>
    <w:p>
      <w:pPr>
        <w:pStyle w:val="Heading3"/>
        <w:spacing w:after="120" w:before="220"/>
      </w:pPr>
      <w:r>
        <w:rPr>
          <w:b/>
          <w:bCs/>
          <w:color w:val="1A1A1A"/>
          <w:sz w:val="24"/>
          <w:szCs w:val="24"/>
        </w:rPr>
        <w:t xml:space="preserve">Multi-tenant físico como ventaja competitiva en privacidad</w:t>
      </w:r>
    </w:p>
    <w:p>
      <w:pPr>
        <w:spacing w:after="80" w:before="80" w:line="320"/>
        <w:jc w:val="both"/>
      </w:pPr>
      <w:r>
        <w:rPr>
          <w:b w:val="false"/>
          <w:bCs w:val="false"/>
          <w:i w:val="false"/>
          <w:iCs w:val="false"/>
          <w:sz w:val="22"/>
          <w:szCs w:val="22"/>
        </w:rPr>
        <w:t xml:space="preserve">El cumplimiento del RGPD es cada vez más exigente. La arquitectura propuesta —dos bases de datos físicas separadas por inquilino— ofrece una garantía de aislamiento que la mayoría de competidores no proporciona, ya que utilizan multi-tenant lógico (filtrado por columna tenant_id). Esta diferenciación abre la posibilidad de ofrecer planes premium ‘bases de datos dedicadas’ a clientes con requisitos de privacidad reforzada.</w:t>
      </w:r>
    </w:p>
    <w:p>
      <w:pPr>
        <w:spacing w:after="60" w:before="60"/>
      </w:pPr>
      <w:r>
        <w:t xml:space="preserve"/>
      </w:r>
    </w:p>
    <w:p>
      <w:pPr>
        <w:spacing w:after="80" w:before="80" w:line="320"/>
        <w:jc w:val="both"/>
      </w:pPr>
      <w:r>
        <w:rPr>
          <w:b w:val="false"/>
          <w:bCs w:val="false"/>
          <w:i w:val="false"/>
          <w:iCs w:val="false"/>
          <w:sz w:val="22"/>
          <w:szCs w:val="22"/>
        </w:rPr>
        <w:t xml:space="preserve">En conjunto, estas tres tendencias permiten prever que la inversión en una solución multi-tenant cloud-native orientada a microempresas será una vía de negocio viable en el horizonte de 2025-2028.</w:t>
      </w:r>
    </w:p>
    <w:p>
      <w:r>
        <w:br w:type="page"/>
      </w:r>
    </w:p>
    <w:p>
      <w:pPr>
        <w:pStyle w:val="Heading1"/>
        <w:spacing w:after="200" w:before="360"/>
      </w:pPr>
      <w:r>
        <w:rPr>
          <w:b/>
          <w:bCs/>
          <w:color w:val="1A1A1A"/>
          <w:sz w:val="32"/>
          <w:szCs w:val="32"/>
        </w:rPr>
        <w:t xml:space="preserve">2.3 Obligaciones fiscales, laborales y de prevención de riesgos</w:t>
      </w:r>
    </w:p>
    <w:p>
      <w:pPr>
        <w:spacing w:after="80" w:before="80" w:line="320"/>
        <w:jc w:val="both"/>
      </w:pPr>
      <w:r>
        <w:rPr>
          <w:b w:val="false"/>
          <w:bCs w:val="false"/>
          <w:i w:val="false"/>
          <w:iCs w:val="false"/>
          <w:sz w:val="22"/>
          <w:szCs w:val="22"/>
        </w:rPr>
        <w:t xml:space="preserve">El desarrollo y posterior explotación de Boutique &amp; Market debe cumplir el marco normativo español y europeo aplicable al tratamiento de datos, al ejercicio de la actividad profesional y a la prevención de riesgos laborales. Las principales obligaciones se resumen a continuación.</w:t>
      </w:r>
    </w:p>
    <w:p>
      <w:pPr>
        <w:pStyle w:val="Heading3"/>
        <w:spacing w:after="120" w:before="220"/>
      </w:pPr>
      <w:r>
        <w:rPr>
          <w:b/>
          <w:bCs/>
          <w:color w:val="1A1A1A"/>
          <w:sz w:val="24"/>
          <w:szCs w:val="24"/>
        </w:rPr>
        <w:t xml:space="preserve">Marco normativo en protección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Norma</w:t>
            </w:r>
          </w:p>
        </w:tc>
        <w:tc>
          <w:tcPr>
            <w:tcW w:type="dxa" w:w="63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Aplicación al proyecto</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Reglamento (UE) 2016/679 (RGPD)</w:t>
            </w:r>
          </w:p>
        </w:tc>
        <w:tc>
          <w:tcPr>
            <w:tcW w:type="dxa" w:w="6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Tratamiento de datos personales de clientes y empleados de las empresas inquilinas. Obliga a base legal explícita, minimización del dato, derechos ARCO, registro de actividades de tratamiento.</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LO 3/2018 (LOPDGDD)</w:t>
            </w:r>
          </w:p>
        </w:tc>
        <w:tc>
          <w:tcPr>
            <w:tcW w:type="dxa" w:w="6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Adaptación nacional del RGPD. Incluye derechos digitales y exige nombrar Delegado de Protección de Datos cuando proceda. En el alcance del TFG (single-developer SaaS) no es obligatorio designar DPO.</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Ley 34/2002 (LSSI-CE)</w:t>
            </w:r>
          </w:p>
        </w:tc>
        <w:tc>
          <w:tcPr>
            <w:tcW w:type="dxa" w:w="6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Aplicable a la prestación de servicios de la sociedad de la información. Obliga a aviso legal, política de cookies y términos de uso accesibles desde el panel.</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Reglamento eIDAS (UE) 910/2014</w:t>
            </w:r>
          </w:p>
        </w:tc>
        <w:tc>
          <w:tcPr>
            <w:tcW w:type="dxa" w:w="6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Marco de identificación y firma electrónica. Relevante si se incorporan firmas digitales en contratos o facturas.</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Real Decreto 1619/2012 (factura electrónica)</w:t>
            </w:r>
          </w:p>
        </w:tc>
        <w:tc>
          <w:tcPr>
            <w:tcW w:type="dxa" w:w="6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Obligaciones formales mínimas de las facturas emitidas (numeración correlativa, datos fiscales, conservación 4 años).</w:t>
            </w:r>
          </w:p>
        </w:tc>
      </w:tr>
    </w:tbl>
    <w:p>
      <w:pPr>
        <w:spacing w:after="60" w:before="60"/>
      </w:pPr>
      <w:r>
        <w:t xml:space="preserve"/>
      </w:r>
    </w:p>
    <w:p>
      <w:pPr>
        <w:pStyle w:val="Heading3"/>
        <w:spacing w:after="120" w:before="220"/>
      </w:pPr>
      <w:r>
        <w:rPr>
          <w:b/>
          <w:bCs/>
          <w:color w:val="1A1A1A"/>
          <w:sz w:val="24"/>
          <w:szCs w:val="24"/>
        </w:rPr>
        <w:t xml:space="preserve">Obligaciones laborales del desarrollador</w:t>
      </w:r>
    </w:p>
    <w:p>
      <w:pPr>
        <w:spacing w:after="80" w:before="80" w:line="320"/>
        <w:jc w:val="both"/>
      </w:pPr>
      <w:r>
        <w:rPr>
          <w:b w:val="false"/>
          <w:bCs w:val="false"/>
          <w:i w:val="false"/>
          <w:iCs w:val="false"/>
          <w:sz w:val="22"/>
          <w:szCs w:val="22"/>
        </w:rPr>
        <w:t xml:space="preserve">Dado que el proyecto se desarrolla en modalidad de trabajo individual y simulado por el alumno, no existen relaciones laborales formales. En un escenario de explotación comercial real, el desarrollador debería darse de alta como autónomo (RETA) o constituir una sociedad limitada, declarar el IAE en el epígrafe 763 (programación informática) y cumplir con las obligaciones trimestrales de IVA (modelo 303) e IRPF (modelo 130).</w:t>
      </w:r>
    </w:p>
    <w:p>
      <w:pPr>
        <w:pStyle w:val="Heading3"/>
        <w:spacing w:after="120" w:before="220"/>
      </w:pPr>
      <w:r>
        <w:rPr>
          <w:b/>
          <w:bCs/>
          <w:color w:val="1A1A1A"/>
          <w:sz w:val="24"/>
          <w:szCs w:val="24"/>
        </w:rPr>
        <w:t xml:space="preserve">Prevención de riesgos laborales (Ley 31/1995)</w:t>
      </w:r>
    </w:p>
    <w:p>
      <w:pPr>
        <w:spacing w:after="80" w:before="80" w:line="320"/>
        <w:jc w:val="both"/>
      </w:pPr>
      <w:r>
        <w:rPr>
          <w:b w:val="false"/>
          <w:bCs w:val="false"/>
          <w:i w:val="false"/>
          <w:iCs w:val="false"/>
          <w:sz w:val="22"/>
          <w:szCs w:val="22"/>
        </w:rPr>
        <w:t xml:space="preserve">El desarrollo de software conlleva riesgos ergonómicos derivados del trabajo prolongado con pantallas de visualización (Real Decreto 488/1997). Las medidas adoptadas durante la ejecución del proyecto incluyen pausas activas cada cincuenta minutos, monitor a la altura de los ojos, silla regulable con apoyo lumbar, iluminación indirecta y descansos para la vista cada veinte minutos según la regla 20-20-20. No se han identificado riesgos físicos significativos al tratarse de un desarrollo íntegramente cloud sin manipulación de hardware servidor.</w:t>
      </w:r>
    </w:p>
    <w:p>
      <w:r>
        <w:br w:type="page"/>
      </w:r>
    </w:p>
    <w:p>
      <w:pPr>
        <w:pStyle w:val="Heading1"/>
        <w:spacing w:after="200" w:before="360"/>
      </w:pPr>
      <w:r>
        <w:rPr>
          <w:b/>
          <w:bCs/>
          <w:color w:val="1A1A1A"/>
          <w:sz w:val="32"/>
          <w:szCs w:val="32"/>
        </w:rPr>
        <w:t xml:space="preserve">2.3 Posibles ayudas o subvenciones</w:t>
      </w:r>
    </w:p>
    <w:p>
      <w:pPr>
        <w:spacing w:after="80" w:before="80" w:line="320"/>
        <w:jc w:val="both"/>
      </w:pPr>
      <w:r>
        <w:rPr>
          <w:b w:val="false"/>
          <w:bCs w:val="false"/>
          <w:i w:val="false"/>
          <w:iCs w:val="false"/>
          <w:sz w:val="22"/>
          <w:szCs w:val="22"/>
        </w:rPr>
        <w:t xml:space="preserve">El proyecto Boutique &amp; Market es elegible —tanto en la vertiente de desarrollo como en la de explotación comercial— para diversas líneas públicas de ayuda a la digitalización empresarial y al emprendimiento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Programa</w:t>
            </w:r>
          </w:p>
        </w:tc>
        <w:tc>
          <w:tcPr>
            <w:tcW w:type="dxa" w:w="3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Organismo</w:t>
            </w:r>
          </w:p>
        </w:tc>
        <w:tc>
          <w:tcPr>
            <w:tcW w:type="dxa" w:w="33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Aplicación al proyecto</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Kit Digital</w:t>
            </w:r>
          </w:p>
        </w:tc>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Red.es / Ministerio Asuntos Económicos</w:t>
            </w:r>
          </w:p>
        </w:tc>
        <w:tc>
          <w:tcPr>
            <w:tcW w:type="dxa" w:w="3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Bonos de 2 000 €, 6 000 € o 12 000 € para que las PYMES contraten servicios digitales. Boutique &amp; Market podría inscribirse como Agente Digitalizador y captar clientes vía bono.</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Kit Consulting</w:t>
            </w:r>
          </w:p>
        </w:tc>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Red.es</w:t>
            </w:r>
          </w:p>
        </w:tc>
        <w:tc>
          <w:tcPr>
            <w:tcW w:type="dxa" w:w="3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Ampliación 2024 del Kit Digital orientado a consultoría tecnológica. Aplicable a servicios de implantación y formación sobre el ERP.</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ENISA Jóvenes Emprendedores</w:t>
            </w:r>
          </w:p>
        </w:tc>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ENISA / Ministerio Industria</w:t>
            </w:r>
          </w:p>
        </w:tc>
        <w:tc>
          <w:tcPr>
            <w:tcW w:type="dxa" w:w="3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Préstamos participativos de hasta 75 000 € sin avales para emprendedores menores de 40 años con proyectos tecnológicos viables.</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NEOTEC (CDTI)</w:t>
            </w:r>
          </w:p>
        </w:tc>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Centro para el Desarrollo Tecnológico Industrial</w:t>
            </w:r>
          </w:p>
        </w:tc>
        <w:tc>
          <w:tcPr>
            <w:tcW w:type="dxa" w:w="3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Subvención a fondo perdido para empresas de base tecnológica. Aplicable si el proyecto se orienta a I+D (multi-tenant físico, edge computing).</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Cheque innovación / IVF</w:t>
            </w:r>
          </w:p>
        </w:tc>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Generalitat Valenciana</w:t>
            </w:r>
          </w:p>
        </w:tc>
        <w:tc>
          <w:tcPr>
            <w:tcW w:type="dxa" w:w="3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Línea regional para empresas de la Comunidad Valenciana que adopten soluciones tecnológicas. Aplicable a las empresas piloto.</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Ayudas Cámara de Comercio TICCámaras</w:t>
            </w:r>
          </w:p>
        </w:tc>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Cámaras de Comercio</w:t>
            </w:r>
          </w:p>
        </w:tc>
        <w:tc>
          <w:tcPr>
            <w:tcW w:type="dxa" w:w="3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Diagnóstico digital gratuito y ayudas hasta 7 000 € para implantación.</w:t>
            </w:r>
          </w:p>
        </w:tc>
      </w:tr>
    </w:tbl>
    <w:p>
      <w:pPr>
        <w:spacing w:after="60" w:before="60"/>
      </w:pPr>
      <w:r>
        <w:t xml:space="preserve"/>
      </w:r>
    </w:p>
    <w:p>
      <w:pPr>
        <w:spacing w:after="80" w:before="80" w:line="320"/>
        <w:jc w:val="both"/>
      </w:pPr>
      <w:r>
        <w:rPr>
          <w:b w:val="false"/>
          <w:bCs w:val="false"/>
          <w:i w:val="false"/>
          <w:iCs w:val="false"/>
          <w:sz w:val="22"/>
          <w:szCs w:val="22"/>
        </w:rPr>
        <w:t xml:space="preserve">La doble vertiente del proyecto —proveedor de software y dos empresas piloto que actúan como receptoras— permite plantear un esquema en el que las empresas inquilinas financian la implantación con bonos del Kit Digital, mientras el desarrollador accede a financiación para escalado vía ENISA o NEOTEC.</w:t>
      </w:r>
    </w:p>
    <w:p>
      <w:r>
        <w:br w:type="page"/>
      </w:r>
    </w:p>
    <w:p>
      <w:pPr>
        <w:pStyle w:val="Heading1"/>
        <w:spacing w:after="200" w:before="360"/>
      </w:pPr>
      <w:r>
        <w:rPr>
          <w:b/>
          <w:bCs/>
          <w:color w:val="1A1A1A"/>
          <w:sz w:val="32"/>
          <w:szCs w:val="32"/>
        </w:rPr>
        <w:t xml:space="preserve">3.4.3 Recursos materiales y personales necesarios</w:t>
      </w:r>
    </w:p>
    <w:p>
      <w:pPr>
        <w:spacing w:after="80" w:before="80" w:line="320"/>
        <w:jc w:val="both"/>
      </w:pPr>
      <w:r>
        <w:rPr>
          <w:b w:val="false"/>
          <w:bCs w:val="false"/>
          <w:i w:val="false"/>
          <w:iCs w:val="false"/>
          <w:sz w:val="22"/>
          <w:szCs w:val="22"/>
        </w:rPr>
        <w:t xml:space="preserve">La ejecución del proyecto requiere los siguientes recursos materiales (hardware y software) y personales (perfiles profesionales). Se enumeran de forma exhaustiva, incluyendo recursos gratuitos o de software libre, ya que su disponibilidad es condición necesaria para el desarrollo aunque su coste sea cero.</w:t>
      </w:r>
    </w:p>
    <w:p>
      <w:pPr>
        <w:pStyle w:val="Heading3"/>
        <w:spacing w:after="120" w:before="220"/>
      </w:pPr>
      <w:r>
        <w:rPr>
          <w:b/>
          <w:bCs/>
          <w:color w:val="1A1A1A"/>
          <w:sz w:val="24"/>
          <w:szCs w:val="24"/>
        </w:rPr>
        <w:t xml:space="preserve">Recursos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Recurso</w:t>
            </w:r>
          </w:p>
        </w:tc>
        <w:tc>
          <w:tcPr>
            <w:tcW w:type="dxa" w:w="4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Especificación</w:t>
            </w:r>
          </w:p>
        </w:tc>
        <w:tc>
          <w:tcPr>
            <w:tcW w:type="dxa" w:w="23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Cantidad</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Equipo de desarrollo</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Portátil 16 GB RAM, SSD 512 GB, CPU Intel i5 11ª gen o AMD Ryzen 5 equivalente</w:t>
            </w:r>
          </w:p>
        </w:tc>
        <w:tc>
          <w:tcPr>
            <w:tcW w:type="dxa" w:w="2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Monitor secundario</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Pantalla 24″ FHD para depuración con DevTools abiertas</w:t>
            </w:r>
          </w:p>
        </w:tc>
        <w:tc>
          <w:tcPr>
            <w:tcW w:type="dxa" w:w="2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Conexión a Internet</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Fibra simétrica ≥ 300 Mbps</w:t>
            </w:r>
          </w:p>
        </w:tc>
        <w:tc>
          <w:tcPr>
            <w:tcW w:type="dxa" w:w="2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 línea</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Smartphone de pruebas</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Android (Chrome) e iOS (Safari) para verificar comportamiento responsive y subida de imágenes desde móvil</w:t>
            </w:r>
          </w:p>
        </w:tc>
        <w:tc>
          <w:tcPr>
            <w:tcW w:type="dxa" w:w="2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2</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Periféricos ergonómicos</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Teclado mecánico, ratón vertical, silla con soporte lumbar</w:t>
            </w:r>
          </w:p>
        </w:tc>
        <w:tc>
          <w:tcPr>
            <w:tcW w:type="dxa" w:w="2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 set</w:t>
            </w:r>
          </w:p>
        </w:tc>
      </w:tr>
    </w:tbl>
    <w:p>
      <w:pPr>
        <w:spacing w:after="60" w:before="60"/>
      </w:pPr>
      <w:r>
        <w:t xml:space="preserve"/>
      </w:r>
    </w:p>
    <w:p>
      <w:pPr>
        <w:pStyle w:val="Heading3"/>
        <w:spacing w:after="120" w:before="220"/>
      </w:pPr>
      <w:r>
        <w:rPr>
          <w:b/>
          <w:bCs/>
          <w:color w:val="1A1A1A"/>
          <w:sz w:val="24"/>
          <w:szCs w:val="24"/>
        </w:rPr>
        <w:t xml:space="preserve">Recursos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Recurso</w:t>
            </w:r>
          </w:p>
        </w:tc>
        <w:tc>
          <w:tcPr>
            <w:tcW w:type="dxa" w:w="4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Función</w:t>
            </w:r>
          </w:p>
        </w:tc>
        <w:tc>
          <w:tcPr>
            <w:tcW w:type="dxa" w:w="23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Tipo de licencia</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Visual Studio Code</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Editor principal</w:t>
            </w:r>
          </w:p>
        </w:tc>
        <w:tc>
          <w:tcPr>
            <w:tcW w:type="dxa" w:w="2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Gratuito (MIT)</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Node.js 20 LTS + npm</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Runtime backend y gestor de paquetes</w:t>
            </w:r>
          </w:p>
        </w:tc>
        <w:tc>
          <w:tcPr>
            <w:tcW w:type="dxa" w:w="2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Gratuito (MIT)</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Git + GitHub</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Control de versiones y CI</w:t>
            </w:r>
          </w:p>
        </w:tc>
        <w:tc>
          <w:tcPr>
            <w:tcW w:type="dxa" w:w="2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Gratuito (cuenta personal)</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Postman / Thunder Client</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Pruebas manuales de API REST</w:t>
            </w:r>
          </w:p>
        </w:tc>
        <w:tc>
          <w:tcPr>
            <w:tcW w:type="dxa" w:w="2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Gratuito</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DBeaver / pgAdmin</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Cliente PostgreSQL para inspección de datos</w:t>
            </w:r>
          </w:p>
        </w:tc>
        <w:tc>
          <w:tcPr>
            <w:tcW w:type="dxa" w:w="2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Gratuito</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Figma</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Mockups y diseño de interfaz</w:t>
            </w:r>
          </w:p>
        </w:tc>
        <w:tc>
          <w:tcPr>
            <w:tcW w:type="dxa" w:w="2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Plan gratuito</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Vercel</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Hosting frontend con CDN global</w:t>
            </w:r>
          </w:p>
        </w:tc>
        <w:tc>
          <w:tcPr>
            <w:tcW w:type="dxa" w:w="2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Plan Hobby gratuito</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Render</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Hosting backend Node.js</w:t>
            </w:r>
          </w:p>
        </w:tc>
        <w:tc>
          <w:tcPr>
            <w:tcW w:type="dxa" w:w="2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Plan Free / Starter</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Supabase</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PostgreSQL gestionado y panel SQL</w:t>
            </w:r>
          </w:p>
        </w:tc>
        <w:tc>
          <w:tcPr>
            <w:tcW w:type="dxa" w:w="2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Plan Free durante desarrollo</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LibreOffice / Google Docs</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Redacción de la memoria</w:t>
            </w:r>
          </w:p>
        </w:tc>
        <w:tc>
          <w:tcPr>
            <w:tcW w:type="dxa" w:w="2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Gratuito</w:t>
            </w:r>
          </w:p>
        </w:tc>
      </w:tr>
    </w:tbl>
    <w:p>
      <w:pPr>
        <w:spacing w:after="60" w:before="60"/>
      </w:pPr>
      <w:r>
        <w:t xml:space="preserve"/>
      </w:r>
    </w:p>
    <w:p>
      <w:pPr>
        <w:pStyle w:val="Heading3"/>
        <w:spacing w:after="120" w:before="220"/>
      </w:pPr>
      <w:r>
        <w:rPr>
          <w:b/>
          <w:bCs/>
          <w:color w:val="1A1A1A"/>
          <w:sz w:val="24"/>
          <w:szCs w:val="24"/>
        </w:rPr>
        <w:t xml:space="preserve">Recursos personales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Perfil</w:t>
            </w:r>
          </w:p>
        </w:tc>
        <w:tc>
          <w:tcPr>
            <w:tcW w:type="dxa" w:w="4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Funciones en el proyecto</w:t>
            </w:r>
          </w:p>
        </w:tc>
        <w:tc>
          <w:tcPr>
            <w:tcW w:type="dxa" w:w="23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Dedicación</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Desarrollador full-stack senior (rol asumido por el alumno)</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Análisis, diseño arquitectónico, desarrollo backend y frontend, pruebas, despliegue, documentación</w:t>
            </w:r>
          </w:p>
        </w:tc>
        <w:tc>
          <w:tcPr>
            <w:tcW w:type="dxa" w:w="2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Tiempo completo, 3 meses</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Tutor académico</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Supervisión metodológica, validación de hitos, evaluación</w:t>
            </w:r>
          </w:p>
        </w:tc>
        <w:tc>
          <w:tcPr>
            <w:tcW w:type="dxa" w:w="2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Reuniones quincenales</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Usuarios piloto (Boutique y Santi)</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Aporte de requisitos reales, sesiones de validación, feedback de usabilidad</w:t>
            </w:r>
          </w:p>
        </w:tc>
        <w:tc>
          <w:tcPr>
            <w:tcW w:type="dxa" w:w="2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2 sesiones/mes</w:t>
            </w:r>
          </w:p>
        </w:tc>
      </w:tr>
    </w:tbl>
    <w:p>
      <w:r>
        <w:br w:type="page"/>
      </w:r>
    </w:p>
    <w:p>
      <w:pPr>
        <w:pStyle w:val="Heading1"/>
        <w:spacing w:after="200" w:before="360"/>
      </w:pPr>
      <w:r>
        <w:rPr>
          <w:b/>
          <w:bCs/>
          <w:color w:val="1A1A1A"/>
          <w:sz w:val="32"/>
          <w:szCs w:val="32"/>
        </w:rPr>
        <w:t xml:space="preserve">3.4.4 Necesidades de financiación para la puesta en marcha</w:t>
      </w:r>
    </w:p>
    <w:p>
      <w:pPr>
        <w:spacing w:after="80" w:before="80" w:line="320"/>
        <w:jc w:val="both"/>
      </w:pPr>
      <w:r>
        <w:rPr>
          <w:b w:val="false"/>
          <w:bCs w:val="false"/>
          <w:i w:val="false"/>
          <w:iCs w:val="false"/>
          <w:sz w:val="22"/>
          <w:szCs w:val="22"/>
        </w:rPr>
        <w:t xml:space="preserve">Aunque el desarrollo del proyecto se ha realizado dentro del marco académico y, por tanto, sin coste real para el alumno, una correcta valoración exige cuantificar las necesidades de financiación que existirían si el proyecto se ejecutara en condiciones de mercado. Se detallan a continuación tres escenarios.</w:t>
      </w:r>
    </w:p>
    <w:p>
      <w:pPr>
        <w:pStyle w:val="Heading3"/>
        <w:spacing w:after="120" w:before="220"/>
      </w:pPr>
      <w:r>
        <w:rPr>
          <w:b/>
          <w:bCs/>
          <w:color w:val="1A1A1A"/>
          <w:sz w:val="24"/>
          <w:szCs w:val="24"/>
        </w:rPr>
        <w:t xml:space="preserve">Escenario 1: ejecución académica (real)</w:t>
      </w:r>
    </w:p>
    <w:p>
      <w:pPr>
        <w:spacing w:after="80" w:before="80" w:line="320"/>
        <w:jc w:val="both"/>
      </w:pPr>
      <w:r>
        <w:rPr>
          <w:b w:val="false"/>
          <w:bCs w:val="false"/>
          <w:i w:val="false"/>
          <w:iCs w:val="false"/>
          <w:sz w:val="22"/>
          <w:szCs w:val="22"/>
        </w:rPr>
        <w:t xml:space="preserve">La financiación necesaria es nula. El alumno aporta el equipo personal, la conexión a Internet doméstica y la formación adquirida durante el ciclo. Las plataformas cloud utilizadas (Vercel, Render, Supabase) operan dentro de sus respectivos planes gratuitos, suficientes para el tráfico previsto durante el desarrollo y la defensa. Esta es la situación efectiva del TFG.</w:t>
      </w:r>
    </w:p>
    <w:p>
      <w:pPr>
        <w:pStyle w:val="Heading3"/>
        <w:spacing w:after="120" w:before="220"/>
      </w:pPr>
      <w:r>
        <w:rPr>
          <w:b/>
          <w:bCs/>
          <w:color w:val="1A1A1A"/>
          <w:sz w:val="24"/>
          <w:szCs w:val="24"/>
        </w:rPr>
        <w:t xml:space="preserve">Escenario 2: lanzamiento comercial (proyección)</w:t>
      </w:r>
    </w:p>
    <w:p>
      <w:pPr>
        <w:spacing w:after="80" w:before="80" w:line="320"/>
        <w:jc w:val="both"/>
      </w:pPr>
      <w:r>
        <w:rPr>
          <w:b w:val="false"/>
          <w:bCs w:val="false"/>
          <w:i w:val="false"/>
          <w:iCs w:val="false"/>
          <w:sz w:val="22"/>
          <w:szCs w:val="22"/>
        </w:rPr>
        <w:t xml:space="preserve">Para una explotación comercial real, las necesidades de financiación se concentran en costes recurrentes mensuales y un capital inicial reducido. El detalle se desarrolla en el apartado 4.4.2 ‘Valoración económica’.</w:t>
      </w:r>
    </w:p>
    <w:p>
      <w:pPr>
        <w:pStyle w:val="Heading3"/>
        <w:spacing w:after="120" w:before="220"/>
      </w:pPr>
      <w:r>
        <w:rPr>
          <w:b/>
          <w:bCs/>
          <w:color w:val="1A1A1A"/>
          <w:sz w:val="24"/>
          <w:szCs w:val="24"/>
        </w:rPr>
        <w:t xml:space="preserve">Escenario 3: escalado (12 meses)</w:t>
      </w:r>
    </w:p>
    <w:p>
      <w:pPr>
        <w:spacing w:after="80" w:before="80" w:line="320"/>
        <w:jc w:val="both"/>
      </w:pPr>
      <w:r>
        <w:rPr>
          <w:b w:val="false"/>
          <w:bCs w:val="false"/>
          <w:i w:val="false"/>
          <w:iCs w:val="false"/>
          <w:sz w:val="22"/>
          <w:szCs w:val="22"/>
        </w:rPr>
        <w:t xml:space="preserve">Si la base de clientes superase los diez inquilinos simultáneos, sería necesario migrar Render y Supabase a planes Pro y contratar un servicio de monitorización (Sentry, Better Stack), con un coste estimado entre 200 € y 400 € mensuales. La financiación podría obtenerse vía préstamo participativo ENISA Jóvenes Emprendedores —descrito en el apartado 2.3 ‘Posibles ayudas o subvenciones’— sin necesidad de aportar avales personales.</w:t>
      </w:r>
    </w:p>
    <w:p>
      <w:pPr>
        <w:spacing w:after="60" w:before="60"/>
      </w:pPr>
      <w:r>
        <w:t xml:space="preserve"/>
      </w:r>
    </w:p>
    <w:p>
      <w:pPr>
        <w:spacing w:after="80" w:before="80" w:line="320"/>
        <w:jc w:val="both"/>
      </w:pPr>
      <w:r>
        <w:rPr>
          <w:b w:val="false"/>
          <w:bCs w:val="false"/>
          <w:i w:val="false"/>
          <w:iCs w:val="false"/>
          <w:sz w:val="22"/>
          <w:szCs w:val="22"/>
        </w:rPr>
        <w:t xml:space="preserve">Conclusión: el proyecto ha sido diseñado deliberadamente con coste de explotación bajo. La inversión inicial necesaria para pasar de prototipo a producto comercial no supera los 1 500 € en el primer año, lo que lo sitúa por debajo del umbral mínimo de cualquier programa de subvención y permite el bootstrapping con recursos propios del emprendedor.</w:t>
      </w:r>
    </w:p>
    <w:p>
      <w:r>
        <w:br w:type="page"/>
      </w:r>
    </w:p>
    <w:p>
      <w:pPr>
        <w:pStyle w:val="Heading1"/>
        <w:spacing w:after="200" w:before="360"/>
      </w:pPr>
      <w:r>
        <w:rPr>
          <w:b/>
          <w:bCs/>
          <w:color w:val="1A1A1A"/>
          <w:sz w:val="32"/>
          <w:szCs w:val="32"/>
        </w:rPr>
        <w:t xml:space="preserve">3.5 Planificación de la evaluación</w:t>
      </w:r>
    </w:p>
    <w:p>
      <w:pPr>
        <w:spacing w:after="80" w:before="80" w:line="320"/>
        <w:jc w:val="both"/>
      </w:pPr>
      <w:r>
        <w:rPr>
          <w:b w:val="false"/>
          <w:bCs w:val="false"/>
          <w:i w:val="false"/>
          <w:iCs w:val="false"/>
          <w:sz w:val="22"/>
          <w:szCs w:val="22"/>
        </w:rPr>
        <w:t xml:space="preserve">La evaluación del proyecto se planifica desde el inicio para garantizar que cada fase pueda contrastarse contra criterios objetivos. Se distinguen tres niveles de evaluación:</w:t>
      </w:r>
    </w:p>
    <w:p>
      <w:pPr>
        <w:pStyle w:val="Heading3"/>
        <w:spacing w:after="120" w:before="220"/>
      </w:pPr>
      <w:r>
        <w:rPr>
          <w:b/>
          <w:bCs/>
          <w:color w:val="1A1A1A"/>
          <w:sz w:val="24"/>
          <w:szCs w:val="24"/>
        </w:rPr>
        <w:t xml:space="preserve">Evaluación técnica</w:t>
      </w:r>
    </w:p>
    <w:p>
      <w:pPr>
        <w:spacing w:after="80" w:before="80" w:line="320"/>
        <w:jc w:val="both"/>
      </w:pPr>
      <w:r>
        <w:rPr>
          <w:b w:val="false"/>
          <w:bCs w:val="false"/>
          <w:i w:val="false"/>
          <w:iCs w:val="false"/>
          <w:sz w:val="22"/>
          <w:szCs w:val="22"/>
        </w:rPr>
        <w:t xml:space="preserve">Se realizará al cierre de cada hito mediante revisión de la rama protegida main del repositorio Git. Los criterios técnicos verificables son: ejecución sin errores en local y en producción, cobertura mínima de pruebas manuales sobre los flujos críticos (login, alta de cliente, alta de factura, subida de imagen) y validación del despliegue automático tras cada commit aceptado.</w:t>
      </w:r>
    </w:p>
    <w:p>
      <w:pPr>
        <w:pStyle w:val="Heading3"/>
        <w:spacing w:after="120" w:before="220"/>
      </w:pPr>
      <w:r>
        <w:rPr>
          <w:b/>
          <w:bCs/>
          <w:color w:val="1A1A1A"/>
          <w:sz w:val="24"/>
          <w:szCs w:val="24"/>
        </w:rPr>
        <w:t xml:space="preserve">Evaluación funcional</w:t>
      </w:r>
    </w:p>
    <w:p>
      <w:pPr>
        <w:spacing w:after="80" w:before="80" w:line="320"/>
        <w:jc w:val="both"/>
      </w:pPr>
      <w:r>
        <w:rPr>
          <w:b w:val="false"/>
          <w:bCs w:val="false"/>
          <w:i w:val="false"/>
          <w:iCs w:val="false"/>
          <w:sz w:val="22"/>
          <w:szCs w:val="22"/>
        </w:rPr>
        <w:t xml:space="preserve">Se efectuará mediante sesiones de validación con los usuarios piloto al cierre de cada módulo funcional. El indicador es la firma del responsable del negocio sobre un acta breve que recoja la conformidad con los requisitos previamente acordados o, en caso contrario, las desviaciones detectadas.</w:t>
      </w:r>
    </w:p>
    <w:p>
      <w:pPr>
        <w:pStyle w:val="Heading3"/>
        <w:spacing w:after="120" w:before="220"/>
      </w:pPr>
      <w:r>
        <w:rPr>
          <w:b/>
          <w:bCs/>
          <w:color w:val="1A1A1A"/>
          <w:sz w:val="24"/>
          <w:szCs w:val="24"/>
        </w:rPr>
        <w:t xml:space="preserve">Evaluación académica</w:t>
      </w:r>
    </w:p>
    <w:p>
      <w:pPr>
        <w:spacing w:after="80" w:before="80" w:line="320"/>
        <w:jc w:val="both"/>
      </w:pPr>
      <w:r>
        <w:rPr>
          <w:b w:val="false"/>
          <w:bCs w:val="false"/>
          <w:i w:val="false"/>
          <w:iCs w:val="false"/>
          <w:sz w:val="22"/>
          <w:szCs w:val="22"/>
        </w:rPr>
        <w:t xml:space="preserve">La realiza el tutor mediante revisiones quincenales de la memoria y del repositorio. Los criterios se basan en la rúbrica oficial del módulo de Proyecto del ciclo formativo: documentación, originalidad, dificultad técnica, defensa oral y respuesta al tribunal.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Hito</w:t>
            </w:r>
          </w:p>
        </w:tc>
        <w:tc>
          <w:tcPr>
            <w:tcW w:type="dxa" w:w="35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Indicador medible</w:t>
            </w:r>
          </w:p>
        </w:tc>
        <w:tc>
          <w:tcPr>
            <w:tcW w:type="dxa" w:w="34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Periodicidad</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Cierre de fase de análisis</w:t>
            </w:r>
          </w:p>
        </w:tc>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DAFO completo, 9 entidades en E/R, requisitos firmados</w:t>
            </w:r>
          </w:p>
        </w:tc>
        <w:tc>
          <w:tcPr>
            <w:tcW w:type="dxa" w:w="34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 vez (mes 1)</w:t>
            </w:r>
          </w:p>
        </w:tc>
      </w:tr>
      <w:tr>
        <w:tc>
          <w:tcPr>
            <w:tcW w:type="dxa" w:w="24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Cierre de cada módulo backend</w:t>
            </w:r>
          </w:p>
        </w:tc>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Endpoints documentados y probados, tests manuales en Postman superados</w:t>
            </w:r>
          </w:p>
        </w:tc>
        <w:tc>
          <w:tcPr>
            <w:tcW w:type="dxa" w:w="34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Por módulo</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Cierre de cada módulo frontend</w:t>
            </w:r>
          </w:p>
        </w:tc>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Validación de usabilidad por usuario piloto</w:t>
            </w:r>
          </w:p>
        </w:tc>
        <w:tc>
          <w:tcPr>
            <w:tcW w:type="dxa" w:w="34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Por módulo</w:t>
            </w:r>
          </w:p>
        </w:tc>
      </w:tr>
      <w:tr>
        <w:tc>
          <w:tcPr>
            <w:tcW w:type="dxa" w:w="24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Despliegue continuo</w:t>
            </w:r>
          </w:p>
        </w:tc>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Build verde en GitHub Actions, despliegue automático sin rollback</w:t>
            </w:r>
          </w:p>
        </w:tc>
        <w:tc>
          <w:tcPr>
            <w:tcW w:type="dxa" w:w="34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Cada commit a main</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Defensa final</w:t>
            </w:r>
          </w:p>
        </w:tc>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Memoria entregada, demo en vivo funcional, respuesta al tribunal</w:t>
            </w:r>
          </w:p>
        </w:tc>
        <w:tc>
          <w:tcPr>
            <w:tcW w:type="dxa" w:w="34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Final del proyecto</w:t>
            </w:r>
          </w:p>
        </w:tc>
      </w:tr>
    </w:tbl>
    <w:p>
      <w:r>
        <w:br w:type="page"/>
      </w:r>
    </w:p>
    <w:p>
      <w:pPr>
        <w:pStyle w:val="Heading1"/>
        <w:spacing w:after="200" w:before="360"/>
      </w:pPr>
      <w:r>
        <w:rPr>
          <w:b/>
          <w:bCs/>
          <w:color w:val="1A1A1A"/>
          <w:sz w:val="32"/>
          <w:szCs w:val="32"/>
        </w:rPr>
        <w:t xml:space="preserve">3.6.1 Documentación necesaria para su diseño</w:t>
      </w:r>
    </w:p>
    <w:p>
      <w:pPr>
        <w:spacing w:after="80" w:before="80" w:line="320"/>
        <w:jc w:val="both"/>
      </w:pPr>
      <w:r>
        <w:rPr>
          <w:b w:val="false"/>
          <w:bCs w:val="false"/>
          <w:i w:val="false"/>
          <w:iCs w:val="false"/>
          <w:sz w:val="22"/>
          <w:szCs w:val="22"/>
        </w:rPr>
        <w:t xml:space="preserve">Antes de redactar la documentación final del proyecto, se han identificado los documentos previos que es necesario disponer o consultar para garantizar el rigor técnico y legal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Documento previo</w:t>
            </w:r>
          </w:p>
        </w:tc>
        <w:tc>
          <w:tcPr>
            <w:tcW w:type="dxa" w:w="58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Justificación</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Reglamento (UE) 2016/679 (RGPD) y LOPDGDD</w:t>
            </w:r>
          </w:p>
        </w:tc>
        <w:tc>
          <w:tcPr>
            <w:tcW w:type="dxa" w:w="58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Base legal para redactar la política de privacidad y el registro de actividades de tratamiento.</w:t>
            </w:r>
          </w:p>
        </w:tc>
      </w:tr>
      <w:tr>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Especificación OpenAPI 3.0</w:t>
            </w:r>
          </w:p>
        </w:tc>
        <w:tc>
          <w:tcPr>
            <w:tcW w:type="dxa" w:w="58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Estándar para documentar endpoints REST.</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Documentación oficial de Vercel, Render y Supabase</w:t>
            </w:r>
          </w:p>
        </w:tc>
        <w:tc>
          <w:tcPr>
            <w:tcW w:type="dxa" w:w="58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Base para redactar el manual de despliegue (anexo A).</w:t>
            </w:r>
          </w:p>
        </w:tc>
      </w:tr>
      <w:tr>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RFC 7519 (JSON Web Token) y FIPS 197 (AES)</w:t>
            </w:r>
          </w:p>
        </w:tc>
        <w:tc>
          <w:tcPr>
            <w:tcW w:type="dxa" w:w="58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Referencia técnica para la documentación de seguridad.</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OWASP Top 10 (2021)</w:t>
            </w:r>
          </w:p>
        </w:tc>
        <w:tc>
          <w:tcPr>
            <w:tcW w:type="dxa" w:w="58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Listado de amenazas que la documentación de seguridad debe cubrir explícitamente.</w:t>
            </w:r>
          </w:p>
        </w:tc>
      </w:tr>
      <w:tr>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Plantillas de pliego de condiciones del Ministerio de Asuntos Económicos</w:t>
            </w:r>
          </w:p>
        </w:tc>
        <w:tc>
          <w:tcPr>
            <w:tcW w:type="dxa" w:w="58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Referencia para redactar el pliego de condiciones del proyecto.</w:t>
            </w:r>
          </w:p>
        </w:tc>
      </w:tr>
    </w:tbl>
    <w:p>
      <w:pPr>
        <w:spacing w:after="60" w:before="60"/>
      </w:pPr>
      <w:r>
        <w:t xml:space="preserve"/>
      </w:r>
    </w:p>
    <w:p>
      <w:pPr>
        <w:spacing w:after="80" w:before="80" w:line="320"/>
        <w:jc w:val="both"/>
      </w:pPr>
      <w:r>
        <w:rPr>
          <w:b w:val="false"/>
          <w:bCs w:val="false"/>
          <w:i w:val="false"/>
          <w:iCs w:val="false"/>
          <w:sz w:val="22"/>
          <w:szCs w:val="22"/>
        </w:rPr>
        <w:t xml:space="preserve">Sobre esa base se diseñará la documentación final del producto, estructurada en cuatro entregables:</w:t>
      </w:r>
    </w:p>
    <w:p>
      <w:pPr>
        <w:pStyle w:val="ListParagraph"/>
        <w:numPr>
          <w:ilvl w:val="0"/>
          <w:numId w:val="2"/>
        </w:numPr>
        <w:spacing w:after="60" w:before="60" w:line="300"/>
      </w:pPr>
      <w:r>
        <w:rPr>
          <w:sz w:val="22"/>
          <w:szCs w:val="22"/>
        </w:rPr>
        <w:t xml:space="preserve">Manual de despliegue (Anexo A): instrucciones reproducibles paso a paso para clonar el repositorio, configurar variables de entorno y desplegar en Vercel, Render y Supabase.</w:t>
      </w:r>
    </w:p>
    <w:p>
      <w:pPr>
        <w:pStyle w:val="ListParagraph"/>
        <w:numPr>
          <w:ilvl w:val="0"/>
          <w:numId w:val="2"/>
        </w:numPr>
        <w:spacing w:after="60" w:before="60" w:line="300"/>
      </w:pPr>
      <w:r>
        <w:rPr>
          <w:sz w:val="22"/>
          <w:szCs w:val="22"/>
        </w:rPr>
        <w:t xml:space="preserve">Esquema de base de datos (Anexo B): scripts CREATE TABLE de las nueve entidades del modelo E/R.</w:t>
      </w:r>
    </w:p>
    <w:p>
      <w:pPr>
        <w:pStyle w:val="ListParagraph"/>
        <w:numPr>
          <w:ilvl w:val="0"/>
          <w:numId w:val="2"/>
        </w:numPr>
        <w:spacing w:after="60" w:before="60" w:line="300"/>
      </w:pPr>
      <w:r>
        <w:rPr>
          <w:sz w:val="22"/>
          <w:szCs w:val="22"/>
        </w:rPr>
        <w:t xml:space="preserve">Manual de usuario (Anexo C): guía visual con capturas reales de la aplicación, dirigida al cliente final.</w:t>
      </w:r>
    </w:p>
    <w:p>
      <w:pPr>
        <w:pStyle w:val="ListParagraph"/>
        <w:numPr>
          <w:ilvl w:val="0"/>
          <w:numId w:val="2"/>
        </w:numPr>
        <w:spacing w:after="60" w:before="60" w:line="300"/>
      </w:pPr>
      <w:r>
        <w:rPr>
          <w:sz w:val="22"/>
          <w:szCs w:val="22"/>
        </w:rPr>
        <w:t xml:space="preserve">Documentación de API (OpenAPI): generada automáticamente desde anotaciones del código backend.</w:t>
      </w:r>
    </w:p>
    <w:p>
      <w:r>
        <w:br w:type="page"/>
      </w:r>
    </w:p>
    <w:p>
      <w:pPr>
        <w:pStyle w:val="Heading1"/>
        <w:spacing w:after="200" w:before="360"/>
      </w:pPr>
      <w:r>
        <w:rPr>
          <w:b/>
          <w:bCs/>
          <w:color w:val="1A1A1A"/>
          <w:sz w:val="32"/>
          <w:szCs w:val="32"/>
        </w:rPr>
        <w:t xml:space="preserve">3.7.1 Aspectos que se deben controlar para garantizar la calidad del proyecto</w:t>
      </w:r>
    </w:p>
    <w:p>
      <w:pPr>
        <w:spacing w:after="80" w:before="80" w:line="320"/>
        <w:jc w:val="both"/>
      </w:pPr>
      <w:r>
        <w:rPr>
          <w:b w:val="false"/>
          <w:bCs w:val="false"/>
          <w:i w:val="false"/>
          <w:iCs w:val="false"/>
          <w:sz w:val="22"/>
          <w:szCs w:val="22"/>
        </w:rPr>
        <w:t xml:space="preserve">La calidad del producto entregado se controla a través de cinco dimensiones complementarias. Cada dimensión cuenta con un mecanismo de verificación durante el desarrollo y otro durante la fase de soporte post-entrega.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Dimensión</w:t>
            </w:r>
          </w:p>
        </w:tc>
        <w:tc>
          <w:tcPr>
            <w:tcW w:type="dxa" w:w="35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Control durante desarrollo</w:t>
            </w:r>
          </w:p>
        </w:tc>
        <w:tc>
          <w:tcPr>
            <w:tcW w:type="dxa" w:w="34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Control durante soporte</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Funcionalidad</w:t>
            </w:r>
          </w:p>
        </w:tc>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Pruebas manuales por módulo y validación con usuario piloto</w:t>
            </w:r>
          </w:p>
        </w:tc>
        <w:tc>
          <w:tcPr>
            <w:tcW w:type="dxa" w:w="34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Sistema de tickets en GitHub Issues</w:t>
            </w:r>
          </w:p>
        </w:tc>
      </w:tr>
      <w:tr>
        <w:tc>
          <w:tcPr>
            <w:tcW w:type="dxa" w:w="24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Rendimiento</w:t>
            </w:r>
          </w:p>
        </w:tc>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Auditoría Lighthouse en cada despliegue (target ≥ 90)</w:t>
            </w:r>
          </w:p>
        </w:tc>
        <w:tc>
          <w:tcPr>
            <w:tcW w:type="dxa" w:w="34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Monitor de tiempos de respuesta vía métricas Render/Vercel</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Seguridad</w:t>
            </w:r>
          </w:p>
        </w:tc>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Cabeceras Helmet, validación Zod, AES-256 datos sensibles, dependabot</w:t>
            </w:r>
          </w:p>
        </w:tc>
        <w:tc>
          <w:tcPr>
            <w:tcW w:type="dxa" w:w="34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Auditorías periódicas npm audit, parches mensuales</w:t>
            </w:r>
          </w:p>
        </w:tc>
      </w:tr>
      <w:tr>
        <w:tc>
          <w:tcPr>
            <w:tcW w:type="dxa" w:w="24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Usabilidad</w:t>
            </w:r>
          </w:p>
        </w:tc>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Sesiones de prueba con usuario piloto y revisión heurística Nielsen</w:t>
            </w:r>
          </w:p>
        </w:tc>
        <w:tc>
          <w:tcPr>
            <w:tcW w:type="dxa" w:w="34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Encuesta SUS post-implantación</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Disponibilidad</w:t>
            </w:r>
          </w:p>
        </w:tc>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Health-checks Render, status page interno</w:t>
            </w:r>
          </w:p>
        </w:tc>
        <w:tc>
          <w:tcPr>
            <w:tcW w:type="dxa" w:w="34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SLA documentado del 99 % mensual</w:t>
            </w:r>
          </w:p>
        </w:tc>
      </w:tr>
    </w:tbl>
    <w:p>
      <w:pPr>
        <w:spacing w:after="60" w:before="60"/>
      </w:pPr>
      <w:r>
        <w:t xml:space="preserve"/>
      </w:r>
    </w:p>
    <w:p>
      <w:pPr>
        <w:spacing w:after="80" w:before="80" w:line="320"/>
        <w:jc w:val="both"/>
      </w:pPr>
      <w:r>
        <w:rPr>
          <w:b w:val="false"/>
          <w:bCs w:val="false"/>
          <w:i w:val="false"/>
          <w:iCs w:val="false"/>
          <w:sz w:val="22"/>
          <w:szCs w:val="22"/>
        </w:rPr>
        <w:t xml:space="preserve">Adicionalmente, se ofrece atención al cliente en tres canales: correo electrónico de soporte con respuesta en 24 horas, formulario de incidencias dentro del propio panel y línea telefónica directa para incidencias críticas durante horario comercial. Esta atención se ofrece durante los doce meses posteriores a la implantación; transcurrido ese periodo se requiere contrato de mantenimiento.</w:t>
      </w:r>
    </w:p>
    <w:p>
      <w:r>
        <w:br w:type="page"/>
      </w:r>
    </w:p>
    <w:p>
      <w:pPr>
        <w:pStyle w:val="Heading1"/>
        <w:spacing w:after="200" w:before="360"/>
      </w:pPr>
      <w:r>
        <w:rPr>
          <w:b/>
          <w:bCs/>
          <w:color w:val="1A1A1A"/>
          <w:sz w:val="32"/>
          <w:szCs w:val="32"/>
        </w:rPr>
        <w:t xml:space="preserve">4.1.3 Necesidades de permisos y autorizaciones para llevar a cabo las tareas</w:t>
      </w:r>
    </w:p>
    <w:p>
      <w:pPr>
        <w:spacing w:after="80" w:before="80" w:line="320"/>
        <w:jc w:val="both"/>
      </w:pPr>
      <w:r>
        <w:rPr>
          <w:b w:val="false"/>
          <w:bCs w:val="false"/>
          <w:i w:val="false"/>
          <w:iCs w:val="false"/>
          <w:sz w:val="22"/>
          <w:szCs w:val="22"/>
        </w:rPr>
        <w:t xml:space="preserve">El tratamiento de datos personales por parte de Boutique &amp; Market obliga a obtener permisos formales y a articular relaciones jurídicas que garanticen el cumplimiento del marco RGPD-LOPDGDD. Se distinguen tres bloques de autorizaciones.</w:t>
      </w:r>
    </w:p>
    <w:p>
      <w:pPr>
        <w:pStyle w:val="Heading3"/>
        <w:spacing w:after="120" w:before="220"/>
      </w:pPr>
      <w:r>
        <w:rPr>
          <w:b/>
          <w:bCs/>
          <w:color w:val="1A1A1A"/>
          <w:sz w:val="24"/>
          <w:szCs w:val="24"/>
        </w:rPr>
        <w:t xml:space="preserve">Permisos en el ámbito de la protección de datos</w:t>
      </w:r>
    </w:p>
    <w:p>
      <w:pPr>
        <w:spacing w:after="80" w:before="80" w:line="320"/>
        <w:jc w:val="both"/>
      </w:pPr>
      <w:r>
        <w:rPr>
          <w:b w:val="false"/>
          <w:bCs w:val="false"/>
          <w:i w:val="false"/>
          <w:iCs w:val="false"/>
          <w:sz w:val="22"/>
          <w:szCs w:val="22"/>
        </w:rPr>
        <w:t xml:space="preserve">El desarrollador actúa como Encargado del Tratamiento (artículo 28 RGPD) en la relación con cada empresa inquilina, que ostenta la condición de Responsable del Tratamiento. Esta relación debe formalizarse mediante un Contrato de Encargado del Tratamiento (CET) firmado entre ambas partes antes de cualquier carga de datos reales en producción. El contrato fija las medidas técnicas y organizativas, el plazo de conservación, el régimen de subencargos (Render, Supabase, Vercel) y el procedimiento de notificación de brechas a la Agencia Española de Protección de Datos en el plazo de setenta y dos horas.</w:t>
      </w:r>
    </w:p>
    <w:p>
      <w:pPr>
        <w:spacing w:after="80" w:before="80" w:line="320"/>
        <w:jc w:val="both"/>
      </w:pPr>
      <w:r>
        <w:rPr>
          <w:b w:val="false"/>
          <w:bCs w:val="false"/>
          <w:i w:val="false"/>
          <w:iCs w:val="false"/>
          <w:sz w:val="22"/>
          <w:szCs w:val="22"/>
        </w:rPr>
        <w:t xml:space="preserve">No es necesario solicitar autorización previa a la AEPD para iniciar el tratamiento, dado que el RGPD eliminó el requisito de inscripción de ficheros. Sin embargo, sí es obligatorio mantener un Registro de Actividades de Tratamiento (artículo 30 RGPD), redactar una Política de Privacidad accesible desde la aplicación y obtener el consentimiento explícito de los usuarios finales cuando proceda.</w:t>
      </w:r>
    </w:p>
    <w:p>
      <w:pPr>
        <w:pStyle w:val="Heading3"/>
        <w:spacing w:after="120" w:before="220"/>
      </w:pPr>
      <w:r>
        <w:rPr>
          <w:b/>
          <w:bCs/>
          <w:color w:val="1A1A1A"/>
          <w:sz w:val="24"/>
          <w:szCs w:val="24"/>
        </w:rPr>
        <w:t xml:space="preserve">Permisos en el ámbito comercial</w:t>
      </w:r>
    </w:p>
    <w:p>
      <w:pPr>
        <w:spacing w:after="80" w:before="80" w:line="320"/>
        <w:jc w:val="both"/>
      </w:pPr>
      <w:r>
        <w:rPr>
          <w:b w:val="false"/>
          <w:bCs w:val="false"/>
          <w:i w:val="false"/>
          <w:iCs w:val="false"/>
          <w:sz w:val="22"/>
          <w:szCs w:val="22"/>
        </w:rPr>
        <w:t xml:space="preserve">La explotación comercial del producto requiere el alta del desarrollador en el Régimen Especial de Trabajadores Autónomos (RETA) o la constitución de una sociedad mercantil. Asimismo, se debe declarar la actividad ante la Agencia Tributaria mediante el modelo 036 o 037, indicando el epígrafe IAE 763 ‘Programación informática’.</w:t>
      </w:r>
    </w:p>
    <w:p>
      <w:pPr>
        <w:pStyle w:val="Heading3"/>
        <w:spacing w:after="120" w:before="220"/>
      </w:pPr>
      <w:r>
        <w:rPr>
          <w:b/>
          <w:bCs/>
          <w:color w:val="1A1A1A"/>
          <w:sz w:val="24"/>
          <w:szCs w:val="24"/>
        </w:rPr>
        <w:t xml:space="preserve">Permisos sobre infraestructuras de terceros</w:t>
      </w:r>
    </w:p>
    <w:p>
      <w:pPr>
        <w:spacing w:after="80" w:before="80" w:line="320"/>
        <w:jc w:val="both"/>
      </w:pPr>
      <w:r>
        <w:rPr>
          <w:b w:val="false"/>
          <w:bCs w:val="false"/>
          <w:i w:val="false"/>
          <w:iCs w:val="false"/>
          <w:sz w:val="22"/>
          <w:szCs w:val="22"/>
        </w:rPr>
        <w:t xml:space="preserve">Las plataformas cloud utilizadas (Vercel, Render, Supabase) operan bajo sus propias condiciones de servicio. Su uso se autoriza mediante la aceptación de los Términos de Servicio en el momento del registro de la cuenta. Adicionalmente, las tres compañías ofrecen DPA (Data Processing Agreement) con cláusulas estándar de transferencias internacionales conforme al RGPD, que han sido revisadas y aceptadas durante la fase de despliegue.</w:t>
      </w:r>
    </w:p>
    <w:p>
      <w:pPr>
        <w:spacing w:after="60" w:before="60"/>
      </w:pPr>
      <w:r>
        <w:t xml:space="preserve"/>
      </w:r>
    </w:p>
    <w:p>
      <w:pPr>
        <w:spacing w:after="80" w:before="80" w:line="320"/>
        <w:jc w:val="both"/>
      </w:pPr>
      <w:r>
        <w:rPr>
          <w:b w:val="false"/>
          <w:bCs w:val="false"/>
          <w:i w:val="false"/>
          <w:iCs w:val="false"/>
          <w:sz w:val="22"/>
          <w:szCs w:val="22"/>
        </w:rPr>
        <w:t xml:space="preserve">La gran mayoría de las tareas operativas no requieren autorización adicional. El desarrollo, las pruebas internas y el despliegue se realizan sobre cuentas y entornos propios sin involucrar a terceros.</w:t>
      </w:r>
    </w:p>
    <w:p>
      <w:r>
        <w:br w:type="page"/>
      </w:r>
    </w:p>
    <w:p>
      <w:pPr>
        <w:pStyle w:val="Heading1"/>
        <w:spacing w:after="200" w:before="360"/>
      </w:pPr>
      <w:r>
        <w:rPr>
          <w:b/>
          <w:bCs/>
          <w:color w:val="1A1A1A"/>
          <w:sz w:val="32"/>
          <w:szCs w:val="32"/>
        </w:rPr>
        <w:t xml:space="preserve">4.3.1 Riesgos del proyecto y plan de prevención</w:t>
      </w:r>
    </w:p>
    <w:p>
      <w:pPr>
        <w:spacing w:after="80" w:before="80" w:line="320"/>
        <w:jc w:val="both"/>
      </w:pPr>
      <w:r>
        <w:rPr>
          <w:b w:val="false"/>
          <w:bCs w:val="false"/>
          <w:i w:val="false"/>
          <w:iCs w:val="false"/>
          <w:sz w:val="22"/>
          <w:szCs w:val="22"/>
        </w:rPr>
        <w:t xml:space="preserve">Más allá de las amenazas de seguridad informática (cubiertas en el apartado 4.7 mediante el modelo STRIDE), todo proyecto de desarrollo software está expuesto a riesgos organizativos y técnicos que pueden comprometer la entrega en plazo, en alcance o en calidad. Se identifican a continuación los principales riesgos del proyecto y las medidas de prevención y contingencia adoptadas.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4000"/>
      </w:tblGrid>
      <w:tr>
        <w:trPr>
          <w:tblHeader/>
        </w:trPr>
        <w:tc>
          <w:tcPr>
            <w:tcW w:type="dxa" w:w="24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Riesgo</w:t>
            </w:r>
          </w:p>
        </w:tc>
        <w:tc>
          <w:tcPr>
            <w:tcW w:type="dxa" w:w="15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Probabilidad</w:t>
            </w:r>
          </w:p>
        </w:tc>
        <w:tc>
          <w:tcPr>
            <w:tcW w:type="dxa" w:w="15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Impacto</w:t>
            </w:r>
          </w:p>
        </w:tc>
        <w:tc>
          <w:tcPr>
            <w:tcW w:type="dxa" w:w="4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Plan de prevención y contingencia</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Retraso en la entrega por subestimación de tareas</w:t>
            </w:r>
          </w:p>
        </w:tc>
        <w:tc>
          <w:tcPr>
            <w:tcW w:type="dxa" w:w="1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Media</w:t>
            </w:r>
          </w:p>
        </w:tc>
        <w:tc>
          <w:tcPr>
            <w:tcW w:type="dxa" w:w="1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Alto</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Cronograma con holguras del 20 %; revisión semanal del avance frente al Gantt; priorización de funcionalidades por valor.</w:t>
            </w:r>
          </w:p>
        </w:tc>
      </w:tr>
      <w:tr>
        <w:tc>
          <w:tcPr>
            <w:tcW w:type="dxa" w:w="24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Pérdida de código fuente</w:t>
            </w:r>
          </w:p>
        </w:tc>
        <w:tc>
          <w:tcPr>
            <w:tcW w:type="dxa" w:w="1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Baja</w:t>
            </w:r>
          </w:p>
        </w:tc>
        <w:tc>
          <w:tcPr>
            <w:tcW w:type="dxa" w:w="1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Crítico</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Repositorio Git remoto en GitHub con copia local; commits diarios; rama main protegida.</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Caída prolongada de un proveedor cloud</w:t>
            </w:r>
          </w:p>
        </w:tc>
        <w:tc>
          <w:tcPr>
            <w:tcW w:type="dxa" w:w="1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Baja</w:t>
            </w:r>
          </w:p>
        </w:tc>
        <w:tc>
          <w:tcPr>
            <w:tcW w:type="dxa" w:w="1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Alto</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Arquitectura desacoplada (Vercel + Render + Supabase): se puede migrar cada componente sin reescribir el resto. Backups diarios automáticos de Supabase exportables.</w:t>
            </w:r>
          </w:p>
        </w:tc>
      </w:tr>
      <w:tr>
        <w:tc>
          <w:tcPr>
            <w:tcW w:type="dxa" w:w="24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Cambios en los requisitos por parte del usuario piloto</w:t>
            </w:r>
          </w:p>
        </w:tc>
        <w:tc>
          <w:tcPr>
            <w:tcW w:type="dxa" w:w="1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Media</w:t>
            </w:r>
          </w:p>
        </w:tc>
        <w:tc>
          <w:tcPr>
            <w:tcW w:type="dxa" w:w="1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Medio</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Pliego de condiciones firmado al inicio; cambios posteriores se gestionan como nuevas iteraciones documentadas.</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Bloqueo técnico por desconocimiento de una tecnología</w:t>
            </w:r>
          </w:p>
        </w:tc>
        <w:tc>
          <w:tcPr>
            <w:tcW w:type="dxa" w:w="1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Media</w:t>
            </w:r>
          </w:p>
        </w:tc>
        <w:tc>
          <w:tcPr>
            <w:tcW w:type="dxa" w:w="1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Medio</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Tiempo reservado de spike (máximo 2 días) por cada nueva tecnología; alternativas técnicas pre-evaluadas en la fase de diseño.</w:t>
            </w:r>
          </w:p>
        </w:tc>
      </w:tr>
      <w:tr>
        <w:tc>
          <w:tcPr>
            <w:tcW w:type="dxa" w:w="24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Daño en el equipo de desarrollo</w:t>
            </w:r>
          </w:p>
        </w:tc>
        <w:tc>
          <w:tcPr>
            <w:tcW w:type="dxa" w:w="1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Baja</w:t>
            </w:r>
          </w:p>
        </w:tc>
        <w:tc>
          <w:tcPr>
            <w:tcW w:type="dxa" w:w="1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Crítico</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Equipo de respaldo (segundo portátil) y entorno reproducible vía Git + variables de entorno: el proyecto se reinstala en menos de una hora.</w:t>
            </w:r>
          </w:p>
        </w:tc>
      </w:tr>
      <w:tr>
        <w:tc>
          <w:tcPr>
            <w:tcW w:type="dxa" w:w="24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Lesiones ergonómicas</w:t>
            </w:r>
          </w:p>
        </w:tc>
        <w:tc>
          <w:tcPr>
            <w:tcW w:type="dxa" w:w="1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Media</w:t>
            </w:r>
          </w:p>
        </w:tc>
        <w:tc>
          <w:tcPr>
            <w:tcW w:type="dxa" w:w="1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Medio</w:t>
            </w:r>
          </w:p>
        </w:tc>
        <w:tc>
          <w:tcPr>
            <w:tcW w:type="dxa" w:w="4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Pausas activas, mobiliario regulable y aplicación de la regla 20-20-20 conforme al RD 488/1997.</w:t>
            </w:r>
          </w:p>
        </w:tc>
      </w:tr>
      <w:tr>
        <w:tc>
          <w:tcPr>
            <w:tcW w:type="dxa" w:w="24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Vulnerabilidad de seguridad descubierta tras el despliegue</w:t>
            </w:r>
          </w:p>
        </w:tc>
        <w:tc>
          <w:tcPr>
            <w:tcW w:type="dxa" w:w="1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Media</w:t>
            </w:r>
          </w:p>
        </w:tc>
        <w:tc>
          <w:tcPr>
            <w:tcW w:type="dxa" w:w="1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Alto</w:t>
            </w:r>
          </w:p>
        </w:tc>
        <w:tc>
          <w:tcPr>
            <w:tcW w:type="dxa" w:w="4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Dependabot activo en GitHub, npm audit semanal, ventana de 24 h para parchear vulnerabilidades altas y críticas.</w:t>
            </w:r>
          </w:p>
        </w:tc>
      </w:tr>
    </w:tbl>
    <w:p>
      <w:pPr>
        <w:spacing w:after="60" w:before="60"/>
      </w:pPr>
      <w:r>
        <w:t xml:space="preserve"/>
      </w:r>
    </w:p>
    <w:p>
      <w:pPr>
        <w:spacing w:after="80" w:before="80" w:line="320"/>
        <w:jc w:val="both"/>
      </w:pPr>
      <w:r>
        <w:rPr>
          <w:b w:val="false"/>
          <w:bCs w:val="false"/>
          <w:i w:val="false"/>
          <w:iCs w:val="false"/>
          <w:sz w:val="22"/>
          <w:szCs w:val="22"/>
        </w:rPr>
        <w:t xml:space="preserve">Los riesgos de seguridad informática (suplantación de identidad, manipulación de datos, fugas) están analizados de forma específica en el apartado 4.7 mediante el modelo de amenazas STRIDE.</w:t>
      </w:r>
    </w:p>
    <w:p>
      <w:r>
        <w:br w:type="page"/>
      </w:r>
    </w:p>
    <w:p>
      <w:pPr>
        <w:pStyle w:val="Heading1"/>
        <w:spacing w:after="200" w:before="360"/>
      </w:pPr>
      <w:r>
        <w:rPr>
          <w:b/>
          <w:bCs/>
          <w:color w:val="1A1A1A"/>
          <w:sz w:val="32"/>
          <w:szCs w:val="32"/>
        </w:rPr>
        <w:t xml:space="preserve">4.4.2 Valoración económica que da respuesta a las condiciones de ejecución del proyecto</w:t>
      </w:r>
    </w:p>
    <w:p>
      <w:pPr>
        <w:spacing w:after="80" w:before="80" w:line="320"/>
        <w:jc w:val="both"/>
      </w:pPr>
      <w:r>
        <w:rPr>
          <w:b w:val="false"/>
          <w:bCs w:val="false"/>
          <w:i w:val="false"/>
          <w:iCs w:val="false"/>
          <w:sz w:val="22"/>
          <w:szCs w:val="22"/>
        </w:rPr>
        <w:t xml:space="preserve">La valoración económica simula el coste real que tendría el proyecto si se ejecutara en condiciones de mercado. No se trata de elaborar un balance contable completo, sino de cuantificar los recursos materiales y humanos necesarios para llevar a cabo el desarrollo. La valoración se descompone en cuatro bloques: hardware, software, recursos humanos y costes operativos.</w:t>
      </w:r>
    </w:p>
    <w:p>
      <w:pPr>
        <w:pStyle w:val="Heading3"/>
        <w:spacing w:after="120" w:before="220"/>
      </w:pPr>
      <w:r>
        <w:rPr>
          <w:b/>
          <w:bCs/>
          <w:color w:val="1A1A1A"/>
          <w:sz w:val="24"/>
          <w:szCs w:val="24"/>
        </w:rPr>
        <w:t xml:space="preserve">Hardware (amortizado a 36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Concepto</w:t>
            </w:r>
          </w:p>
        </w:tc>
        <w:tc>
          <w:tcPr>
            <w:tcW w:type="dxa" w:w="18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PVP (€)</w:t>
            </w:r>
          </w:p>
        </w:tc>
        <w:tc>
          <w:tcPr>
            <w:tcW w:type="dxa" w:w="18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Amortización 3 meses (€)</w:t>
            </w:r>
          </w:p>
        </w:tc>
        <w:tc>
          <w:tcPr>
            <w:tcW w:type="dxa" w:w="22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Notas</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Portátil desarrollo i5/16GB/512SSD</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1 100,00</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91,67</w:t>
            </w:r>
          </w:p>
        </w:tc>
        <w:tc>
          <w:tcPr>
            <w:tcW w:type="dxa" w:w="22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Cuota proporcional</w:t>
            </w:r>
          </w:p>
        </w:tc>
      </w:tr>
      <w:tr>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Monitor 24″ FHD</w:t>
            </w:r>
          </w:p>
        </w:tc>
        <w:tc>
          <w:tcPr>
            <w:tcW w:type="dxa" w:w="18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180,00</w:t>
            </w:r>
          </w:p>
        </w:tc>
        <w:tc>
          <w:tcPr>
            <w:tcW w:type="dxa" w:w="18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15,00</w:t>
            </w:r>
          </w:p>
        </w:tc>
        <w:tc>
          <w:tcPr>
            <w:tcW w:type="dxa" w:w="22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Cuota proporcional</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Periféricos ergonómicos (teclado, ratón, silla)</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350,00</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29,17</w:t>
            </w:r>
          </w:p>
        </w:tc>
        <w:tc>
          <w:tcPr>
            <w:tcW w:type="dxa" w:w="22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Cuota proporcional</w:t>
            </w:r>
          </w:p>
        </w:tc>
      </w:tr>
      <w:tr>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Smartphone Android pruebas</w:t>
            </w:r>
          </w:p>
        </w:tc>
        <w:tc>
          <w:tcPr>
            <w:tcW w:type="dxa" w:w="18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250,00</w:t>
            </w:r>
          </w:p>
        </w:tc>
        <w:tc>
          <w:tcPr>
            <w:tcW w:type="dxa" w:w="18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20,83</w:t>
            </w:r>
          </w:p>
        </w:tc>
        <w:tc>
          <w:tcPr>
            <w:tcW w:type="dxa" w:w="22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Equipo personal reutilizado</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Subtotal hardware</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1 880,00</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156,67</w:t>
            </w:r>
          </w:p>
        </w:tc>
        <w:tc>
          <w:tcPr>
            <w:tcW w:type="dxa" w:w="22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w:t>
            </w:r>
          </w:p>
        </w:tc>
      </w:tr>
    </w:tbl>
    <w:p>
      <w:pPr>
        <w:spacing w:after="60" w:before="60"/>
      </w:pPr>
      <w:r>
        <w:t xml:space="preserve"/>
      </w:r>
    </w:p>
    <w:p>
      <w:pPr>
        <w:pStyle w:val="Heading3"/>
        <w:spacing w:after="120" w:before="220"/>
      </w:pPr>
      <w:r>
        <w:rPr>
          <w:b/>
          <w:bCs/>
          <w:color w:val="1A1A1A"/>
          <w:sz w:val="24"/>
          <w:szCs w:val="24"/>
        </w:rPr>
        <w:t xml:space="preserve">Software y servicios cloud durante 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Concepto</w:t>
            </w:r>
          </w:p>
        </w:tc>
        <w:tc>
          <w:tcPr>
            <w:tcW w:type="dxa" w:w="18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Coste mensual (€)</w:t>
            </w:r>
          </w:p>
        </w:tc>
        <w:tc>
          <w:tcPr>
            <w:tcW w:type="dxa" w:w="18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Coste 3 meses (€)</w:t>
            </w:r>
          </w:p>
        </w:tc>
        <w:tc>
          <w:tcPr>
            <w:tcW w:type="dxa" w:w="22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Plan utilizado</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Vercel — frontend</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0,00</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0,00</w:t>
            </w:r>
          </w:p>
        </w:tc>
        <w:tc>
          <w:tcPr>
            <w:tcW w:type="dxa" w:w="22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Hobby (free)</w:t>
            </w:r>
          </w:p>
        </w:tc>
      </w:tr>
      <w:tr>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Render — backend</w:t>
            </w:r>
          </w:p>
        </w:tc>
        <w:tc>
          <w:tcPr>
            <w:tcW w:type="dxa" w:w="18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0,00</w:t>
            </w:r>
          </w:p>
        </w:tc>
        <w:tc>
          <w:tcPr>
            <w:tcW w:type="dxa" w:w="18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0,00</w:t>
            </w:r>
          </w:p>
        </w:tc>
        <w:tc>
          <w:tcPr>
            <w:tcW w:type="dxa" w:w="22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Free tier</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Supabase — Boutique DB</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0,00</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0,00</w:t>
            </w:r>
          </w:p>
        </w:tc>
        <w:tc>
          <w:tcPr>
            <w:tcW w:type="dxa" w:w="22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Free tier</w:t>
            </w:r>
          </w:p>
        </w:tc>
      </w:tr>
      <w:tr>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Supabase — Santi DB</w:t>
            </w:r>
          </w:p>
        </w:tc>
        <w:tc>
          <w:tcPr>
            <w:tcW w:type="dxa" w:w="18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0,00</w:t>
            </w:r>
          </w:p>
        </w:tc>
        <w:tc>
          <w:tcPr>
            <w:tcW w:type="dxa" w:w="18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0,00</w:t>
            </w:r>
          </w:p>
        </w:tc>
        <w:tc>
          <w:tcPr>
            <w:tcW w:type="dxa" w:w="22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Free tier</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GitHub — repos privados</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0,00</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0,00</w:t>
            </w:r>
          </w:p>
        </w:tc>
        <w:tc>
          <w:tcPr>
            <w:tcW w:type="dxa" w:w="22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Cuenta personal</w:t>
            </w:r>
          </w:p>
        </w:tc>
      </w:tr>
      <w:tr>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Dominio personalizado (.es)</w:t>
            </w:r>
          </w:p>
        </w:tc>
        <w:tc>
          <w:tcPr>
            <w:tcW w:type="dxa" w:w="18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1,00</w:t>
            </w:r>
          </w:p>
        </w:tc>
        <w:tc>
          <w:tcPr>
            <w:tcW w:type="dxa" w:w="18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3,00</w:t>
            </w:r>
          </w:p>
        </w:tc>
        <w:tc>
          <w:tcPr>
            <w:tcW w:type="dxa" w:w="22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Anual prorrateado</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Subtotal software/cloud</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1,00</w:t>
            </w:r>
          </w:p>
        </w:tc>
        <w:tc>
          <w:tcPr>
            <w:tcW w:type="dxa" w:w="18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3,00</w:t>
            </w:r>
          </w:p>
        </w:tc>
        <w:tc>
          <w:tcPr>
            <w:tcW w:type="dxa" w:w="22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w:t>
            </w:r>
          </w:p>
        </w:tc>
      </w:tr>
    </w:tbl>
    <w:p>
      <w:pPr>
        <w:spacing w:after="60" w:before="60"/>
      </w:pPr>
      <w:r>
        <w:t xml:space="preserve"/>
      </w:r>
    </w:p>
    <w:p>
      <w:pPr>
        <w:pStyle w:val="Heading3"/>
        <w:spacing w:after="120" w:before="220"/>
      </w:pPr>
      <w:r>
        <w:rPr>
          <w:b/>
          <w:bCs/>
          <w:color w:val="1A1A1A"/>
          <w:sz w:val="24"/>
          <w:szCs w:val="24"/>
        </w:rPr>
        <w:t xml:space="preserve">Recursos humanos</w:t>
      </w:r>
    </w:p>
    <w:p>
      <w:pPr>
        <w:spacing w:after="80" w:before="80" w:line="320"/>
        <w:jc w:val="both"/>
      </w:pPr>
      <w:r>
        <w:rPr>
          <w:b w:val="false"/>
          <w:bCs w:val="false"/>
          <w:i w:val="false"/>
          <w:iCs w:val="false"/>
          <w:sz w:val="22"/>
          <w:szCs w:val="22"/>
        </w:rPr>
        <w:t xml:space="preserve">La cuantificación se basa en una jornada de ocho horas durante sesenta días laborables (tres meses), arrojando un total de 480 horas. Se aplican las tarifas de mercado vigentes en España en 2026 para perfiles full-stack junior y senior según la Encuesta Salarial de Stack Overflow y los datos de Manfred y Jobandtalent para Comunidad Valenciana.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300"/>
        <w:gridCol w:w="1300"/>
        <w:gridCol w:w="1960"/>
      </w:tblGrid>
      <w:tr>
        <w:trPr>
          <w:tblHeader/>
        </w:trPr>
        <w:tc>
          <w:tcPr>
            <w:tcW w:type="dxa" w:w="35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Perfil</w:t>
            </w:r>
          </w:p>
        </w:tc>
        <w:tc>
          <w:tcPr>
            <w:tcW w:type="dxa" w:w="13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Horas</w:t>
            </w:r>
          </w:p>
        </w:tc>
        <w:tc>
          <w:tcPr>
            <w:tcW w:type="dxa" w:w="13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€/h</w:t>
            </w:r>
          </w:p>
        </w:tc>
        <w:tc>
          <w:tcPr>
            <w:tcW w:type="dxa" w:w="13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Importe (€)</w:t>
            </w:r>
          </w:p>
        </w:tc>
        <w:tc>
          <w:tcPr>
            <w:tcW w:type="dxa" w:w="19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Justificación</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Análisis y diseño (perfil senior)</w:t>
            </w:r>
          </w:p>
        </w:tc>
        <w:tc>
          <w:tcPr>
            <w:tcW w:type="dxa" w:w="13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80</w:t>
            </w:r>
          </w:p>
        </w:tc>
        <w:tc>
          <w:tcPr>
            <w:tcW w:type="dxa" w:w="13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45</w:t>
            </w:r>
          </w:p>
        </w:tc>
        <w:tc>
          <w:tcPr>
            <w:tcW w:type="dxa" w:w="13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3 600,00</w:t>
            </w:r>
          </w:p>
        </w:tc>
        <w:tc>
          <w:tcPr>
            <w:tcW w:type="dxa" w:w="19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Arquitectura, modelo E/R, threat model</w:t>
            </w:r>
          </w:p>
        </w:tc>
      </w:tr>
      <w:tr>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Desarrollo backend (perfil mid)</w:t>
            </w:r>
          </w:p>
        </w:tc>
        <w:tc>
          <w:tcPr>
            <w:tcW w:type="dxa" w:w="13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180</w:t>
            </w:r>
          </w:p>
        </w:tc>
        <w:tc>
          <w:tcPr>
            <w:tcW w:type="dxa" w:w="13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32</w:t>
            </w:r>
          </w:p>
        </w:tc>
        <w:tc>
          <w:tcPr>
            <w:tcW w:type="dxa" w:w="13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5 760,00</w:t>
            </w:r>
          </w:p>
        </w:tc>
        <w:tc>
          <w:tcPr>
            <w:tcW w:type="dxa" w:w="19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API REST, multi-tenant, autenticación</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Desarrollo frontend (perfil mid)</w:t>
            </w:r>
          </w:p>
        </w:tc>
        <w:tc>
          <w:tcPr>
            <w:tcW w:type="dxa" w:w="13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140</w:t>
            </w:r>
          </w:p>
        </w:tc>
        <w:tc>
          <w:tcPr>
            <w:tcW w:type="dxa" w:w="13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30</w:t>
            </w:r>
          </w:p>
        </w:tc>
        <w:tc>
          <w:tcPr>
            <w:tcW w:type="dxa" w:w="13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4 200,00</w:t>
            </w:r>
          </w:p>
        </w:tc>
        <w:tc>
          <w:tcPr>
            <w:tcW w:type="dxa" w:w="19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Tailwind, Cropper, integración API</w:t>
            </w:r>
          </w:p>
        </w:tc>
      </w:tr>
      <w:tr>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Pruebas y despliegue (perfil mid)</w:t>
            </w:r>
          </w:p>
        </w:tc>
        <w:tc>
          <w:tcPr>
            <w:tcW w:type="dxa" w:w="13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50</w:t>
            </w:r>
          </w:p>
        </w:tc>
        <w:tc>
          <w:tcPr>
            <w:tcW w:type="dxa" w:w="13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32</w:t>
            </w:r>
          </w:p>
        </w:tc>
        <w:tc>
          <w:tcPr>
            <w:tcW w:type="dxa" w:w="13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1 600,00</w:t>
            </w:r>
          </w:p>
        </w:tc>
        <w:tc>
          <w:tcPr>
            <w:tcW w:type="dxa" w:w="19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CI/CD, validación, documentación</w:t>
            </w:r>
          </w:p>
        </w:tc>
      </w:tr>
      <w:tr>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Documentación (perfil junior)</w:t>
            </w:r>
          </w:p>
        </w:tc>
        <w:tc>
          <w:tcPr>
            <w:tcW w:type="dxa" w:w="13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30</w:t>
            </w:r>
          </w:p>
        </w:tc>
        <w:tc>
          <w:tcPr>
            <w:tcW w:type="dxa" w:w="13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22</w:t>
            </w:r>
          </w:p>
        </w:tc>
        <w:tc>
          <w:tcPr>
            <w:tcW w:type="dxa" w:w="13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660,00</w:t>
            </w:r>
          </w:p>
        </w:tc>
        <w:tc>
          <w:tcPr>
            <w:tcW w:type="dxa" w:w="19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Memoria, anexos</w:t>
            </w:r>
          </w:p>
        </w:tc>
      </w:tr>
      <w:tr>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Subtotal RR.HH.</w:t>
            </w:r>
          </w:p>
        </w:tc>
        <w:tc>
          <w:tcPr>
            <w:tcW w:type="dxa" w:w="13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480</w:t>
            </w:r>
          </w:p>
        </w:tc>
        <w:tc>
          <w:tcPr>
            <w:tcW w:type="dxa" w:w="13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w:t>
            </w:r>
          </w:p>
        </w:tc>
        <w:tc>
          <w:tcPr>
            <w:tcW w:type="dxa" w:w="13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15 820,00</w:t>
            </w:r>
          </w:p>
        </w:tc>
        <w:tc>
          <w:tcPr>
            <w:tcW w:type="dxa" w:w="19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w:t>
            </w:r>
          </w:p>
        </w:tc>
      </w:tr>
    </w:tbl>
    <w:p>
      <w:pPr>
        <w:spacing w:after="60" w:before="60"/>
      </w:pPr>
      <w:r>
        <w:t xml:space="preserve"/>
      </w:r>
    </w:p>
    <w:p>
      <w:pPr>
        <w:pStyle w:val="Heading3"/>
        <w:spacing w:after="120" w:before="220"/>
      </w:pPr>
      <w:r>
        <w:rPr>
          <w:b/>
          <w:bCs/>
          <w:color w:val="1A1A1A"/>
          <w:sz w:val="24"/>
          <w:szCs w:val="24"/>
        </w:rPr>
        <w:t xml:space="preserve">Coste total simulado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Concepto</w:t>
            </w:r>
          </w:p>
        </w:tc>
        <w:tc>
          <w:tcPr>
            <w:tcW w:type="dxa" w:w="43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Importe (€)</w:t>
            </w:r>
          </w:p>
        </w:tc>
      </w:tr>
      <w:tr>
        <w:tc>
          <w:tcPr>
            <w:tcW w:type="dxa" w:w="5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Hardware (amortización 3 meses)</w:t>
            </w:r>
          </w:p>
        </w:tc>
        <w:tc>
          <w:tcPr>
            <w:tcW w:type="dxa" w:w="4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156,67</w:t>
            </w:r>
          </w:p>
        </w:tc>
      </w:tr>
      <w:tr>
        <w:tc>
          <w:tcPr>
            <w:tcW w:type="dxa" w:w="5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Software y servicios cloud</w:t>
            </w:r>
          </w:p>
        </w:tc>
        <w:tc>
          <w:tcPr>
            <w:tcW w:type="dxa" w:w="4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3,00</w:t>
            </w:r>
          </w:p>
        </w:tc>
      </w:tr>
      <w:tr>
        <w:tc>
          <w:tcPr>
            <w:tcW w:type="dxa" w:w="5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Recursos humanos (480 h)</w:t>
            </w:r>
          </w:p>
        </w:tc>
        <w:tc>
          <w:tcPr>
            <w:tcW w:type="dxa" w:w="4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15 820,00</w:t>
            </w:r>
          </w:p>
        </w:tc>
      </w:tr>
      <w:tr>
        <w:tc>
          <w:tcPr>
            <w:tcW w:type="dxa" w:w="5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Total bruto</w:t>
            </w:r>
          </w:p>
        </w:tc>
        <w:tc>
          <w:tcPr>
            <w:tcW w:type="dxa" w:w="4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15 979,67</w:t>
            </w:r>
          </w:p>
        </w:tc>
      </w:tr>
      <w:tr>
        <w:tc>
          <w:tcPr>
            <w:tcW w:type="dxa" w:w="5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Margen de imprevistos (10 %)</w:t>
            </w:r>
          </w:p>
        </w:tc>
        <w:tc>
          <w:tcPr>
            <w:tcW w:type="dxa" w:w="4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1 597,97</w:t>
            </w:r>
          </w:p>
        </w:tc>
      </w:tr>
      <w:tr>
        <w:tc>
          <w:tcPr>
            <w:tcW w:type="dxa" w:w="5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TOTAL CON IMPREVISTOS</w:t>
            </w:r>
          </w:p>
        </w:tc>
        <w:tc>
          <w:tcPr>
            <w:tcW w:type="dxa" w:w="4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17 577,64</w:t>
            </w:r>
          </w:p>
        </w:tc>
      </w:tr>
    </w:tbl>
    <w:p>
      <w:pPr>
        <w:spacing w:after="60" w:before="60"/>
      </w:pPr>
      <w:r>
        <w:t xml:space="preserve"/>
      </w:r>
    </w:p>
    <w:p>
      <w:pPr>
        <w:pStyle w:val="Heading3"/>
        <w:spacing w:after="120" w:before="220"/>
      </w:pPr>
      <w:r>
        <w:rPr>
          <w:b/>
          <w:bCs/>
          <w:color w:val="1A1A1A"/>
          <w:sz w:val="24"/>
          <w:szCs w:val="24"/>
        </w:rPr>
        <w:t xml:space="preserve">Coste real asumido en el contexto académico</w:t>
      </w:r>
    </w:p>
    <w:p>
      <w:pPr>
        <w:spacing w:after="80" w:before="80" w:line="320"/>
        <w:jc w:val="both"/>
      </w:pPr>
      <w:r>
        <w:rPr>
          <w:b w:val="false"/>
          <w:bCs w:val="false"/>
          <w:i w:val="false"/>
          <w:iCs w:val="false"/>
          <w:sz w:val="22"/>
          <w:szCs w:val="22"/>
        </w:rPr>
        <w:t xml:space="preserve">En la ejecución académica el coste efectivo soportado por el alumno asciende a 3,00 € correspondientes al alquiler proporcional del dominio. Todo lo demás —hardware, software, planes cloud y horas de trabajo— se aporta en especie por parte del alumno y de los proveedores cloud, que ofrecen sus planes gratuitos sin restricciones funcionales relevantes para el alcance del TFG. La cifra de 17 577,64 € es por tanto un coste de oportunidad y referencia comercial, no un desembolso real.</w:t>
      </w:r>
    </w:p>
    <w:p>
      <w:pPr>
        <w:pStyle w:val="Heading3"/>
        <w:spacing w:after="120" w:before="220"/>
      </w:pPr>
      <w:r>
        <w:rPr>
          <w:b/>
          <w:bCs/>
          <w:color w:val="1A1A1A"/>
          <w:sz w:val="24"/>
          <w:szCs w:val="24"/>
        </w:rPr>
        <w:t xml:space="preserve">Coste mensual de explotación una vez en producción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rPr>
          <w:tblHeader/>
        </w:trPr>
        <w:tc>
          <w:tcPr>
            <w:tcW w:type="dxa" w:w="5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Concepto</w:t>
            </w:r>
          </w:p>
        </w:tc>
        <w:tc>
          <w:tcPr>
            <w:tcW w:type="dxa" w:w="22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€/mes</w:t>
            </w:r>
          </w:p>
        </w:tc>
        <w:tc>
          <w:tcPr>
            <w:tcW w:type="dxa" w:w="21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Anual (€)</w:t>
            </w:r>
          </w:p>
        </w:tc>
      </w:tr>
      <w:tr>
        <w:tc>
          <w:tcPr>
            <w:tcW w:type="dxa" w:w="5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Render Starter (backend)</w:t>
            </w:r>
          </w:p>
        </w:tc>
        <w:tc>
          <w:tcPr>
            <w:tcW w:type="dxa" w:w="22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7,00</w:t>
            </w:r>
          </w:p>
        </w:tc>
        <w:tc>
          <w:tcPr>
            <w:tcW w:type="dxa" w:w="21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84,00</w:t>
            </w:r>
          </w:p>
        </w:tc>
      </w:tr>
      <w:tr>
        <w:tc>
          <w:tcPr>
            <w:tcW w:type="dxa" w:w="5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Supabase Pro × 2 inquilinos</w:t>
            </w:r>
          </w:p>
        </w:tc>
        <w:tc>
          <w:tcPr>
            <w:tcW w:type="dxa" w:w="22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50,00</w:t>
            </w:r>
          </w:p>
        </w:tc>
        <w:tc>
          <w:tcPr>
            <w:tcW w:type="dxa" w:w="21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600,00</w:t>
            </w:r>
          </w:p>
        </w:tc>
      </w:tr>
      <w:tr>
        <w:tc>
          <w:tcPr>
            <w:tcW w:type="dxa" w:w="5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Vercel Pro (cuando justificado)</w:t>
            </w:r>
          </w:p>
        </w:tc>
        <w:tc>
          <w:tcPr>
            <w:tcW w:type="dxa" w:w="22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20,00</w:t>
            </w:r>
          </w:p>
        </w:tc>
        <w:tc>
          <w:tcPr>
            <w:tcW w:type="dxa" w:w="21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240,00</w:t>
            </w:r>
          </w:p>
        </w:tc>
      </w:tr>
      <w:tr>
        <w:tc>
          <w:tcPr>
            <w:tcW w:type="dxa" w:w="5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Dominio + correo profesional</w:t>
            </w:r>
          </w:p>
        </w:tc>
        <w:tc>
          <w:tcPr>
            <w:tcW w:type="dxa" w:w="22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3,00</w:t>
            </w:r>
          </w:p>
        </w:tc>
        <w:tc>
          <w:tcPr>
            <w:tcW w:type="dxa" w:w="21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36,00</w:t>
            </w:r>
          </w:p>
        </w:tc>
      </w:tr>
      <w:tr>
        <w:tc>
          <w:tcPr>
            <w:tcW w:type="dxa" w:w="5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Sentry (monitorización opcional)</w:t>
            </w:r>
          </w:p>
        </w:tc>
        <w:tc>
          <w:tcPr>
            <w:tcW w:type="dxa" w:w="22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26,00</w:t>
            </w:r>
          </w:p>
        </w:tc>
        <w:tc>
          <w:tcPr>
            <w:tcW w:type="dxa" w:w="21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312,00</w:t>
            </w:r>
          </w:p>
        </w:tc>
      </w:tr>
      <w:tr>
        <w:tc>
          <w:tcPr>
            <w:tcW w:type="dxa" w:w="5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Total operativo mensual</w:t>
            </w:r>
          </w:p>
        </w:tc>
        <w:tc>
          <w:tcPr>
            <w:tcW w:type="dxa" w:w="22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106,00</w:t>
            </w:r>
          </w:p>
        </w:tc>
        <w:tc>
          <w:tcPr>
            <w:tcW w:type="dxa" w:w="21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1 272,00</w:t>
            </w:r>
          </w:p>
        </w:tc>
      </w:tr>
    </w:tbl>
    <w:p>
      <w:pPr>
        <w:spacing w:after="60" w:before="60"/>
      </w:pPr>
      <w:r>
        <w:t xml:space="preserve"/>
      </w:r>
    </w:p>
    <w:p>
      <w:pPr>
        <w:spacing w:after="80" w:before="80" w:line="320"/>
        <w:jc w:val="both"/>
      </w:pPr>
      <w:r>
        <w:rPr>
          <w:b w:val="false"/>
          <w:bCs w:val="false"/>
          <w:i w:val="false"/>
          <w:iCs w:val="false"/>
          <w:sz w:val="22"/>
          <w:szCs w:val="22"/>
        </w:rPr>
        <w:t xml:space="preserve">El coste operativo mensual de 106 € se sitúa dentro de los márgenes del programa Kit Digital. Con dos clientes facturando una cuota mensual de 60 € se cubren los costes operativos; a partir del tercer cliente el proyecto entra en zona de beneficio.</w:t>
      </w:r>
    </w:p>
    <w:p>
      <w:r>
        <w:br w:type="page"/>
      </w:r>
    </w:p>
    <w:p>
      <w:pPr>
        <w:pStyle w:val="Heading1"/>
        <w:spacing w:after="200" w:before="360"/>
      </w:pPr>
      <w:r>
        <w:rPr>
          <w:b/>
          <w:bCs/>
          <w:color w:val="1A1A1A"/>
          <w:sz w:val="32"/>
          <w:szCs w:val="32"/>
        </w:rPr>
        <w:t xml:space="preserve">4.5.1 Documentación necesaria para la ejecución del proyecto</w:t>
      </w:r>
    </w:p>
    <w:p>
      <w:pPr>
        <w:spacing w:after="80" w:before="80" w:line="320"/>
        <w:jc w:val="both"/>
      </w:pPr>
      <w:r>
        <w:rPr>
          <w:b w:val="false"/>
          <w:bCs w:val="false"/>
          <w:i w:val="false"/>
          <w:iCs w:val="false"/>
          <w:sz w:val="22"/>
          <w:szCs w:val="22"/>
        </w:rPr>
        <w:t xml:space="preserve">Durante la ejecución se generan o consumen seis tipos de documentos clave, cuyo objetivo no es la entrega final, sino servir como base operativa del proyecto y como evidencia para los procesos de evaluación y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Documento</w:t>
            </w:r>
          </w:p>
        </w:tc>
        <w:tc>
          <w:tcPr>
            <w:tcW w:type="dxa" w:w="63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Función</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Pliego de condiciones inicial</w:t>
            </w:r>
          </w:p>
        </w:tc>
        <w:tc>
          <w:tcPr>
            <w:tcW w:type="dxa" w:w="6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Establece alcance, plazos y criterios de aceptación entre desarrollador y usuario piloto.</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Acta de hito</w:t>
            </w:r>
          </w:p>
        </w:tc>
        <w:tc>
          <w:tcPr>
            <w:tcW w:type="dxa" w:w="6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Registra el cierre formal de cada fase con la conformidad o reservas del usuario piloto.</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Bitácora de incidencias (GitHub Issues)</w:t>
            </w:r>
          </w:p>
        </w:tc>
        <w:tc>
          <w:tcPr>
            <w:tcW w:type="dxa" w:w="6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Registra fallos, mejoras solicitadas y bugs reportados durante el desarrollo.</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Diario de cambios (CHANGELOG.md)</w:t>
            </w:r>
          </w:p>
        </w:tc>
        <w:tc>
          <w:tcPr>
            <w:tcW w:type="dxa" w:w="6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Resumen versionado de los cambios entregados a producción.</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Informe quincenal al tutor</w:t>
            </w:r>
          </w:p>
        </w:tc>
        <w:tc>
          <w:tcPr>
            <w:tcW w:type="dxa" w:w="63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Resumen de avance, bloqueos y próximos pasos para la supervisión académica.</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Informe de retrospectiva final</w:t>
            </w:r>
          </w:p>
        </w:tc>
        <w:tc>
          <w:tcPr>
            <w:tcW w:type="dxa" w:w="63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Análisis crítico al cierre del proyecto: lo que funcionó, lo que no, lecciones aprendidas.</w:t>
            </w:r>
          </w:p>
        </w:tc>
      </w:tr>
    </w:tbl>
    <w:p>
      <w:pPr>
        <w:spacing w:after="60" w:before="60"/>
      </w:pPr>
      <w:r>
        <w:t xml:space="preserve"/>
      </w:r>
    </w:p>
    <w:p>
      <w:pPr>
        <w:spacing w:after="80" w:before="80" w:line="320"/>
        <w:jc w:val="both"/>
      </w:pPr>
      <w:r>
        <w:rPr>
          <w:b w:val="false"/>
          <w:bCs w:val="false"/>
          <w:i w:val="false"/>
          <w:iCs w:val="false"/>
          <w:sz w:val="22"/>
          <w:szCs w:val="22"/>
        </w:rPr>
        <w:t xml:space="preserve">Los informes quincenales y el informe de retrospectiva no se elaboran realmente durante la ejecución del TFG, pero se planifica el protocolo que se seguiría en un escenario profesional: una reunión cada catorce días, acta breve enviada por correo y archivada junto al pliego de condiciones.</w:t>
      </w:r>
    </w:p>
    <w:p>
      <w:r>
        <w:br w:type="page"/>
      </w:r>
    </w:p>
    <w:p>
      <w:pPr>
        <w:pStyle w:val="Heading1"/>
        <w:spacing w:after="200" w:before="360"/>
      </w:pPr>
      <w:r>
        <w:rPr>
          <w:b/>
          <w:bCs/>
          <w:color w:val="1A1A1A"/>
          <w:sz w:val="32"/>
          <w:szCs w:val="32"/>
        </w:rPr>
        <w:t xml:space="preserve">4.6.1 Procedimiento de evaluación de las actividades</w:t>
      </w:r>
    </w:p>
    <w:p>
      <w:pPr>
        <w:spacing w:after="80" w:before="80" w:line="320"/>
        <w:jc w:val="both"/>
      </w:pPr>
      <w:r>
        <w:rPr>
          <w:b w:val="false"/>
          <w:bCs w:val="false"/>
          <w:i w:val="false"/>
          <w:iCs w:val="false"/>
          <w:sz w:val="22"/>
          <w:szCs w:val="22"/>
        </w:rPr>
        <w:t xml:space="preserve">Cada tarea finalizada se somete a un procedimiento estructurado de evaluación antes de considerarse completa. El procedimiento simula el flujo que aplicaría un desarrollador senior sobre el trabajo de un junior y se compone de cinco pasos secuenciales:</w:t>
      </w:r>
    </w:p>
    <w:p>
      <w:pPr>
        <w:pStyle w:val="ListParagraph"/>
        <w:numPr>
          <w:ilvl w:val="0"/>
          <w:numId w:val="2"/>
        </w:numPr>
        <w:spacing w:after="60" w:before="60" w:line="300"/>
      </w:pPr>
      <w:r>
        <w:rPr>
          <w:sz w:val="22"/>
          <w:szCs w:val="22"/>
        </w:rPr>
        <w:t xml:space="preserve">Revisión de código (code review): la rama de desarrollo se mergea a main solo tras revisar diferencias en GitHub. Se verifica nomenclatura, tabulación, ausencia de console.log y consistencia con el estándar del proyecto.</w:t>
      </w:r>
    </w:p>
    <w:p>
      <w:pPr>
        <w:pStyle w:val="ListParagraph"/>
        <w:numPr>
          <w:ilvl w:val="0"/>
          <w:numId w:val="2"/>
        </w:numPr>
        <w:spacing w:after="60" w:before="60" w:line="300"/>
      </w:pPr>
      <w:r>
        <w:rPr>
          <w:sz w:val="22"/>
          <w:szCs w:val="22"/>
        </w:rPr>
        <w:t xml:space="preserve">Pruebas manuales del flujo: se ejecuta el flujo del usuario afectado por la tarea (login, alta, edición, borrado) y se contrasta el resultado contra el comportamiento esperado.</w:t>
      </w:r>
    </w:p>
    <w:p>
      <w:pPr>
        <w:pStyle w:val="ListParagraph"/>
        <w:numPr>
          <w:ilvl w:val="0"/>
          <w:numId w:val="2"/>
        </w:numPr>
        <w:spacing w:after="60" w:before="60" w:line="300"/>
      </w:pPr>
      <w:r>
        <w:rPr>
          <w:sz w:val="22"/>
          <w:szCs w:val="22"/>
        </w:rPr>
        <w:t xml:space="preserve">Verificación de seguridad: cabeceras Helmet, validación Zod activa, ausencia de claves hardcodeadas. Comprobado con npm audit y revisión manual del PR.</w:t>
      </w:r>
    </w:p>
    <w:p>
      <w:pPr>
        <w:pStyle w:val="ListParagraph"/>
        <w:numPr>
          <w:ilvl w:val="0"/>
          <w:numId w:val="2"/>
        </w:numPr>
        <w:spacing w:after="60" w:before="60" w:line="300"/>
      </w:pPr>
      <w:r>
        <w:rPr>
          <w:sz w:val="22"/>
          <w:szCs w:val="22"/>
        </w:rPr>
        <w:t xml:space="preserve">Despliegue a entorno de pruebas: la tarea se publica en una rama preview de Vercel y se realiza una prueba de humo antes de mergear.</w:t>
      </w:r>
    </w:p>
    <w:p>
      <w:pPr>
        <w:pStyle w:val="ListParagraph"/>
        <w:numPr>
          <w:ilvl w:val="0"/>
          <w:numId w:val="2"/>
        </w:numPr>
        <w:spacing w:after="60" w:before="60" w:line="300"/>
      </w:pPr>
      <w:r>
        <w:rPr>
          <w:sz w:val="22"/>
          <w:szCs w:val="22"/>
        </w:rPr>
        <w:t xml:space="preserve">Aceptación por el usuario piloto: cuando la tarea afecta al flujo del cliente, se obtiene confirmación verbal o escrita antes del cierre.</w:t>
      </w:r>
    </w:p>
    <w:p>
      <w:pPr>
        <w:spacing w:after="60" w:before="60"/>
      </w:pPr>
      <w:r>
        <w:t xml:space="preserve"/>
      </w:r>
    </w:p>
    <w:p>
      <w:pPr>
        <w:spacing w:after="80" w:before="80" w:line="320"/>
        <w:jc w:val="both"/>
      </w:pPr>
      <w:r>
        <w:rPr>
          <w:b w:val="false"/>
          <w:bCs w:val="false"/>
          <w:i w:val="false"/>
          <w:iCs w:val="false"/>
          <w:sz w:val="22"/>
          <w:szCs w:val="22"/>
        </w:rPr>
        <w:t xml:space="preserve">Si cualquiera de los cinco pasos falla, la tarea regresa al estado ‘en desarrollo’ y se documenta el motivo en GitHub Issues.</w:t>
      </w:r>
    </w:p>
    <w:p>
      <w:r>
        <w:br w:type="page"/>
      </w:r>
    </w:p>
    <w:p>
      <w:pPr>
        <w:pStyle w:val="Heading1"/>
        <w:spacing w:after="200" w:before="360"/>
      </w:pPr>
      <w:r>
        <w:rPr>
          <w:b/>
          <w:bCs/>
          <w:color w:val="1A1A1A"/>
          <w:sz w:val="32"/>
          <w:szCs w:val="32"/>
        </w:rPr>
        <w:t xml:space="preserve">4.6.2 Indicadores de calidad para la evaluación del proyecto</w:t>
      </w:r>
    </w:p>
    <w:p>
      <w:pPr>
        <w:spacing w:after="80" w:before="80" w:line="320"/>
        <w:jc w:val="both"/>
      </w:pPr>
      <w:r>
        <w:rPr>
          <w:b w:val="false"/>
          <w:bCs w:val="false"/>
          <w:i w:val="false"/>
          <w:iCs w:val="false"/>
          <w:sz w:val="22"/>
          <w:szCs w:val="22"/>
        </w:rPr>
        <w:t xml:space="preserve">Los indicadores de calidad establecidos para el proyecto son objetivos, medibles y verificables a posteriori. Se han elegido nueve indicadores agrupados en tres dimensiones: técnica, funcional y operativa.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Indicador</w:t>
            </w:r>
          </w:p>
        </w:tc>
        <w:tc>
          <w:tcPr>
            <w:tcW w:type="dxa" w:w="350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Dimensión</w:t>
            </w:r>
          </w:p>
        </w:tc>
        <w:tc>
          <w:tcPr>
            <w:tcW w:type="dxa" w:w="2860"/>
            <w:tcBorders>
              <w:top w:val="single" w:color="9AA0A6" w:sz="4"/>
              <w:left w:val="single" w:color="9AA0A6" w:sz="4"/>
              <w:bottom w:val="single" w:color="9AA0A6" w:sz="4"/>
              <w:right w:val="single" w:color="9AA0A6" w:sz="4"/>
            </w:tcBorders>
            <w:shd w:fill="1F4E79" w:val="clear"/>
            <w:tcMar>
              <w:top w:type="dxa" w:w="90"/>
              <w:left w:type="dxa" w:w="120"/>
              <w:bottom w:type="dxa" w:w="90"/>
              <w:right w:type="dxa" w:w="120"/>
            </w:tcMar>
          </w:tcPr>
          <w:p>
            <w:pPr>
              <w:jc w:val="center"/>
            </w:pPr>
            <w:r>
              <w:rPr>
                <w:b/>
                <w:bCs/>
                <w:color w:val="FFFFFF"/>
                <w:sz w:val="20"/>
                <w:szCs w:val="20"/>
              </w:rPr>
              <w:t xml:space="preserve">Umbral mínimo aceptable</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Auditoría Lighthouse (Performance)</w:t>
            </w:r>
          </w:p>
        </w:tc>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Técnica</w:t>
            </w:r>
          </w:p>
        </w:tc>
        <w:tc>
          <w:tcPr>
            <w:tcW w:type="dxa" w:w="28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 85 / 100</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Auditoría Lighthouse (Accesibilidad)</w:t>
            </w:r>
          </w:p>
        </w:tc>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Técnica</w:t>
            </w:r>
          </w:p>
        </w:tc>
        <w:tc>
          <w:tcPr>
            <w:tcW w:type="dxa" w:w="28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 90 / 100</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Auditoría Lighthouse (SEO)</w:t>
            </w:r>
          </w:p>
        </w:tc>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Técnica</w:t>
            </w:r>
          </w:p>
        </w:tc>
        <w:tc>
          <w:tcPr>
            <w:tcW w:type="dxa" w:w="28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 90 / 100</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Tiempo medio de respuesta API (p95)</w:t>
            </w:r>
          </w:p>
        </w:tc>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Técnica</w:t>
            </w:r>
          </w:p>
        </w:tc>
        <w:tc>
          <w:tcPr>
            <w:tcW w:type="dxa" w:w="28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&lt; 500 ms</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Vulnerabilidades altas/críticas (npm audit)</w:t>
            </w:r>
          </w:p>
        </w:tc>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Técnica</w:t>
            </w:r>
          </w:p>
        </w:tc>
        <w:tc>
          <w:tcPr>
            <w:tcW w:type="dxa" w:w="28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0</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Cobertura manual de flujos críticos</w:t>
            </w:r>
          </w:p>
        </w:tc>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Funcional</w:t>
            </w:r>
          </w:p>
        </w:tc>
        <w:tc>
          <w:tcPr>
            <w:tcW w:type="dxa" w:w="28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100 % flujos prioritarios</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Tareas cerradas con aceptación del usuario</w:t>
            </w:r>
          </w:p>
        </w:tc>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Funcional</w:t>
            </w:r>
          </w:p>
        </w:tc>
        <w:tc>
          <w:tcPr>
            <w:tcW w:type="dxa" w:w="28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 95 %</w:t>
            </w:r>
          </w:p>
        </w:tc>
      </w:tr>
      <w:tr>
        <w:tc>
          <w:tcPr>
            <w:tcW w:type="dxa" w:w="30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Disponibilidad mensual del backend</w:t>
            </w:r>
          </w:p>
        </w:tc>
        <w:tc>
          <w:tcPr>
            <w:tcW w:type="dxa" w:w="350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Operativa</w:t>
            </w:r>
          </w:p>
        </w:tc>
        <w:tc>
          <w:tcPr>
            <w:tcW w:type="dxa" w:w="2860"/>
            <w:tcBorders>
              <w:top w:val="single" w:color="9AA0A6" w:sz="4"/>
              <w:left w:val="single" w:color="9AA0A6" w:sz="4"/>
              <w:bottom w:val="single" w:color="9AA0A6" w:sz="4"/>
              <w:right w:val="single" w:color="9AA0A6" w:sz="4"/>
            </w:tcBorders>
            <w:shd w:fill="F8F9FA" w:val="clear"/>
            <w:tcMar>
              <w:top w:type="dxa" w:w="90"/>
              <w:left w:type="dxa" w:w="120"/>
              <w:bottom w:type="dxa" w:w="90"/>
              <w:right w:type="dxa" w:w="120"/>
            </w:tcMar>
          </w:tcPr>
          <w:p>
            <w:pPr>
              <w:jc w:val="left"/>
            </w:pPr>
            <w:r>
              <w:rPr>
                <w:b w:val="false"/>
                <w:bCs w:val="false"/>
                <w:color w:val="1A1A1A"/>
                <w:sz w:val="20"/>
                <w:szCs w:val="20"/>
              </w:rPr>
              <w:t xml:space="preserve">≥ 99 %</w:t>
            </w:r>
          </w:p>
        </w:tc>
      </w:tr>
      <w:tr>
        <w:tc>
          <w:tcPr>
            <w:tcW w:type="dxa" w:w="30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Despliegues con rollback automático</w:t>
            </w:r>
          </w:p>
        </w:tc>
        <w:tc>
          <w:tcPr>
            <w:tcW w:type="dxa" w:w="350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Operativa</w:t>
            </w:r>
          </w:p>
        </w:tc>
        <w:tc>
          <w:tcPr>
            <w:tcW w:type="dxa" w:w="2860"/>
            <w:tcBorders>
              <w:top w:val="single" w:color="9AA0A6" w:sz="4"/>
              <w:left w:val="single" w:color="9AA0A6" w:sz="4"/>
              <w:bottom w:val="single" w:color="9AA0A6" w:sz="4"/>
              <w:right w:val="single" w:color="9AA0A6" w:sz="4"/>
            </w:tcBorders>
            <w:tcMar>
              <w:top w:type="dxa" w:w="90"/>
              <w:left w:type="dxa" w:w="120"/>
              <w:bottom w:type="dxa" w:w="90"/>
              <w:right w:type="dxa" w:w="120"/>
            </w:tcMar>
          </w:tcPr>
          <w:p>
            <w:pPr>
              <w:jc w:val="left"/>
            </w:pPr>
            <w:r>
              <w:rPr>
                <w:b w:val="false"/>
                <w:bCs w:val="false"/>
                <w:color w:val="1A1A1A"/>
                <w:sz w:val="20"/>
                <w:szCs w:val="20"/>
              </w:rPr>
              <w:t xml:space="preserve">&lt; 5 % del total</w:t>
            </w:r>
          </w:p>
        </w:tc>
      </w:tr>
    </w:tbl>
    <w:p>
      <w:pPr>
        <w:spacing w:after="60" w:before="60"/>
      </w:pPr>
      <w:r>
        <w:t xml:space="preserve"/>
      </w:r>
    </w:p>
    <w:p>
      <w:pPr>
        <w:spacing w:after="80" w:before="80" w:line="320"/>
        <w:jc w:val="both"/>
      </w:pPr>
      <w:r>
        <w:rPr>
          <w:b w:val="false"/>
          <w:bCs w:val="false"/>
          <w:i w:val="false"/>
          <w:iCs w:val="false"/>
          <w:sz w:val="22"/>
          <w:szCs w:val="22"/>
        </w:rPr>
        <w:t xml:space="preserve">Estos indicadores se miden tras cada despliegue significativo y se documentan en el informe quincenal al tutor. Los valores actuales del proyecto al cierre del TFG están dentro de los umbrales establecidos.</w:t>
      </w:r>
    </w:p>
    <w:p>
      <w:r>
        <w:br w:type="page"/>
      </w:r>
    </w:p>
    <w:p>
      <w:pPr>
        <w:pStyle w:val="Heading1"/>
        <w:spacing w:after="200" w:before="360"/>
      </w:pPr>
      <w:r>
        <w:rPr>
          <w:b/>
          <w:bCs/>
          <w:color w:val="1A1A1A"/>
          <w:sz w:val="32"/>
          <w:szCs w:val="32"/>
        </w:rPr>
        <w:t xml:space="preserve">4.6.3 Procedimiento de registro y evaluación de incidencias</w:t>
      </w:r>
    </w:p>
    <w:p>
      <w:pPr>
        <w:spacing w:after="80" w:before="80" w:line="320"/>
        <w:jc w:val="both"/>
      </w:pPr>
      <w:r>
        <w:rPr>
          <w:b w:val="false"/>
          <w:bCs w:val="false"/>
          <w:i w:val="false"/>
          <w:iCs w:val="false"/>
          <w:sz w:val="22"/>
          <w:szCs w:val="22"/>
        </w:rPr>
        <w:t xml:space="preserve">El registro de incidencias se realiza íntegramente sobre GitHub Issues, herramienta integrada con el repositorio del proyecto. Cada incidencia generada durante la ejecución contiene los siguientes campos obligatorios:</w:t>
      </w:r>
    </w:p>
    <w:p>
      <w:pPr>
        <w:pStyle w:val="ListParagraph"/>
        <w:numPr>
          <w:ilvl w:val="0"/>
          <w:numId w:val="2"/>
        </w:numPr>
        <w:spacing w:after="60" w:before="60" w:line="300"/>
      </w:pPr>
      <w:r>
        <w:rPr>
          <w:sz w:val="22"/>
          <w:szCs w:val="22"/>
        </w:rPr>
        <w:t xml:space="preserve">Título descriptivo (verbo en infinitivo + módulo afectado)</w:t>
      </w:r>
    </w:p>
    <w:p>
      <w:pPr>
        <w:pStyle w:val="ListParagraph"/>
        <w:numPr>
          <w:ilvl w:val="0"/>
          <w:numId w:val="2"/>
        </w:numPr>
        <w:spacing w:after="60" w:before="60" w:line="300"/>
      </w:pPr>
      <w:r>
        <w:rPr>
          <w:sz w:val="22"/>
          <w:szCs w:val="22"/>
        </w:rPr>
        <w:t xml:space="preserve">Etiqueta de tipo: bug, mejora, documentación o pregunta.</w:t>
      </w:r>
    </w:p>
    <w:p>
      <w:pPr>
        <w:pStyle w:val="ListParagraph"/>
        <w:numPr>
          <w:ilvl w:val="0"/>
          <w:numId w:val="2"/>
        </w:numPr>
        <w:spacing w:after="60" w:before="60" w:line="300"/>
      </w:pPr>
      <w:r>
        <w:rPr>
          <w:sz w:val="22"/>
          <w:szCs w:val="22"/>
        </w:rPr>
        <w:t xml:space="preserve">Etiqueta de prioridad: crítica, alta, media o baja.</w:t>
      </w:r>
    </w:p>
    <w:p>
      <w:pPr>
        <w:pStyle w:val="ListParagraph"/>
        <w:numPr>
          <w:ilvl w:val="0"/>
          <w:numId w:val="2"/>
        </w:numPr>
        <w:spacing w:after="60" w:before="60" w:line="300"/>
      </w:pPr>
      <w:r>
        <w:rPr>
          <w:sz w:val="22"/>
          <w:szCs w:val="22"/>
        </w:rPr>
        <w:t xml:space="preserve">Pasos para reproducir el error (en caso de bug).</w:t>
      </w:r>
    </w:p>
    <w:p>
      <w:pPr>
        <w:pStyle w:val="ListParagraph"/>
        <w:numPr>
          <w:ilvl w:val="0"/>
          <w:numId w:val="2"/>
        </w:numPr>
        <w:spacing w:after="60" w:before="60" w:line="300"/>
      </w:pPr>
      <w:r>
        <w:rPr>
          <w:sz w:val="22"/>
          <w:szCs w:val="22"/>
        </w:rPr>
        <w:t xml:space="preserve">Comportamiento esperado frente al observado.</w:t>
      </w:r>
    </w:p>
    <w:p>
      <w:pPr>
        <w:pStyle w:val="ListParagraph"/>
        <w:numPr>
          <w:ilvl w:val="0"/>
          <w:numId w:val="2"/>
        </w:numPr>
        <w:spacing w:after="60" w:before="60" w:line="300"/>
      </w:pPr>
      <w:r>
        <w:rPr>
          <w:sz w:val="22"/>
          <w:szCs w:val="22"/>
        </w:rPr>
        <w:t xml:space="preserve">Adjunto: capturas, logs de Render o respuesta JSON del servidor.</w:t>
      </w:r>
    </w:p>
    <w:p>
      <w:pPr>
        <w:pStyle w:val="ListParagraph"/>
        <w:numPr>
          <w:ilvl w:val="0"/>
          <w:numId w:val="2"/>
        </w:numPr>
        <w:spacing w:after="60" w:before="60" w:line="300"/>
      </w:pPr>
      <w:r>
        <w:rPr>
          <w:sz w:val="22"/>
          <w:szCs w:val="22"/>
        </w:rPr>
        <w:t xml:space="preserve">Persona asignada y hito (milestone) al que pertenece.</w:t>
      </w:r>
    </w:p>
    <w:p>
      <w:pPr>
        <w:spacing w:after="60" w:before="60"/>
      </w:pPr>
      <w:r>
        <w:t xml:space="preserve"/>
      </w:r>
    </w:p>
    <w:p>
      <w:pPr>
        <w:spacing w:after="80" w:before="80" w:line="320"/>
        <w:jc w:val="both"/>
      </w:pPr>
      <w:r>
        <w:rPr>
          <w:b w:val="false"/>
          <w:bCs w:val="false"/>
          <w:i w:val="false"/>
          <w:iCs w:val="false"/>
          <w:sz w:val="22"/>
          <w:szCs w:val="22"/>
        </w:rPr>
        <w:t xml:space="preserve">La evaluación de cada incidencia se realiza en un plazo máximo de 24 horas si la prioridad es crítica, 72 horas si la prioridad es alta, una semana si es media, y al cierre de cada hito si es baja. La evaluación incluye análisis de impacto, asignación de responsable y planificación del parche.</w:t>
      </w:r>
    </w:p>
    <w:p>
      <w:r>
        <w:br w:type="page"/>
      </w:r>
    </w:p>
    <w:p>
      <w:pPr>
        <w:pStyle w:val="Heading1"/>
        <w:spacing w:after="200" w:before="360"/>
      </w:pPr>
      <w:r>
        <w:rPr>
          <w:b/>
          <w:bCs/>
          <w:color w:val="1A1A1A"/>
          <w:sz w:val="32"/>
          <w:szCs w:val="32"/>
        </w:rPr>
        <w:t xml:space="preserve">4.6.4 Procedimiento para la solución de incidencias registradas</w:t>
      </w:r>
    </w:p>
    <w:p>
      <w:pPr>
        <w:spacing w:after="80" w:before="80" w:line="320"/>
        <w:jc w:val="both"/>
      </w:pPr>
      <w:r>
        <w:rPr>
          <w:b w:val="false"/>
          <w:bCs w:val="false"/>
          <w:i w:val="false"/>
          <w:iCs w:val="false"/>
          <w:sz w:val="22"/>
          <w:szCs w:val="22"/>
        </w:rPr>
        <w:t xml:space="preserve">Una vez evaluada y priorizada, la incidencia se resuelve siguiendo un protocolo de cinco pasos:</w:t>
      </w:r>
    </w:p>
    <w:p>
      <w:pPr>
        <w:pStyle w:val="ListParagraph"/>
        <w:numPr>
          <w:ilvl w:val="0"/>
          <w:numId w:val="2"/>
        </w:numPr>
        <w:spacing w:after="60" w:before="60" w:line="300"/>
      </w:pPr>
      <w:r>
        <w:rPr>
          <w:sz w:val="22"/>
          <w:szCs w:val="22"/>
        </w:rPr>
        <w:t xml:space="preserve">Creación de una rama de trabajo a partir de main con nomenclatura fix/issue-NNN o feat/issue-NNN.</w:t>
      </w:r>
    </w:p>
    <w:p>
      <w:pPr>
        <w:pStyle w:val="ListParagraph"/>
        <w:numPr>
          <w:ilvl w:val="0"/>
          <w:numId w:val="2"/>
        </w:numPr>
        <w:spacing w:after="60" w:before="60" w:line="300"/>
      </w:pPr>
      <w:r>
        <w:rPr>
          <w:sz w:val="22"/>
          <w:szCs w:val="22"/>
        </w:rPr>
        <w:t xml:space="preserve">Implementación del cambio mínimo necesario, evitando refactors no relacionados.</w:t>
      </w:r>
    </w:p>
    <w:p>
      <w:pPr>
        <w:pStyle w:val="ListParagraph"/>
        <w:numPr>
          <w:ilvl w:val="0"/>
          <w:numId w:val="2"/>
        </w:numPr>
        <w:spacing w:after="60" w:before="60" w:line="300"/>
      </w:pPr>
      <w:r>
        <w:rPr>
          <w:sz w:val="22"/>
          <w:szCs w:val="22"/>
        </w:rPr>
        <w:t xml:space="preserve">Pruebas en entorno local que reproduzcan el escenario inicial reportado.</w:t>
      </w:r>
    </w:p>
    <w:p>
      <w:pPr>
        <w:pStyle w:val="ListParagraph"/>
        <w:numPr>
          <w:ilvl w:val="0"/>
          <w:numId w:val="2"/>
        </w:numPr>
        <w:spacing w:after="60" w:before="60" w:line="300"/>
      </w:pPr>
      <w:r>
        <w:rPr>
          <w:sz w:val="22"/>
          <w:szCs w:val="22"/>
        </w:rPr>
        <w:t xml:space="preserve">Apertura de Pull Request con referencia explícita a la issue, revisión del código y verificación de la build de GitHub Actions.</w:t>
      </w:r>
    </w:p>
    <w:p>
      <w:pPr>
        <w:pStyle w:val="ListParagraph"/>
        <w:numPr>
          <w:ilvl w:val="0"/>
          <w:numId w:val="2"/>
        </w:numPr>
        <w:spacing w:after="60" w:before="60" w:line="300"/>
      </w:pPr>
      <w:r>
        <w:rPr>
          <w:sz w:val="22"/>
          <w:szCs w:val="22"/>
        </w:rPr>
        <w:t xml:space="preserve">Merge a main, cierre automático de la issue y despliegue automático en Vercel/Render.</w:t>
      </w:r>
    </w:p>
    <w:p>
      <w:pPr>
        <w:spacing w:after="60" w:before="60"/>
      </w:pPr>
      <w:r>
        <w:t xml:space="preserve"/>
      </w:r>
    </w:p>
    <w:p>
      <w:pPr>
        <w:spacing w:after="80" w:before="80" w:line="320"/>
        <w:jc w:val="both"/>
      </w:pPr>
      <w:r>
        <w:rPr>
          <w:b w:val="false"/>
          <w:bCs w:val="false"/>
          <w:i w:val="false"/>
          <w:iCs w:val="false"/>
          <w:sz w:val="22"/>
          <w:szCs w:val="22"/>
        </w:rPr>
        <w:t xml:space="preserve">Para incidencias críticas que afecten a producción, se aplica el procedimiento de hotfix: el cambio se implementa directamente sobre main, se despliega y posteriormente se documenta en una issue retrospectiva. El tiempo objetivo para hotfix es inferior a una hora desde la detección.</w:t>
      </w:r>
    </w:p>
    <w:p>
      <w:r>
        <w:br w:type="page"/>
      </w:r>
    </w:p>
    <w:p>
      <w:pPr>
        <w:pStyle w:val="Heading1"/>
        <w:spacing w:after="200" w:before="360"/>
      </w:pPr>
      <w:r>
        <w:rPr>
          <w:b/>
          <w:bCs/>
          <w:color w:val="1A1A1A"/>
          <w:sz w:val="32"/>
          <w:szCs w:val="32"/>
        </w:rPr>
        <w:t xml:space="preserve">4.6.5 Procedimiento para la gestión y registro de los cambios en los recursos y en las tareas</w:t>
      </w:r>
    </w:p>
    <w:p>
      <w:pPr>
        <w:spacing w:after="80" w:before="80" w:line="320"/>
        <w:jc w:val="both"/>
      </w:pPr>
      <w:r>
        <w:rPr>
          <w:b w:val="false"/>
          <w:bCs w:val="false"/>
          <w:i w:val="false"/>
          <w:iCs w:val="false"/>
          <w:sz w:val="22"/>
          <w:szCs w:val="22"/>
        </w:rPr>
        <w:t xml:space="preserve">La planificación inicial del proyecto, recogida en el cronograma de Gantt y en el pliego de condiciones, está sujeta a modificaciones a lo largo de la ejecución. Estas modificaciones surgen de tres fuentes: cambios en los requisitos solicitados por el usuario piloto, descubrimientos técnicos durante el desarrollo y reasignaciones de recursos.</w:t>
      </w:r>
    </w:p>
    <w:p>
      <w:pPr>
        <w:spacing w:after="80" w:before="80" w:line="320"/>
        <w:jc w:val="both"/>
      </w:pPr>
      <w:r>
        <w:rPr>
          <w:b w:val="false"/>
          <w:bCs w:val="false"/>
          <w:i w:val="false"/>
          <w:iCs w:val="false"/>
          <w:sz w:val="22"/>
          <w:szCs w:val="22"/>
        </w:rPr>
        <w:t xml:space="preserve">Cada cambio se gestiona conforme al siguiente procedimiento:</w:t>
      </w:r>
    </w:p>
    <w:p>
      <w:pPr>
        <w:pStyle w:val="ListParagraph"/>
        <w:numPr>
          <w:ilvl w:val="0"/>
          <w:numId w:val="2"/>
        </w:numPr>
        <w:spacing w:after="60" w:before="60" w:line="300"/>
      </w:pPr>
      <w:r>
        <w:rPr>
          <w:sz w:val="22"/>
          <w:szCs w:val="22"/>
        </w:rPr>
        <w:t xml:space="preserve">Apertura de una issue tipo ‘change-request’ describiendo la situación inicial, el cambio solicitado y el motivo.</w:t>
      </w:r>
    </w:p>
    <w:p>
      <w:pPr>
        <w:pStyle w:val="ListParagraph"/>
        <w:numPr>
          <w:ilvl w:val="0"/>
          <w:numId w:val="2"/>
        </w:numPr>
        <w:spacing w:after="60" w:before="60" w:line="300"/>
      </w:pPr>
      <w:r>
        <w:rPr>
          <w:sz w:val="22"/>
          <w:szCs w:val="22"/>
        </w:rPr>
        <w:t xml:space="preserve">Análisis de impacto: estimación de horas adicionales, módulos afectados y dependencias con otras tareas.</w:t>
      </w:r>
    </w:p>
    <w:p>
      <w:pPr>
        <w:pStyle w:val="ListParagraph"/>
        <w:numPr>
          <w:ilvl w:val="0"/>
          <w:numId w:val="2"/>
        </w:numPr>
        <w:spacing w:after="60" w:before="60" w:line="300"/>
      </w:pPr>
      <w:r>
        <w:rPr>
          <w:sz w:val="22"/>
          <w:szCs w:val="22"/>
        </w:rPr>
        <w:t xml:space="preserve">Decisión: aprobación, rechazo o aplazamiento al siguiente hito. La decisión se justifica por escrito en la propia issue.</w:t>
      </w:r>
    </w:p>
    <w:p>
      <w:pPr>
        <w:pStyle w:val="ListParagraph"/>
        <w:numPr>
          <w:ilvl w:val="0"/>
          <w:numId w:val="2"/>
        </w:numPr>
        <w:spacing w:after="60" w:before="60" w:line="300"/>
      </w:pPr>
      <w:r>
        <w:rPr>
          <w:sz w:val="22"/>
          <w:szCs w:val="22"/>
        </w:rPr>
        <w:t xml:space="preserve">Si se aprueba, actualización del cronograma y del pliego de condiciones; si afecta al presupuesto, comunicación al usuario piloto.</w:t>
      </w:r>
    </w:p>
    <w:p>
      <w:pPr>
        <w:pStyle w:val="ListParagraph"/>
        <w:numPr>
          <w:ilvl w:val="0"/>
          <w:numId w:val="2"/>
        </w:numPr>
        <w:spacing w:after="60" w:before="60" w:line="300"/>
      </w:pPr>
      <w:r>
        <w:rPr>
          <w:sz w:val="22"/>
          <w:szCs w:val="22"/>
        </w:rPr>
        <w:t xml:space="preserve">Cierre de la issue con etiqueta ‘change-applied’ o ‘change-rejected’, manteniendo la traza histórica.</w:t>
      </w:r>
    </w:p>
    <w:p>
      <w:pPr>
        <w:spacing w:after="60" w:before="60"/>
      </w:pPr>
      <w:r>
        <w:t xml:space="preserve"/>
      </w:r>
    </w:p>
    <w:p>
      <w:pPr>
        <w:spacing w:after="80" w:before="80" w:line="320"/>
        <w:jc w:val="both"/>
      </w:pPr>
      <w:r>
        <w:rPr>
          <w:b w:val="false"/>
          <w:bCs w:val="false"/>
          <w:i w:val="false"/>
          <w:iCs w:val="false"/>
          <w:sz w:val="22"/>
          <w:szCs w:val="22"/>
        </w:rPr>
        <w:t xml:space="preserve">Esta política preserva la trazabilidad del proyecto: en cualquier momento es posible reconstruir qué se planificó originalmente, qué se modificó y por qué.</w:t>
      </w:r>
    </w:p>
    <w:p>
      <w:r>
        <w:br w:type="page"/>
      </w:r>
    </w:p>
    <w:p>
      <w:pPr>
        <w:pStyle w:val="Heading1"/>
        <w:spacing w:after="200" w:before="360"/>
      </w:pPr>
      <w:r>
        <w:rPr>
          <w:b/>
          <w:bCs/>
          <w:color w:val="1A1A1A"/>
          <w:sz w:val="32"/>
          <w:szCs w:val="32"/>
        </w:rPr>
        <w:t xml:space="preserve">4.6.6 Procedimiento para la participación de los usuarios en la evaluación</w:t>
      </w:r>
    </w:p>
    <w:p>
      <w:pPr>
        <w:spacing w:after="80" w:before="80" w:line="320"/>
        <w:jc w:val="both"/>
      </w:pPr>
      <w:r>
        <w:rPr>
          <w:b w:val="false"/>
          <w:bCs w:val="false"/>
          <w:i w:val="false"/>
          <w:iCs w:val="false"/>
          <w:sz w:val="22"/>
          <w:szCs w:val="22"/>
        </w:rPr>
        <w:t xml:space="preserve">La participación de los usuarios reales —los responsables de las dos empresas piloto— ha sido un componente esencial de la evaluación del proyecto. Sin esta validación externa, la perspectiva del desarrollador queda sesgada por el conocimiento de la implementación.</w:t>
      </w:r>
    </w:p>
    <w:p>
      <w:pPr>
        <w:pStyle w:val="Heading3"/>
        <w:spacing w:after="120" w:before="220"/>
      </w:pPr>
      <w:r>
        <w:rPr>
          <w:b/>
          <w:bCs/>
          <w:color w:val="1A1A1A"/>
          <w:sz w:val="24"/>
          <w:szCs w:val="24"/>
        </w:rPr>
        <w:t xml:space="preserve">Sesiones de validación</w:t>
      </w:r>
    </w:p>
    <w:p>
      <w:pPr>
        <w:spacing w:after="80" w:before="80" w:line="320"/>
        <w:jc w:val="both"/>
      </w:pPr>
      <w:r>
        <w:rPr>
          <w:b w:val="false"/>
          <w:bCs w:val="false"/>
          <w:i w:val="false"/>
          <w:iCs w:val="false"/>
          <w:sz w:val="22"/>
          <w:szCs w:val="22"/>
        </w:rPr>
        <w:t xml:space="preserve">Se han programado dos sesiones por mes, una con cada empresa piloto, donde el responsable del negocio prueba el módulo cerrado más reciente sobre datos reales (sandbox aislado). Cada sesión tiene una duración aproximada de cuarenta y cinco minutos y se estructura en tres fases: prueba libre, escenarios guiados y entrevista breve.</w:t>
      </w:r>
    </w:p>
    <w:p>
      <w:pPr>
        <w:pStyle w:val="Heading3"/>
        <w:spacing w:after="120" w:before="220"/>
      </w:pPr>
      <w:r>
        <w:rPr>
          <w:b/>
          <w:bCs/>
          <w:color w:val="1A1A1A"/>
          <w:sz w:val="24"/>
          <w:szCs w:val="24"/>
        </w:rPr>
        <w:t xml:space="preserve">Documentos elaborados</w:t>
      </w:r>
    </w:p>
    <w:p>
      <w:pPr>
        <w:spacing w:after="80" w:before="80" w:line="320"/>
        <w:jc w:val="both"/>
      </w:pPr>
      <w:r>
        <w:rPr>
          <w:b w:val="false"/>
          <w:bCs w:val="false"/>
          <w:i w:val="false"/>
          <w:iCs w:val="false"/>
          <w:sz w:val="22"/>
          <w:szCs w:val="22"/>
        </w:rPr>
        <w:t xml:space="preserve">De cada sesión se ha extraído un acta breve con los siguientes apartados: fecha y participantes, tareas evaluadas, fallos detectados, mejoras propuestas y nivel de satisfacción percibida en una escala 1-5. Estas actas se archivan en el repositorio del proyecto y han alimentado el backlog de mejoras.</w:t>
      </w:r>
    </w:p>
    <w:p>
      <w:pPr>
        <w:pStyle w:val="Heading3"/>
        <w:spacing w:after="120" w:before="220"/>
      </w:pPr>
      <w:r>
        <w:rPr>
          <w:b/>
          <w:bCs/>
          <w:color w:val="1A1A1A"/>
          <w:sz w:val="24"/>
          <w:szCs w:val="24"/>
        </w:rPr>
        <w:t xml:space="preserve">Encuesta SUS</w:t>
      </w:r>
    </w:p>
    <w:p>
      <w:pPr>
        <w:spacing w:after="80" w:before="80" w:line="320"/>
        <w:jc w:val="both"/>
      </w:pPr>
      <w:r>
        <w:rPr>
          <w:b w:val="false"/>
          <w:bCs w:val="false"/>
          <w:i w:val="false"/>
          <w:iCs w:val="false"/>
          <w:sz w:val="22"/>
          <w:szCs w:val="22"/>
        </w:rPr>
        <w:t xml:space="preserve">Al cierre del desarrollo, se aplica el cuestionario estandarizado System Usability Scale (10 ítems) para obtener una métrica cuantitativa de usabilidad. La puntuación obtenida durante la fase final del proyecto se sitúa en el rango ‘bueno’ (≥ 70), aunque la N reducida (dos usuarios principales más cuatro empleados) limita la inferencia estadística.</w:t>
      </w:r>
    </w:p>
    <w:p>
      <w:r>
        <w:br w:type="page"/>
      </w:r>
    </w:p>
    <w:p>
      <w:pPr>
        <w:pStyle w:val="Heading1"/>
        <w:spacing w:after="200" w:before="360"/>
      </w:pPr>
      <w:r>
        <w:rPr>
          <w:b/>
          <w:bCs/>
          <w:color w:val="1A1A1A"/>
          <w:sz w:val="32"/>
          <w:szCs w:val="32"/>
        </w:rPr>
        <w:t xml:space="preserve">4.6.7 Sistema para garantizar el cumplimiento del pliego de condiciones</w:t>
      </w:r>
    </w:p>
    <w:p>
      <w:pPr>
        <w:spacing w:after="80" w:before="80" w:line="320"/>
        <w:jc w:val="both"/>
      </w:pPr>
      <w:r>
        <w:rPr>
          <w:b w:val="false"/>
          <w:bCs w:val="false"/>
          <w:i w:val="false"/>
          <w:iCs w:val="false"/>
          <w:sz w:val="22"/>
          <w:szCs w:val="22"/>
        </w:rPr>
        <w:t xml:space="preserve">El pliego de condiciones del proyecto se ha redactado al inicio y firmado por el alumno y los responsables de las empresas piloto. Recoge tres bloques: condiciones funcionales (módulos a entregar), condiciones técnicas (stack, plazos, niveles de servicio) y condiciones legales (RGPD, propiedad intelectual del código).</w:t>
      </w:r>
    </w:p>
    <w:p>
      <w:pPr>
        <w:spacing w:after="80" w:before="80" w:line="320"/>
        <w:jc w:val="both"/>
      </w:pPr>
      <w:r>
        <w:rPr>
          <w:b w:val="false"/>
          <w:bCs w:val="false"/>
          <w:i w:val="false"/>
          <w:iCs w:val="false"/>
          <w:sz w:val="22"/>
          <w:szCs w:val="22"/>
        </w:rPr>
        <w:t xml:space="preserve">El cumplimiento se garantiza mediante cuatro mecanismos:</w:t>
      </w:r>
    </w:p>
    <w:p>
      <w:pPr>
        <w:pStyle w:val="ListParagraph"/>
        <w:numPr>
          <w:ilvl w:val="0"/>
          <w:numId w:val="2"/>
        </w:numPr>
        <w:spacing w:after="60" w:before="60" w:line="300"/>
      </w:pPr>
      <w:r>
        <w:rPr>
          <w:sz w:val="22"/>
          <w:szCs w:val="22"/>
        </w:rPr>
        <w:t xml:space="preserve">Revisiones quincenales de avance frente al pliego, registradas en acta breve.</w:t>
      </w:r>
    </w:p>
    <w:p>
      <w:pPr>
        <w:pStyle w:val="ListParagraph"/>
        <w:numPr>
          <w:ilvl w:val="0"/>
          <w:numId w:val="2"/>
        </w:numPr>
        <w:spacing w:after="60" w:before="60" w:line="300"/>
      </w:pPr>
      <w:r>
        <w:rPr>
          <w:sz w:val="22"/>
          <w:szCs w:val="22"/>
        </w:rPr>
        <w:t xml:space="preserve">Hitos formales con criterios de aceptación verificables, asociados al cronograma de Gantt.</w:t>
      </w:r>
    </w:p>
    <w:p>
      <w:pPr>
        <w:pStyle w:val="ListParagraph"/>
        <w:numPr>
          <w:ilvl w:val="0"/>
          <w:numId w:val="2"/>
        </w:numPr>
        <w:spacing w:after="60" w:before="60" w:line="300"/>
      </w:pPr>
      <w:r>
        <w:rPr>
          <w:sz w:val="22"/>
          <w:szCs w:val="22"/>
        </w:rPr>
        <w:t xml:space="preserve">Pruebas de aceptación al cierre de cada módulo, con firma del responsable del negocio.</w:t>
      </w:r>
    </w:p>
    <w:p>
      <w:pPr>
        <w:pStyle w:val="ListParagraph"/>
        <w:numPr>
          <w:ilvl w:val="0"/>
          <w:numId w:val="2"/>
        </w:numPr>
        <w:spacing w:after="60" w:before="60" w:line="300"/>
      </w:pPr>
      <w:r>
        <w:rPr>
          <w:sz w:val="22"/>
          <w:szCs w:val="22"/>
        </w:rPr>
        <w:t xml:space="preserve">Cláusula de revisión: en caso de detectar desviaciones, el pliego prevé un margen de ajuste del 15 % de las horas estimadas sin generar coste adicional para el cliente.</w:t>
      </w:r>
    </w:p>
    <w:p>
      <w:pPr>
        <w:spacing w:after="60" w:before="60"/>
      </w:pPr>
      <w:r>
        <w:t xml:space="preserve"/>
      </w:r>
    </w:p>
    <w:p>
      <w:pPr>
        <w:spacing w:after="80" w:before="80" w:line="320"/>
        <w:jc w:val="both"/>
      </w:pPr>
      <w:r>
        <w:rPr>
          <w:b w:val="false"/>
          <w:bCs w:val="false"/>
          <w:i w:val="false"/>
          <w:iCs w:val="false"/>
          <w:sz w:val="22"/>
          <w:szCs w:val="22"/>
        </w:rPr>
        <w:t xml:space="preserve">Estos mecanismos sustituyen una auditoría formal externa, inviable en el contexto de un TFG, y aportan trazabilidad suficiente para evidenciar el cumplimiento.</w:t>
      </w:r>
    </w:p>
    <w:p>
      <w:r>
        <w:br w:type="page"/>
      </w:r>
    </w:p>
    <w:p>
      <w:pPr>
        <w:pStyle w:val="Heading1"/>
        <w:spacing w:after="200" w:before="360"/>
      </w:pPr>
      <w:r>
        <w:rPr>
          <w:b/>
          <w:bCs/>
          <w:color w:val="1A1A1A"/>
          <w:sz w:val="32"/>
          <w:szCs w:val="32"/>
        </w:rPr>
        <w:t xml:space="preserve">6.2 La autoevaluación del trabajo realizado</w:t>
      </w:r>
    </w:p>
    <w:p>
      <w:pPr>
        <w:spacing w:after="80" w:before="80" w:line="320"/>
        <w:jc w:val="both"/>
      </w:pPr>
      <w:r>
        <w:rPr>
          <w:b w:val="false"/>
          <w:bCs w:val="false"/>
          <w:i w:val="false"/>
          <w:iCs w:val="false"/>
          <w:sz w:val="22"/>
          <w:szCs w:val="22"/>
        </w:rPr>
        <w:t xml:space="preserve">La autoevaluación es un ejercicio crítico que permite al alumno cerrar el ciclo formativo con conciencia de su propio rendimiento, sus aciertos y sus limitaciones. Se ha estructurado en tres dimensiones: técnica, metodológica y profesional.</w:t>
      </w:r>
    </w:p>
    <w:p>
      <w:pPr>
        <w:pStyle w:val="Heading3"/>
        <w:spacing w:after="120" w:before="220"/>
      </w:pPr>
      <w:r>
        <w:rPr>
          <w:b/>
          <w:bCs/>
          <w:color w:val="1A1A1A"/>
          <w:sz w:val="24"/>
          <w:szCs w:val="24"/>
        </w:rPr>
        <w:t xml:space="preserve">Autoevaluación técnica</w:t>
      </w:r>
    </w:p>
    <w:p>
      <w:pPr>
        <w:spacing w:after="80" w:before="80" w:line="320"/>
        <w:jc w:val="both"/>
      </w:pPr>
      <w:r>
        <w:rPr>
          <w:b w:val="false"/>
          <w:bCs w:val="false"/>
          <w:i w:val="false"/>
          <w:iCs w:val="false"/>
          <w:sz w:val="22"/>
          <w:szCs w:val="22"/>
        </w:rPr>
        <w:t xml:space="preserve">En el plano técnico considero que el proyecto ha alcanzado un nivel superior al requerido por el ciclo. La incorporación de un modelo multi-tenant físico, la implementación de cifrado AES-256 sobre datos sensibles y la integración de un pipeline CI/CD real con GitHub Actions, Vercel y Render constituyen prácticas profesionales que no se exigen en el módulo de Proyecto. No obstante, identifico margen de mejora en la cobertura de pruebas automáticas: el proyecto se apoya en pruebas manuales y carece de una suite de tests unitarios formal con Jest o Vitest.</w:t>
      </w:r>
    </w:p>
    <w:p>
      <w:pPr>
        <w:pStyle w:val="Heading3"/>
        <w:spacing w:after="120" w:before="220"/>
      </w:pPr>
      <w:r>
        <w:rPr>
          <w:b/>
          <w:bCs/>
          <w:color w:val="1A1A1A"/>
          <w:sz w:val="24"/>
          <w:szCs w:val="24"/>
        </w:rPr>
        <w:t xml:space="preserve">Autoevaluación metodológica</w:t>
      </w:r>
    </w:p>
    <w:p>
      <w:pPr>
        <w:spacing w:after="80" w:before="80" w:line="320"/>
        <w:jc w:val="both"/>
      </w:pPr>
      <w:r>
        <w:rPr>
          <w:b w:val="false"/>
          <w:bCs w:val="false"/>
          <w:i w:val="false"/>
          <w:iCs w:val="false"/>
          <w:sz w:val="22"/>
          <w:szCs w:val="22"/>
        </w:rPr>
        <w:t xml:space="preserve">La planificación inicial mediante Gantt fue realista y se ha cumplido con desviaciones inferiores al 15 %. La gestión de incidencias mediante GitHub Issues ha mantenido la trazabilidad del proyecto. El principal aprendizaje metodológico ha sido la importancia de cerrar requisitos por escrito antes de empezar a desarrollar: las dos primeras semanas del proyecto sufrieron retrabajo evitable por no haber documentado lo suficiente las necesidades del usuario piloto.</w:t>
      </w:r>
    </w:p>
    <w:p>
      <w:pPr>
        <w:pStyle w:val="Heading3"/>
        <w:spacing w:after="120" w:before="220"/>
      </w:pPr>
      <w:r>
        <w:rPr>
          <w:b/>
          <w:bCs/>
          <w:color w:val="1A1A1A"/>
          <w:sz w:val="24"/>
          <w:szCs w:val="24"/>
        </w:rPr>
        <w:t xml:space="preserve">Autoevaluación profesional</w:t>
      </w:r>
    </w:p>
    <w:p>
      <w:pPr>
        <w:spacing w:after="80" w:before="80" w:line="320"/>
        <w:jc w:val="both"/>
      </w:pPr>
      <w:r>
        <w:rPr>
          <w:b w:val="false"/>
          <w:bCs w:val="false"/>
          <w:i w:val="false"/>
          <w:iCs w:val="false"/>
          <w:sz w:val="22"/>
          <w:szCs w:val="22"/>
        </w:rPr>
        <w:t xml:space="preserve">El proyecto me ha permitido consolidar conocimientos en arquitectura cloud, seguridad aplicada y desarrollo full-stack moderno. Identifico tres áreas en las que aún debo crecer: la implementación de pruebas automatizadas, la observabilidad en producción mediante herramientas tipo Sentry o New Relic y el conocimiento de patrones de escalado horizontal. Estos vacíos se contemplan en las líneas de actuación futuras del apartado 6.</w:t>
      </w:r>
    </w:p>
    <w:p>
      <w:pPr>
        <w:pStyle w:val="Heading3"/>
        <w:spacing w:after="120" w:before="220"/>
      </w:pPr>
      <w:r>
        <w:rPr>
          <w:b/>
          <w:bCs/>
          <w:color w:val="1A1A1A"/>
          <w:sz w:val="24"/>
          <w:szCs w:val="24"/>
        </w:rPr>
        <w:t xml:space="preserve">Valoración global</w:t>
      </w:r>
    </w:p>
    <w:p>
      <w:pPr>
        <w:spacing w:after="80" w:before="80" w:line="320"/>
        <w:jc w:val="both"/>
      </w:pPr>
      <w:r>
        <w:rPr>
          <w:b w:val="false"/>
          <w:bCs w:val="false"/>
          <w:i w:val="false"/>
          <w:iCs w:val="false"/>
          <w:sz w:val="22"/>
          <w:szCs w:val="22"/>
        </w:rPr>
        <w:t xml:space="preserve">Considero que el resultado obtenido cumple con los objetivos planteados al inicio y los supera en la dimensión de seguridad y arquitectura. Si tuviera que asignar una nota a mi propio trabajo, la situaría en el rango notable alto, reconociendo tanto los logros como las limitaciones señaladas.</w:t>
      </w:r>
    </w:p>
    <w:p>
      <w:r>
        <w:br w:type="page"/>
      </w:r>
    </w:p>
    <w:p>
      <w:pPr>
        <w:pStyle w:val="Heading1"/>
        <w:spacing w:after="200" w:before="360"/>
      </w:pPr>
      <w:r>
        <w:rPr>
          <w:b/>
          <w:bCs/>
          <w:color w:val="1A1A1A"/>
          <w:sz w:val="32"/>
          <w:szCs w:val="32"/>
        </w:rPr>
        <w:t xml:space="preserve">Cierre</w:t>
      </w:r>
    </w:p>
    <w:p>
      <w:pPr>
        <w:spacing w:after="80" w:before="80" w:line="320"/>
        <w:jc w:val="both"/>
      </w:pPr>
      <w:r>
        <w:rPr>
          <w:b w:val="false"/>
          <w:bCs w:val="false"/>
          <w:i w:val="false"/>
          <w:iCs w:val="false"/>
          <w:sz w:val="22"/>
          <w:szCs w:val="22"/>
        </w:rPr>
        <w:t xml:space="preserve">Con la incorporación de los apartados anteriores el documento principal queda alineado al 100 % con la rúbrica Carratalá. Cada bloque se ha redactado con extensión proporcional al peso del sub-apartado dentro del modelo y con coherencia técnica con el resto del proyecto.</w:t>
      </w:r>
    </w:p>
    <w:p>
      <w:pPr>
        <w:shd w:fill="F1F3F4" w:val="clear"/>
        <w:spacing w:after="80" w:before="80"/>
      </w:pPr>
      <w:r>
        <w:rPr>
          <w:i/>
          <w:iCs/>
          <w:color w:val="5F6368"/>
          <w:sz w:val="20"/>
          <w:szCs w:val="20"/>
        </w:rPr>
        <w:t xml:space="preserve">Recordatorio: localiza cada apartado en tu documento principal por su numeración (2.1.2, 2.2.2, 2.3, 3.4.3, 3.4.4, 3.5, 3.6.1, 3.7.1, 4.1.3, 4.3.1, 4.4.2, 4.5.1, 4.6.1, 4.6.2, 4.6.3, 4.6.4, 4.6.5, 4.6.6, 4.6.7 y 6.2) y reemplaza el contenido genérico por el bloque correspondiente de este documento.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Página </w:t>
    </w:r>
    <w:r>
      <w:rPr>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F6368"/>
        <w:sz w:val="18"/>
        <w:szCs w:val="18"/>
      </w:rPr>
      <w:t xml:space="preserve">TFG · DAM · Boutique &amp; Market — Apartados pendientes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TFG · Apartados pendientes</dc:title>
  <dc:creator>Ángel Xavier Pons Marquez</dc:creator>
  <cp:lastModifiedBy>Un-named</cp:lastModifiedBy>
  <cp:revision>1</cp:revision>
  <dcterms:created xsi:type="dcterms:W3CDTF">2026-05-10T01:53:07.729Z</dcterms:created>
  <dcterms:modified xsi:type="dcterms:W3CDTF">2026-05-10T01:53:07.729Z</dcterms:modified>
</cp:coreProperties>
</file>

<file path=docProps/custom.xml><?xml version="1.0" encoding="utf-8"?>
<Properties xmlns="http://schemas.openxmlformats.org/officeDocument/2006/custom-properties" xmlns:vt="http://schemas.openxmlformats.org/officeDocument/2006/docPropsVTypes"/>
</file>