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EEF6" w14:textId="77777777" w:rsidR="001977AA" w:rsidRDefault="001977AA" w:rsidP="001977AA">
      <w:pPr>
        <w:spacing w:before="240" w:after="240" w:line="360" w:lineRule="auto"/>
        <w:jc w:val="center"/>
      </w:pPr>
      <w:r>
        <w:rPr>
          <w:noProof/>
        </w:rPr>
        <w:drawing>
          <wp:inline distT="0" distB="0" distL="0" distR="0" wp14:anchorId="57366084" wp14:editId="5C21811E">
            <wp:extent cx="2667000" cy="1533525"/>
            <wp:effectExtent l="0" t="0" r="0" b="0"/>
            <wp:docPr id="694944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44374" name="Picture 694944374"/>
                    <pic:cNvPicPr/>
                  </pic:nvPicPr>
                  <pic:blipFill>
                    <a:blip r:embed="rId5">
                      <a:extLst>
                        <a:ext uri="{28A0092B-C50C-407E-A947-70E740481C1C}">
                          <a14:useLocalDpi xmlns:a14="http://schemas.microsoft.com/office/drawing/2010/main"/>
                        </a:ext>
                      </a:extLst>
                    </a:blip>
                    <a:stretch>
                      <a:fillRect/>
                    </a:stretch>
                  </pic:blipFill>
                  <pic:spPr>
                    <a:xfrm>
                      <a:off x="0" y="0"/>
                      <a:ext cx="2667000" cy="1533525"/>
                    </a:xfrm>
                    <a:prstGeom prst="rect">
                      <a:avLst/>
                    </a:prstGeom>
                  </pic:spPr>
                </pic:pic>
              </a:graphicData>
            </a:graphic>
          </wp:inline>
        </w:drawing>
      </w:r>
    </w:p>
    <w:p w14:paraId="77614CE6" w14:textId="77777777" w:rsidR="001977AA" w:rsidRDefault="001977AA" w:rsidP="001977AA">
      <w:pPr>
        <w:spacing w:before="240" w:after="240" w:line="360" w:lineRule="auto"/>
        <w:jc w:val="center"/>
      </w:pPr>
      <w:r w:rsidRPr="2F5C095B">
        <w:rPr>
          <w:rFonts w:ascii="Segoe UI" w:eastAsia="Segoe UI" w:hAnsi="Segoe UI" w:cs="Segoe UI"/>
          <w:b/>
          <w:bCs/>
          <w:color w:val="002060"/>
          <w:sz w:val="28"/>
          <w:szCs w:val="28"/>
          <w:lang w:val="es"/>
        </w:rPr>
        <w:t>CENTRO UNIVERSITARIO REGIONAL DE CARAZO</w:t>
      </w:r>
    </w:p>
    <w:p w14:paraId="6AD00538" w14:textId="77777777" w:rsidR="001977AA" w:rsidRDefault="001977AA" w:rsidP="001977AA">
      <w:pPr>
        <w:spacing w:before="240" w:after="240" w:line="360" w:lineRule="auto"/>
        <w:jc w:val="center"/>
      </w:pPr>
      <w:r w:rsidRPr="2F5C095B">
        <w:rPr>
          <w:rFonts w:ascii="Segoe UI" w:eastAsia="Segoe UI" w:hAnsi="Segoe UI" w:cs="Segoe UI"/>
          <w:b/>
          <w:bCs/>
          <w:color w:val="002060"/>
          <w:szCs w:val="24"/>
          <w:lang w:val="es"/>
        </w:rPr>
        <w:t>DEPARTAMENTO CIENCIAS TECNOLÓGICAS Y SALUD</w:t>
      </w:r>
    </w:p>
    <w:p w14:paraId="49652450" w14:textId="77777777" w:rsidR="001977AA" w:rsidRDefault="001977AA" w:rsidP="001977AA">
      <w:pPr>
        <w:spacing w:before="240" w:after="240" w:line="360" w:lineRule="auto"/>
        <w:jc w:val="center"/>
      </w:pPr>
      <w:r w:rsidRPr="2F5C095B">
        <w:rPr>
          <w:rFonts w:ascii="Segoe UI" w:eastAsia="Segoe UI" w:hAnsi="Segoe UI" w:cs="Segoe UI"/>
          <w:color w:val="002060"/>
          <w:sz w:val="20"/>
          <w:szCs w:val="20"/>
          <w:lang w:val="es"/>
        </w:rPr>
        <w:t>“202</w:t>
      </w:r>
      <w:r>
        <w:rPr>
          <w:rFonts w:ascii="Segoe UI" w:eastAsia="Segoe UI" w:hAnsi="Segoe UI" w:cs="Segoe UI"/>
          <w:color w:val="002060"/>
          <w:sz w:val="20"/>
          <w:szCs w:val="20"/>
          <w:lang w:val="es"/>
        </w:rPr>
        <w:t>6</w:t>
      </w:r>
      <w:r w:rsidRPr="2F5C095B">
        <w:rPr>
          <w:rFonts w:ascii="Segoe UI" w:eastAsia="Segoe UI" w:hAnsi="Segoe UI" w:cs="Segoe UI"/>
          <w:color w:val="002060"/>
          <w:sz w:val="20"/>
          <w:szCs w:val="20"/>
          <w:lang w:val="es"/>
        </w:rPr>
        <w:t>: EFICIENCIA Y CALIDAD PARA SEGUIR EN VICTORIAS</w:t>
      </w:r>
    </w:p>
    <w:p w14:paraId="482EEB5A" w14:textId="77777777" w:rsidR="001977AA" w:rsidRDefault="001977AA" w:rsidP="001977AA">
      <w:pPr>
        <w:spacing w:before="240" w:after="240" w:line="360" w:lineRule="auto"/>
        <w:jc w:val="center"/>
      </w:pPr>
      <w:r w:rsidRPr="2C6B29C5">
        <w:rPr>
          <w:rFonts w:ascii="Segoe UI" w:eastAsia="Segoe UI" w:hAnsi="Segoe UI" w:cs="Segoe UI"/>
          <w:b/>
          <w:bCs/>
          <w:color w:val="002060"/>
          <w:sz w:val="28"/>
          <w:szCs w:val="28"/>
          <w:lang w:val="es"/>
        </w:rPr>
        <w:t>INGENIERÍA EN SISTEMAS DE INFORMACIÓN</w:t>
      </w:r>
    </w:p>
    <w:p w14:paraId="4B07B0D0" w14:textId="77777777" w:rsidR="001977AA" w:rsidRDefault="001977AA" w:rsidP="001977AA">
      <w:pPr>
        <w:spacing w:before="240" w:after="240" w:line="360" w:lineRule="auto"/>
      </w:pPr>
      <w:r w:rsidRPr="2F5C095B">
        <w:rPr>
          <w:rFonts w:ascii="Segoe UI" w:eastAsia="Segoe UI" w:hAnsi="Segoe UI" w:cs="Segoe UI"/>
          <w:b/>
          <w:bCs/>
          <w:szCs w:val="24"/>
          <w:lang w:val="es"/>
        </w:rPr>
        <w:t xml:space="preserve">Año académico: </w:t>
      </w:r>
      <w:r>
        <w:rPr>
          <w:rFonts w:ascii="Segoe UI" w:eastAsia="Segoe UI" w:hAnsi="Segoe UI" w:cs="Segoe UI"/>
          <w:szCs w:val="24"/>
          <w:lang w:val="es"/>
        </w:rPr>
        <w:t>Tercer Año</w:t>
      </w:r>
      <w:r>
        <w:rPr>
          <w:rFonts w:ascii="Segoe UI" w:eastAsia="Segoe UI" w:hAnsi="Segoe UI" w:cs="Segoe UI"/>
          <w:szCs w:val="24"/>
          <w:lang w:val="es"/>
        </w:rPr>
        <w:tab/>
      </w:r>
      <w:r>
        <w:tab/>
      </w:r>
      <w:r>
        <w:tab/>
      </w:r>
      <w:r w:rsidRPr="2F5C095B">
        <w:rPr>
          <w:rFonts w:ascii="Segoe UI" w:eastAsia="Segoe UI" w:hAnsi="Segoe UI" w:cs="Segoe UI"/>
          <w:b/>
          <w:bCs/>
          <w:szCs w:val="24"/>
          <w:lang w:val="es"/>
        </w:rPr>
        <w:t xml:space="preserve">Turno: </w:t>
      </w:r>
      <w:r w:rsidRPr="2F5C095B">
        <w:rPr>
          <w:rFonts w:ascii="Segoe UI" w:eastAsia="Segoe UI" w:hAnsi="Segoe UI" w:cs="Segoe UI"/>
          <w:szCs w:val="24"/>
          <w:lang w:val="es"/>
        </w:rPr>
        <w:t>Matutino</w:t>
      </w:r>
    </w:p>
    <w:p w14:paraId="01170298" w14:textId="77777777" w:rsidR="001977AA" w:rsidRDefault="001977AA" w:rsidP="001977AA">
      <w:pPr>
        <w:spacing w:before="240" w:after="240" w:line="360" w:lineRule="auto"/>
      </w:pPr>
      <w:r w:rsidRPr="2F5C095B">
        <w:rPr>
          <w:rFonts w:ascii="Segoe UI" w:eastAsia="Segoe UI" w:hAnsi="Segoe UI" w:cs="Segoe UI"/>
          <w:b/>
          <w:bCs/>
          <w:szCs w:val="24"/>
          <w:lang w:val="es"/>
        </w:rPr>
        <w:t>Integrantes:</w:t>
      </w:r>
    </w:p>
    <w:p w14:paraId="6ACB2B53" w14:textId="77777777" w:rsidR="001977AA" w:rsidRDefault="001977AA" w:rsidP="001977AA">
      <w:pPr>
        <w:pStyle w:val="Prrafodelista"/>
        <w:numPr>
          <w:ilvl w:val="0"/>
          <w:numId w:val="1"/>
        </w:numPr>
        <w:spacing w:after="0" w:line="360" w:lineRule="auto"/>
        <w:rPr>
          <w:rFonts w:ascii="Segoe UI" w:eastAsia="Segoe UI" w:hAnsi="Segoe UI" w:cs="Segoe UI"/>
          <w:szCs w:val="24"/>
          <w:lang w:val="es"/>
        </w:rPr>
      </w:pPr>
      <w:r w:rsidRPr="2F5C095B">
        <w:rPr>
          <w:rFonts w:ascii="Segoe UI" w:eastAsia="Segoe UI" w:hAnsi="Segoe UI" w:cs="Segoe UI"/>
          <w:szCs w:val="24"/>
          <w:lang w:val="es"/>
        </w:rPr>
        <w:t>Isaac Enmanuel Jiménez Acuña: 24-90306-7</w:t>
      </w:r>
    </w:p>
    <w:p w14:paraId="0F4A1282" w14:textId="77777777" w:rsidR="001977AA" w:rsidRDefault="001977AA" w:rsidP="001977AA">
      <w:pPr>
        <w:pStyle w:val="Prrafodelista"/>
        <w:numPr>
          <w:ilvl w:val="0"/>
          <w:numId w:val="1"/>
        </w:numPr>
        <w:spacing w:after="0" w:line="360" w:lineRule="auto"/>
        <w:rPr>
          <w:rFonts w:ascii="Segoe UI" w:eastAsia="Segoe UI" w:hAnsi="Segoe UI" w:cs="Segoe UI"/>
          <w:szCs w:val="24"/>
          <w:lang w:val="es"/>
        </w:rPr>
      </w:pPr>
      <w:r w:rsidRPr="2F5C095B">
        <w:rPr>
          <w:rFonts w:ascii="Segoe UI" w:eastAsia="Segoe UI" w:hAnsi="Segoe UI" w:cs="Segoe UI"/>
          <w:szCs w:val="24"/>
          <w:lang w:val="es"/>
        </w:rPr>
        <w:t>Ángel David Gonzales Morales: 24-90348-5</w:t>
      </w:r>
    </w:p>
    <w:p w14:paraId="27B4ADEA" w14:textId="77777777" w:rsidR="001977AA" w:rsidRDefault="001977AA" w:rsidP="001977AA">
      <w:pPr>
        <w:pStyle w:val="Prrafodelista"/>
        <w:numPr>
          <w:ilvl w:val="0"/>
          <w:numId w:val="1"/>
        </w:numPr>
        <w:spacing w:after="0" w:line="360" w:lineRule="auto"/>
        <w:rPr>
          <w:rFonts w:ascii="Segoe UI" w:eastAsia="Segoe UI" w:hAnsi="Segoe UI" w:cs="Segoe UI"/>
          <w:szCs w:val="24"/>
          <w:lang w:val="es"/>
        </w:rPr>
      </w:pPr>
      <w:r w:rsidRPr="2F5C095B">
        <w:rPr>
          <w:rFonts w:ascii="Segoe UI" w:eastAsia="Segoe UI" w:hAnsi="Segoe UI" w:cs="Segoe UI"/>
          <w:szCs w:val="24"/>
          <w:lang w:val="es"/>
        </w:rPr>
        <w:t>William Roberto Cortez Mendieta: 24-90347-4</w:t>
      </w:r>
    </w:p>
    <w:p w14:paraId="5980B5AF" w14:textId="77777777" w:rsidR="001977AA" w:rsidRDefault="001977AA" w:rsidP="001977AA">
      <w:pPr>
        <w:pStyle w:val="Prrafodelista"/>
        <w:numPr>
          <w:ilvl w:val="0"/>
          <w:numId w:val="1"/>
        </w:numPr>
        <w:spacing w:after="0" w:line="360" w:lineRule="auto"/>
        <w:rPr>
          <w:rFonts w:ascii="Segoe UI" w:eastAsia="Segoe UI" w:hAnsi="Segoe UI" w:cs="Segoe UI"/>
          <w:szCs w:val="24"/>
          <w:lang w:val="es"/>
        </w:rPr>
      </w:pPr>
      <w:r w:rsidRPr="2F5C095B">
        <w:rPr>
          <w:rFonts w:ascii="Segoe UI" w:eastAsia="Segoe UI" w:hAnsi="Segoe UI" w:cs="Segoe UI"/>
          <w:szCs w:val="24"/>
          <w:lang w:val="es"/>
        </w:rPr>
        <w:t>Diego Manuel Baltodano Ruiz: 24-90293-5</w:t>
      </w:r>
    </w:p>
    <w:p w14:paraId="39C6E5F2" w14:textId="061F04C2" w:rsidR="001977AA" w:rsidRDefault="001977AA" w:rsidP="001977AA">
      <w:pPr>
        <w:spacing w:before="240" w:after="240" w:line="360" w:lineRule="auto"/>
        <w:rPr>
          <w:rFonts w:ascii="Segoe UI" w:eastAsia="Segoe UI" w:hAnsi="Segoe UI" w:cs="Segoe UI"/>
          <w:szCs w:val="24"/>
          <w:lang w:val="es-ES"/>
        </w:rPr>
      </w:pPr>
      <w:r w:rsidRPr="2C6B29C5">
        <w:rPr>
          <w:rFonts w:ascii="Segoe UI" w:eastAsia="Segoe UI" w:hAnsi="Segoe UI" w:cs="Segoe UI"/>
          <w:b/>
          <w:bCs/>
          <w:szCs w:val="24"/>
          <w:lang w:val="es-ES"/>
        </w:rPr>
        <w:t xml:space="preserve">Docente del componente integrador: </w:t>
      </w:r>
      <w:r w:rsidRPr="2C6B29C5">
        <w:rPr>
          <w:rFonts w:ascii="Segoe UI" w:eastAsia="Segoe UI" w:hAnsi="Segoe UI" w:cs="Segoe UI"/>
          <w:szCs w:val="24"/>
          <w:lang w:val="es-ES"/>
        </w:rPr>
        <w:t>Mtro.</w:t>
      </w:r>
      <w:r>
        <w:rPr>
          <w:rFonts w:ascii="Segoe UI" w:eastAsia="Segoe UI" w:hAnsi="Segoe UI" w:cs="Segoe UI"/>
          <w:szCs w:val="24"/>
          <w:lang w:val="es-ES"/>
        </w:rPr>
        <w:t xml:space="preserve"> Rosmery García</w:t>
      </w:r>
    </w:p>
    <w:p w14:paraId="1E7059EB" w14:textId="77777777" w:rsidR="001977AA" w:rsidRDefault="001977AA" w:rsidP="001977AA">
      <w:pPr>
        <w:spacing w:before="240" w:after="240" w:line="360" w:lineRule="auto"/>
        <w:jc w:val="center"/>
      </w:pPr>
      <w:r w:rsidRPr="2F5C095B">
        <w:rPr>
          <w:rFonts w:ascii="Segoe UI" w:eastAsia="Segoe UI" w:hAnsi="Segoe UI" w:cs="Segoe UI"/>
          <w:b/>
          <w:bCs/>
          <w:szCs w:val="24"/>
          <w:lang w:val="es"/>
        </w:rPr>
        <w:t xml:space="preserve">Jinotepe, </w:t>
      </w:r>
      <w:proofErr w:type="gramStart"/>
      <w:r>
        <w:rPr>
          <w:rFonts w:ascii="Segoe UI" w:eastAsia="Segoe UI" w:hAnsi="Segoe UI" w:cs="Segoe UI"/>
          <w:b/>
          <w:bCs/>
          <w:szCs w:val="24"/>
          <w:lang w:val="es"/>
        </w:rPr>
        <w:t>Marzo</w:t>
      </w:r>
      <w:proofErr w:type="gramEnd"/>
      <w:r>
        <w:rPr>
          <w:rFonts w:ascii="Segoe UI" w:eastAsia="Segoe UI" w:hAnsi="Segoe UI" w:cs="Segoe UI"/>
          <w:b/>
          <w:bCs/>
          <w:szCs w:val="24"/>
          <w:lang w:val="es"/>
        </w:rPr>
        <w:t xml:space="preserve"> 2026</w:t>
      </w:r>
    </w:p>
    <w:p w14:paraId="476D7996" w14:textId="77777777" w:rsidR="00866BEB" w:rsidRDefault="00866BEB" w:rsidP="001977AA"/>
    <w:p w14:paraId="22B361DC" w14:textId="77777777" w:rsidR="001977AA" w:rsidRDefault="001977AA" w:rsidP="001977AA"/>
    <w:p w14:paraId="5EAA8323" w14:textId="77777777" w:rsidR="001977AA" w:rsidRDefault="001977AA" w:rsidP="001977AA"/>
    <w:p w14:paraId="15359CBE" w14:textId="77777777" w:rsidR="001977AA" w:rsidRDefault="001977AA" w:rsidP="001977AA"/>
    <w:p w14:paraId="357031B5" w14:textId="0484A054" w:rsidR="001977AA" w:rsidRDefault="001977AA" w:rsidP="001977AA">
      <w:pPr>
        <w:jc w:val="center"/>
        <w:rPr>
          <w:sz w:val="28"/>
          <w:szCs w:val="28"/>
        </w:rPr>
      </w:pPr>
      <w:r>
        <w:rPr>
          <w:sz w:val="28"/>
          <w:szCs w:val="28"/>
        </w:rPr>
        <w:lastRenderedPageBreak/>
        <w:t>Información general del Proyecto.</w:t>
      </w:r>
    </w:p>
    <w:p w14:paraId="71FAF38F" w14:textId="384EAC64" w:rsidR="001977AA" w:rsidRPr="001977AA" w:rsidRDefault="001977AA" w:rsidP="001977AA">
      <w:pPr>
        <w:rPr>
          <w:szCs w:val="24"/>
        </w:rPr>
      </w:pPr>
      <w:r>
        <w:rPr>
          <w:szCs w:val="24"/>
        </w:rPr>
        <w:t xml:space="preserve">     </w:t>
      </w:r>
      <w:r w:rsidRPr="001977AA">
        <w:rPr>
          <w:szCs w:val="24"/>
        </w:rPr>
        <w:t>Actualmente, el control de inventario y las operaciones relacionadas se gestionan de forma manual, utilizando libretas físicas y hojas de cálculo en Excel. Este método, aunque sencillo, presenta limitaciones significativas para un manejo eficiente de los recursos. La ausencia de un sistema automatizado provoca retrasos en la detección de problemas, dificulta la obtención de información precisa y limita la capacidad de análisis histórico, afectando directamente la calidad del servicio y la toma de decisiones estratégicas.</w:t>
      </w:r>
    </w:p>
    <w:p w14:paraId="1F6D3820" w14:textId="3D3842CF" w:rsidR="001977AA" w:rsidRPr="001977AA" w:rsidRDefault="001977AA" w:rsidP="001977AA">
      <w:pPr>
        <w:rPr>
          <w:szCs w:val="24"/>
        </w:rPr>
      </w:pPr>
      <w:r w:rsidRPr="001977AA">
        <w:rPr>
          <w:szCs w:val="24"/>
        </w:rPr>
        <w:t> </w:t>
      </w:r>
      <w:r w:rsidRPr="001977AA">
        <w:rPr>
          <w:szCs w:val="24"/>
        </w:rPr>
        <w:br/>
      </w:r>
      <w:r w:rsidR="00424390">
        <w:rPr>
          <w:szCs w:val="24"/>
        </w:rPr>
        <w:t xml:space="preserve">     </w:t>
      </w:r>
      <w:r w:rsidRPr="001977AA">
        <w:rPr>
          <w:szCs w:val="24"/>
        </w:rPr>
        <w:t>La dependencia de registros manuales genera errores recurrentes y duplicaciones de datos, lo que compromete la exactitud de la información del inventario. Asimismo, la falta de un mecanismo de alerta automática impide detectar a tiempo la caducidad de medicamentos, ocasionando pérdidas económicas y riesgos para la salud. Del mismo modo, la inexistencia de reportes estructurados y confiables limita la capacidad de realizar análisis de ventas e inventario, reduciendo la efectividad en la planificación y en la toma de decisiones. Implementar una solución tecnológica automatizada permitiría optimizar procesos, garantizar la integridad de los datos y mejorar la eficiencia operativa.</w:t>
      </w:r>
    </w:p>
    <w:p w14:paraId="3C0EF765" w14:textId="77777777" w:rsidR="001977AA" w:rsidRPr="001977AA" w:rsidRDefault="001977AA" w:rsidP="001977AA">
      <w:pPr>
        <w:rPr>
          <w:szCs w:val="24"/>
        </w:rPr>
      </w:pPr>
      <w:r w:rsidRPr="001977AA">
        <w:rPr>
          <w:szCs w:val="24"/>
        </w:rPr>
        <w:t> </w:t>
      </w:r>
    </w:p>
    <w:p w14:paraId="2A6CC680" w14:textId="22DA1E3E" w:rsidR="001977AA" w:rsidRPr="001977AA" w:rsidRDefault="001977AA" w:rsidP="001977AA">
      <w:pPr>
        <w:rPr>
          <w:szCs w:val="24"/>
        </w:rPr>
      </w:pPr>
      <w:r w:rsidRPr="001977AA">
        <w:rPr>
          <w:szCs w:val="24"/>
        </w:rPr>
        <w:t>3. Alcance del Proyecto</w:t>
      </w:r>
      <w:r w:rsidRPr="001977AA">
        <w:rPr>
          <w:szCs w:val="24"/>
        </w:rPr>
        <w:br/>
        <w:t>    - Registro y actualización de medicamentos.</w:t>
      </w:r>
      <w:r w:rsidRPr="001977AA">
        <w:rPr>
          <w:szCs w:val="24"/>
        </w:rPr>
        <w:br/>
      </w:r>
      <w:r w:rsidRPr="001977AA">
        <w:rPr>
          <w:szCs w:val="24"/>
        </w:rPr>
        <w:br/>
        <w:t>    - Control de inventario con alertas de stock mínimo y productos próximos a caducar.</w:t>
      </w:r>
      <w:r w:rsidRPr="001977AA">
        <w:rPr>
          <w:szCs w:val="24"/>
        </w:rPr>
        <w:br/>
      </w:r>
      <w:r w:rsidRPr="001977AA">
        <w:rPr>
          <w:szCs w:val="24"/>
        </w:rPr>
        <w:br/>
        <w:t>    - Registro y gestión de ventas.</w:t>
      </w:r>
      <w:r w:rsidRPr="001977AA">
        <w:rPr>
          <w:szCs w:val="24"/>
        </w:rPr>
        <w:br/>
      </w:r>
      <w:r w:rsidRPr="001977AA">
        <w:rPr>
          <w:szCs w:val="24"/>
        </w:rPr>
        <w:br/>
        <w:t>    - Generación de reportes</w:t>
      </w:r>
      <w:r w:rsidR="00DC3759">
        <w:rPr>
          <w:szCs w:val="24"/>
        </w:rPr>
        <w:t xml:space="preserve">, </w:t>
      </w:r>
      <w:r w:rsidRPr="001977AA">
        <w:rPr>
          <w:szCs w:val="24"/>
        </w:rPr>
        <w:t>ventas e inventario.</w:t>
      </w:r>
      <w:r w:rsidRPr="001977AA">
        <w:rPr>
          <w:szCs w:val="24"/>
        </w:rPr>
        <w:br/>
      </w:r>
      <w:r w:rsidRPr="001977AA">
        <w:rPr>
          <w:szCs w:val="24"/>
        </w:rPr>
        <w:br/>
        <w:t>    - Autenticación y gestión de usuarios con roles y permisos.</w:t>
      </w:r>
      <w:r w:rsidRPr="001977AA">
        <w:rPr>
          <w:szCs w:val="24"/>
        </w:rPr>
        <w:br/>
      </w:r>
      <w:r w:rsidRPr="001977AA">
        <w:rPr>
          <w:szCs w:val="24"/>
        </w:rPr>
        <w:br/>
      </w:r>
      <w:r w:rsidR="007D2C7A">
        <w:rPr>
          <w:szCs w:val="24"/>
        </w:rPr>
        <w:t xml:space="preserve">    </w:t>
      </w:r>
      <w:r w:rsidRPr="001977AA">
        <w:rPr>
          <w:szCs w:val="24"/>
        </w:rPr>
        <w:t>- Usuarios que la consumirán y roles:</w:t>
      </w:r>
      <w:r w:rsidRPr="001977AA">
        <w:rPr>
          <w:szCs w:val="24"/>
        </w:rPr>
        <w:br/>
      </w:r>
      <w:r w:rsidRPr="001977AA">
        <w:rPr>
          <w:szCs w:val="24"/>
        </w:rPr>
        <w:br/>
        <w:t>    - Administrador: Control total del sistema, gestión de inventario, ventas, usuarios y reportes.</w:t>
      </w:r>
      <w:r w:rsidRPr="001977AA">
        <w:rPr>
          <w:szCs w:val="24"/>
        </w:rPr>
        <w:br/>
      </w:r>
      <w:r w:rsidRPr="001977AA">
        <w:rPr>
          <w:szCs w:val="24"/>
        </w:rPr>
        <w:br/>
        <w:t>    - Vendedor: Registro de ventas y consulta de stock disponible.</w:t>
      </w:r>
    </w:p>
    <w:p w14:paraId="0944C51F" w14:textId="77777777" w:rsidR="001977AA" w:rsidRPr="001977AA" w:rsidRDefault="001977AA" w:rsidP="001977AA">
      <w:pPr>
        <w:rPr>
          <w:szCs w:val="24"/>
        </w:rPr>
      </w:pPr>
    </w:p>
    <w:sectPr w:rsidR="001977AA" w:rsidRPr="001977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1216"/>
    <w:multiLevelType w:val="hybridMultilevel"/>
    <w:tmpl w:val="22047ABC"/>
    <w:lvl w:ilvl="0" w:tplc="FF1C90BE">
      <w:start w:val="1"/>
      <w:numFmt w:val="bullet"/>
      <w:lvlText w:val=""/>
      <w:lvlJc w:val="left"/>
      <w:pPr>
        <w:ind w:left="720" w:hanging="360"/>
      </w:pPr>
      <w:rPr>
        <w:rFonts w:ascii="Symbol" w:hAnsi="Symbol" w:hint="default"/>
      </w:rPr>
    </w:lvl>
    <w:lvl w:ilvl="1" w:tplc="324E57FA">
      <w:start w:val="1"/>
      <w:numFmt w:val="bullet"/>
      <w:lvlText w:val="o"/>
      <w:lvlJc w:val="left"/>
      <w:pPr>
        <w:ind w:left="1440" w:hanging="360"/>
      </w:pPr>
      <w:rPr>
        <w:rFonts w:ascii="Courier New" w:hAnsi="Courier New" w:hint="default"/>
      </w:rPr>
    </w:lvl>
    <w:lvl w:ilvl="2" w:tplc="6EE83718">
      <w:start w:val="1"/>
      <w:numFmt w:val="bullet"/>
      <w:lvlText w:val=""/>
      <w:lvlJc w:val="left"/>
      <w:pPr>
        <w:ind w:left="2160" w:hanging="360"/>
      </w:pPr>
      <w:rPr>
        <w:rFonts w:ascii="Wingdings" w:hAnsi="Wingdings" w:hint="default"/>
      </w:rPr>
    </w:lvl>
    <w:lvl w:ilvl="3" w:tplc="F46ECCA2">
      <w:start w:val="1"/>
      <w:numFmt w:val="bullet"/>
      <w:lvlText w:val=""/>
      <w:lvlJc w:val="left"/>
      <w:pPr>
        <w:ind w:left="2880" w:hanging="360"/>
      </w:pPr>
      <w:rPr>
        <w:rFonts w:ascii="Symbol" w:hAnsi="Symbol" w:hint="default"/>
      </w:rPr>
    </w:lvl>
    <w:lvl w:ilvl="4" w:tplc="01D47A82">
      <w:start w:val="1"/>
      <w:numFmt w:val="bullet"/>
      <w:lvlText w:val="o"/>
      <w:lvlJc w:val="left"/>
      <w:pPr>
        <w:ind w:left="3600" w:hanging="360"/>
      </w:pPr>
      <w:rPr>
        <w:rFonts w:ascii="Courier New" w:hAnsi="Courier New" w:hint="default"/>
      </w:rPr>
    </w:lvl>
    <w:lvl w:ilvl="5" w:tplc="2FAC5550">
      <w:start w:val="1"/>
      <w:numFmt w:val="bullet"/>
      <w:lvlText w:val=""/>
      <w:lvlJc w:val="left"/>
      <w:pPr>
        <w:ind w:left="4320" w:hanging="360"/>
      </w:pPr>
      <w:rPr>
        <w:rFonts w:ascii="Wingdings" w:hAnsi="Wingdings" w:hint="default"/>
      </w:rPr>
    </w:lvl>
    <w:lvl w:ilvl="6" w:tplc="41665C5E">
      <w:start w:val="1"/>
      <w:numFmt w:val="bullet"/>
      <w:lvlText w:val=""/>
      <w:lvlJc w:val="left"/>
      <w:pPr>
        <w:ind w:left="5040" w:hanging="360"/>
      </w:pPr>
      <w:rPr>
        <w:rFonts w:ascii="Symbol" w:hAnsi="Symbol" w:hint="default"/>
      </w:rPr>
    </w:lvl>
    <w:lvl w:ilvl="7" w:tplc="074E8E82">
      <w:start w:val="1"/>
      <w:numFmt w:val="bullet"/>
      <w:lvlText w:val="o"/>
      <w:lvlJc w:val="left"/>
      <w:pPr>
        <w:ind w:left="5760" w:hanging="360"/>
      </w:pPr>
      <w:rPr>
        <w:rFonts w:ascii="Courier New" w:hAnsi="Courier New" w:hint="default"/>
      </w:rPr>
    </w:lvl>
    <w:lvl w:ilvl="8" w:tplc="7FE29058">
      <w:start w:val="1"/>
      <w:numFmt w:val="bullet"/>
      <w:lvlText w:val=""/>
      <w:lvlJc w:val="left"/>
      <w:pPr>
        <w:ind w:left="6480" w:hanging="360"/>
      </w:pPr>
      <w:rPr>
        <w:rFonts w:ascii="Wingdings" w:hAnsi="Wingdings" w:hint="default"/>
      </w:rPr>
    </w:lvl>
  </w:abstractNum>
  <w:num w:numId="1" w16cid:durableId="205195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72"/>
    <w:rsid w:val="000A09B3"/>
    <w:rsid w:val="001977AA"/>
    <w:rsid w:val="00424390"/>
    <w:rsid w:val="0070675B"/>
    <w:rsid w:val="007D2C7A"/>
    <w:rsid w:val="00866BEB"/>
    <w:rsid w:val="00DC3759"/>
    <w:rsid w:val="00DD657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85CA9"/>
  <w15:chartTrackingRefBased/>
  <w15:docId w15:val="{A89D1DDA-0C2A-4384-9B10-4AFC8856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7AA"/>
    <w:rPr>
      <w:rFonts w:ascii="Times New Roman" w:hAnsi="Times New Roman"/>
      <w:sz w:val="24"/>
    </w:rPr>
  </w:style>
  <w:style w:type="paragraph" w:styleId="Ttulo1">
    <w:name w:val="heading 1"/>
    <w:basedOn w:val="Normal"/>
    <w:next w:val="Normal"/>
    <w:link w:val="Ttulo1Car"/>
    <w:uiPriority w:val="9"/>
    <w:qFormat/>
    <w:rsid w:val="00DD6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D6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D65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D65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D65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D65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65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65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65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657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D657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D657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D657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D657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D65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65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65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6572"/>
    <w:rPr>
      <w:rFonts w:eastAsiaTheme="majorEastAsia" w:cstheme="majorBidi"/>
      <w:color w:val="272727" w:themeColor="text1" w:themeTint="D8"/>
    </w:rPr>
  </w:style>
  <w:style w:type="paragraph" w:styleId="Ttulo">
    <w:name w:val="Title"/>
    <w:basedOn w:val="Normal"/>
    <w:next w:val="Normal"/>
    <w:link w:val="TtuloCar"/>
    <w:uiPriority w:val="10"/>
    <w:qFormat/>
    <w:rsid w:val="00DD6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65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65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65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6572"/>
    <w:pPr>
      <w:spacing w:before="160"/>
      <w:jc w:val="center"/>
    </w:pPr>
    <w:rPr>
      <w:i/>
      <w:iCs/>
      <w:color w:val="404040" w:themeColor="text1" w:themeTint="BF"/>
    </w:rPr>
  </w:style>
  <w:style w:type="character" w:customStyle="1" w:styleId="CitaCar">
    <w:name w:val="Cita Car"/>
    <w:basedOn w:val="Fuentedeprrafopredeter"/>
    <w:link w:val="Cita"/>
    <w:uiPriority w:val="29"/>
    <w:rsid w:val="00DD6572"/>
    <w:rPr>
      <w:i/>
      <w:iCs/>
      <w:color w:val="404040" w:themeColor="text1" w:themeTint="BF"/>
    </w:rPr>
  </w:style>
  <w:style w:type="paragraph" w:styleId="Prrafodelista">
    <w:name w:val="List Paragraph"/>
    <w:basedOn w:val="Normal"/>
    <w:uiPriority w:val="34"/>
    <w:qFormat/>
    <w:rsid w:val="00DD6572"/>
    <w:pPr>
      <w:ind w:left="720"/>
      <w:contextualSpacing/>
    </w:pPr>
  </w:style>
  <w:style w:type="character" w:styleId="nfasisintenso">
    <w:name w:val="Intense Emphasis"/>
    <w:basedOn w:val="Fuentedeprrafopredeter"/>
    <w:uiPriority w:val="21"/>
    <w:qFormat/>
    <w:rsid w:val="00DD6572"/>
    <w:rPr>
      <w:i/>
      <w:iCs/>
      <w:color w:val="2F5496" w:themeColor="accent1" w:themeShade="BF"/>
    </w:rPr>
  </w:style>
  <w:style w:type="paragraph" w:styleId="Citadestacada">
    <w:name w:val="Intense Quote"/>
    <w:basedOn w:val="Normal"/>
    <w:next w:val="Normal"/>
    <w:link w:val="CitadestacadaCar"/>
    <w:uiPriority w:val="30"/>
    <w:qFormat/>
    <w:rsid w:val="00DD6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D6572"/>
    <w:rPr>
      <w:i/>
      <w:iCs/>
      <w:color w:val="2F5496" w:themeColor="accent1" w:themeShade="BF"/>
    </w:rPr>
  </w:style>
  <w:style w:type="character" w:styleId="Referenciaintensa">
    <w:name w:val="Intense Reference"/>
    <w:basedOn w:val="Fuentedeprrafopredeter"/>
    <w:uiPriority w:val="32"/>
    <w:qFormat/>
    <w:rsid w:val="00DD65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349</Words>
  <Characters>1921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DAVID GONZALEZ MORALES</dc:creator>
  <cp:keywords/>
  <dc:description/>
  <cp:lastModifiedBy>ANGEL DAVID GONZALEZ MORALES</cp:lastModifiedBy>
  <cp:revision>4</cp:revision>
  <dcterms:created xsi:type="dcterms:W3CDTF">2026-03-19T16:18:00Z</dcterms:created>
  <dcterms:modified xsi:type="dcterms:W3CDTF">2026-03-19T16:55:00Z</dcterms:modified>
</cp:coreProperties>
</file>