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1c8b86394a3bbc3572102f24fbb4079ac4d3ca4"/>
    <w:p>
      <w:pPr>
        <w:pStyle w:val="Heading1"/>
      </w:pPr>
      <w:r>
        <w:t xml:space="preserve">Variables en JavaScript: Guía de Partes Importantes</w:t>
      </w:r>
    </w:p>
    <w:p>
      <w:r>
        <w:pict>
          <v:rect style="width:0;height:1.5pt" o:hralign="center" o:hrstd="t" o:hr="t"/>
        </w:pict>
      </w:r>
    </w:p>
    <w:bookmarkStart w:id="20" w:name="declarar-variables-var-let-const"/>
    <w:p>
      <w:pPr>
        <w:pStyle w:val="Heading2"/>
      </w:pPr>
      <w:r>
        <w:t xml:space="preserve">1. Declarar variables (var, let, const)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Puedes declarar variables con</w:t>
      </w:r>
      <w:r>
        <w:t xml:space="preserve"> </w:t>
      </w:r>
      <w:r>
        <w:rPr>
          <w:rStyle w:val="VerbatimChar"/>
        </w:rPr>
        <w:t xml:space="preserve">var</w:t>
      </w:r>
      <w:r>
        <w:t xml:space="preserve">,</w:t>
      </w:r>
      <w:r>
        <w:t xml:space="preserve"> </w:t>
      </w:r>
      <w:r>
        <w:rPr>
          <w:rStyle w:val="VerbatimChar"/>
        </w:rPr>
        <w:t xml:space="preserve">let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0"/>
    <w:bookmarkStart w:id="21" w:name="diferencias-entre-var-let-y-const"/>
    <w:p>
      <w:pPr>
        <w:pStyle w:val="Heading2"/>
      </w:pPr>
      <w:r>
        <w:t xml:space="preserve">2. Diferencias entre var, let y const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var</w:t>
      </w:r>
      <w:r>
        <w:t xml:space="preserve">: Declaración tradicional, alcance de función, permite redeclarar y reasignar.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let</w:t>
      </w:r>
      <w:r>
        <w:t xml:space="preserve">: Alcance de bloque, permite reasignar pero no redeclarar en el mismo bloque.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const</w:t>
      </w:r>
      <w:r>
        <w:t xml:space="preserve">: Alcance de bloque, no permite reasignar ni redeclarar.</w:t>
      </w:r>
    </w:p>
    <w:p>
      <w:pPr>
        <w:pStyle w:val="FirstParagraph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nombre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edad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3.1416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1"/>
    <w:bookmarkStart w:id="22" w:name="ámbito-de-las-variables-scope"/>
    <w:p>
      <w:pPr>
        <w:pStyle w:val="Heading2"/>
      </w:pPr>
      <w:r>
        <w:t xml:space="preserve">3. Ámbito de las variables (scope)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Determina desde dónde se puede acceder a una variable.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prueba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'a' está disponible aquí, 'b' también, 'c' no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3" w:name="variables-globales-y-locales"/>
    <w:p>
      <w:pPr>
        <w:pStyle w:val="Heading2"/>
      </w:pPr>
      <w:r>
        <w:t xml:space="preserve">4. Variables globales y locales</w:t>
      </w:r>
    </w:p>
    <w:p>
      <w:pPr>
        <w:pStyle w:val="FirstParagraph"/>
      </w:pPr>
      <w:r>
        <w:rPr>
          <w:b/>
          <w:bCs/>
        </w:rPr>
        <w:t xml:space="preserve">Explicación:</w:t>
      </w:r>
    </w:p>
    <w:p>
      <w:pPr>
        <w:pStyle w:val="Compact"/>
        <w:numPr>
          <w:ilvl w:val="0"/>
          <w:numId w:val="1002"/>
        </w:numPr>
      </w:pPr>
      <w:r>
        <w:t xml:space="preserve">Global: Declarada fuera de cualquier función/bloque.</w:t>
      </w:r>
    </w:p>
    <w:p>
      <w:pPr>
        <w:pStyle w:val="Compact"/>
        <w:numPr>
          <w:ilvl w:val="0"/>
          <w:numId w:val="1002"/>
        </w:numPr>
      </w:pPr>
      <w:r>
        <w:t xml:space="preserve">Local: Declarada dentro de una función o bloque.</w:t>
      </w:r>
    </w:p>
    <w:p>
      <w:pPr>
        <w:pStyle w:val="FirstParagraph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global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"afuera"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"adentro"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inicialización-de-variables"/>
    <w:p>
      <w:pPr>
        <w:pStyle w:val="Heading2"/>
      </w:pPr>
      <w:r>
        <w:t xml:space="preserve">5. Inicialización de variables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Asignar un valor inicial al declarar la variable.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Inicializada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No inicializada</w:t>
      </w:r>
    </w:p>
    <w:p>
      <w:r>
        <w:pict>
          <v:rect style="width:0;height:1.5pt" o:hralign="center" o:hrstd="t" o:hr="t"/>
        </w:pict>
      </w:r>
    </w:p>
    <w:bookmarkEnd w:id="24"/>
    <w:bookmarkStart w:id="25" w:name="reasignación-de-valores"/>
    <w:p>
      <w:pPr>
        <w:pStyle w:val="Heading2"/>
      </w:pPr>
      <w:r>
        <w:t xml:space="preserve">6. Reasignación de valores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Cambiar el valor de una variable (menos const).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Reasignación</w:t>
      </w:r>
    </w:p>
    <w:p>
      <w:r>
        <w:pict>
          <v:rect style="width:0;height:1.5pt" o:hralign="center" o:hrstd="t" o:hr="t"/>
        </w:pict>
      </w:r>
    </w:p>
    <w:bookmarkEnd w:id="25"/>
    <w:bookmarkStart w:id="26" w:name="hoisting-de-variables"/>
    <w:p>
      <w:pPr>
        <w:pStyle w:val="Heading2"/>
      </w:pPr>
      <w:r>
        <w:t xml:space="preserve">7. Hoisting de variables</w:t>
      </w:r>
    </w:p>
    <w:p>
      <w:pPr>
        <w:pStyle w:val="FirstParagraph"/>
      </w:pPr>
      <w:r>
        <w:rPr>
          <w:b/>
          <w:bCs/>
        </w:rPr>
        <w:t xml:space="preserve">Explicación: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var</w:t>
      </w:r>
      <w:r>
        <w:t xml:space="preserve"> </w:t>
      </w:r>
      <w:r>
        <w:t xml:space="preserve">es elevada (hoisting) y su valor es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antes de la asignación.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let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también se elevan, pero no se pueden usar antes de su declaración.</w:t>
      </w:r>
    </w:p>
    <w:p>
      <w:pPr>
        <w:pStyle w:val="FirstParagraph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undefined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//console.log(b); // Error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6"/>
    <w:bookmarkStart w:id="27" w:name="constantes-y-mutabilidad"/>
    <w:p>
      <w:pPr>
        <w:pStyle w:val="Heading2"/>
      </w:pPr>
      <w:r>
        <w:t xml:space="preserve">8. Constantes y mutabilidad</w:t>
      </w:r>
    </w:p>
    <w:p>
      <w:pPr>
        <w:pStyle w:val="FirstParagraph"/>
      </w:pPr>
      <w:r>
        <w:rPr>
          <w:b/>
          <w:bCs/>
        </w:rPr>
        <w:t xml:space="preserve">Explicación: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const</w:t>
      </w:r>
      <w:r>
        <w:t xml:space="preserve"> </w:t>
      </w:r>
      <w:r>
        <w:t xml:space="preserve">no permite cambiar la referencia, pero sí modificar objetos o arrays a los que apunta.</w:t>
      </w:r>
    </w:p>
    <w:p>
      <w:pPr>
        <w:pStyle w:val="FirstParagraph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nombre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"Ana"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persona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nombre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"Juan"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Permitido</w:t>
      </w:r>
      <w:r>
        <w:br/>
      </w:r>
      <w:r>
        <w:rPr>
          <w:rStyle w:val="CommentTok"/>
        </w:rPr>
        <w:t xml:space="preserve">//persona = {}; // Error</w:t>
      </w:r>
    </w:p>
    <w:p>
      <w:r>
        <w:pict>
          <v:rect style="width:0;height:1.5pt" o:hralign="center" o:hrstd="t" o:hr="t"/>
        </w:pict>
      </w:r>
    </w:p>
    <w:bookmarkEnd w:id="27"/>
    <w:bookmarkStart w:id="28" w:name="X244e2f399a9a52d112c5a3132f98114ee55d886"/>
    <w:p>
      <w:pPr>
        <w:pStyle w:val="Heading2"/>
      </w:pPr>
      <w:r>
        <w:t xml:space="preserve">9. Nombres válidos para variables (naming conventions)</w:t>
      </w:r>
    </w:p>
    <w:p>
      <w:pPr>
        <w:pStyle w:val="FirstParagraph"/>
      </w:pPr>
      <w:r>
        <w:rPr>
          <w:b/>
          <w:bCs/>
        </w:rPr>
        <w:t xml:space="preserve">Explicación:</w:t>
      </w:r>
    </w:p>
    <w:p>
      <w:pPr>
        <w:pStyle w:val="Compact"/>
        <w:numPr>
          <w:ilvl w:val="0"/>
          <w:numId w:val="1005"/>
        </w:numPr>
      </w:pPr>
      <w:r>
        <w:t xml:space="preserve">Letras, dígitos (no al inicio), $, _</w:t>
      </w:r>
    </w:p>
    <w:p>
      <w:pPr>
        <w:pStyle w:val="Compact"/>
        <w:numPr>
          <w:ilvl w:val="0"/>
          <w:numId w:val="1005"/>
        </w:numPr>
      </w:pPr>
      <w:r>
        <w:t xml:space="preserve">Sensibles a mayúsculas y minúsculas</w:t>
      </w:r>
    </w:p>
    <w:p>
      <w:pPr>
        <w:pStyle w:val="Compact"/>
        <w:numPr>
          <w:ilvl w:val="0"/>
          <w:numId w:val="1005"/>
        </w:numPr>
      </w:pPr>
      <w:r>
        <w:t xml:space="preserve">Convención: camelCase</w:t>
      </w:r>
    </w:p>
    <w:p>
      <w:pPr>
        <w:pStyle w:val="FirstParagraph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edadUsuario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$total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_contador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8"/>
    <w:bookmarkStart w:id="29" w:name="X452740557fbb0b2130d9c2d5a452eb348e38b3b"/>
    <w:p>
      <w:pPr>
        <w:pStyle w:val="Heading2"/>
      </w:pPr>
      <w:r>
        <w:t xml:space="preserve">10. Tipos de datos primitivos almacenados en variables</w:t>
      </w:r>
    </w:p>
    <w:p>
      <w:pPr>
        <w:pStyle w:val="FirstParagraph"/>
      </w:pPr>
      <w:r>
        <w:rPr>
          <w:b/>
          <w:bCs/>
        </w:rPr>
        <w:t xml:space="preserve">Explicación:</w:t>
      </w:r>
    </w:p>
    <w:p>
      <w:pPr>
        <w:pStyle w:val="Compact"/>
        <w:numPr>
          <w:ilvl w:val="0"/>
          <w:numId w:val="1006"/>
        </w:numPr>
      </w:pPr>
      <w:r>
        <w:t xml:space="preserve">number, string, boolean, undefined, null, symbol, bigint</w:t>
      </w:r>
    </w:p>
    <w:p>
      <w:pPr>
        <w:pStyle w:val="FirstParagraph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number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texto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string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activo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boolean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nada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null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noDefinido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undefined</w:t>
      </w:r>
    </w:p>
    <w:p>
      <w:r>
        <w:pict>
          <v:rect style="width:0;height:1.5pt" o:hralign="center" o:hrstd="t" o:hr="t"/>
        </w:pict>
      </w:r>
    </w:p>
    <w:bookmarkEnd w:id="29"/>
    <w:bookmarkStart w:id="30" w:name="X00af4e0c6f83f30d214df2db8b13106f4e12243"/>
    <w:p>
      <w:pPr>
        <w:pStyle w:val="Heading2"/>
      </w:pPr>
      <w:r>
        <w:t xml:space="preserve">11. Declarar múltiples variables en una sola línea</w:t>
      </w:r>
    </w:p>
    <w:p>
      <w:pPr>
        <w:pStyle w:val="FirstParagraph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0"/>
    <w:bookmarkStart w:id="31" w:name="variables-no-inicializadas-undefined"/>
    <w:p>
      <w:pPr>
        <w:pStyle w:val="Heading2"/>
      </w:pPr>
      <w:r>
        <w:t xml:space="preserve">12. Variables no inicializadas (undefined)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Si una variable se declara pero no se inicializa, su valor es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undefined</w:t>
      </w:r>
    </w:p>
    <w:p>
      <w:r>
        <w:pict>
          <v:rect style="width:0;height:1.5pt" o:hralign="center" o:hrstd="t" o:hr="t"/>
        </w:pict>
      </w:r>
    </w:p>
    <w:bookmarkEnd w:id="31"/>
    <w:bookmarkStart w:id="32" w:name="shadowing-de-variables"/>
    <w:p>
      <w:pPr>
        <w:pStyle w:val="Heading2"/>
      </w:pPr>
      <w:r>
        <w:t xml:space="preserve">13. Shadowing de variables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Una variable local puede</w:t>
      </w:r>
      <w:r>
        <w:t xml:space="preserve"> </w:t>
      </w:r>
      <w:r>
        <w:t xml:space="preserve">“ocultar”</w:t>
      </w:r>
      <w:r>
        <w:t xml:space="preserve"> </w:t>
      </w:r>
      <w:r>
        <w:t xml:space="preserve">una variable global con el mismo nombre.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Oculta la global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</w:p>
    <w:p>
      <w:r>
        <w:pict>
          <v:rect style="width:0;height:1.5pt" o:hralign="center" o:hrstd="t" o:hr="t"/>
        </w:pict>
      </w:r>
    </w:p>
    <w:bookmarkEnd w:id="32"/>
    <w:bookmarkStart w:id="33" w:name="X96440c94bb9faea75d1401d7ca3a793c5b3c637"/>
    <w:p>
      <w:pPr>
        <w:pStyle w:val="Heading2"/>
      </w:pPr>
      <w:r>
        <w:t xml:space="preserve">14. Acceso y modificación del valor de una variable</w:t>
      </w:r>
    </w:p>
    <w:p>
      <w:pPr>
        <w:pStyle w:val="FirstParagraph"/>
      </w:pPr>
      <w:r>
        <w:rPr>
          <w:b/>
          <w:bCs/>
        </w:rPr>
        <w:t xml:space="preserve">Explicación:</w:t>
      </w:r>
      <w:r>
        <w:t xml:space="preserve"> </w:t>
      </w:r>
      <w:r>
        <w:t xml:space="preserve">Acceder es simplemente usar su nombre, modificar es reasignar.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"rojo"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Modificación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(color)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2025-06-11T14:55:25Z</dcterms:created>
  <dcterms:modified xsi:type="dcterms:W3CDTF">2025-06-11T14:55:25Z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