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E3E9E" w14:textId="77777777" w:rsidR="00083952" w:rsidRPr="00083952" w:rsidRDefault="00083952" w:rsidP="00083952">
      <w:pPr>
        <w:rPr>
          <w:b/>
          <w:bCs/>
        </w:rPr>
      </w:pPr>
      <w:r w:rsidRPr="00083952">
        <w:rPr>
          <w:b/>
          <w:bCs/>
        </w:rPr>
        <w:t>1. Variables de Rentabilidad (Desempeño)</w:t>
      </w:r>
    </w:p>
    <w:p w14:paraId="24F4F0FE" w14:textId="77777777" w:rsidR="00083952" w:rsidRPr="00083952" w:rsidRDefault="00083952" w:rsidP="00083952">
      <w:pPr>
        <w:numPr>
          <w:ilvl w:val="0"/>
          <w:numId w:val="1"/>
        </w:numPr>
      </w:pPr>
      <w:r w:rsidRPr="00083952">
        <w:rPr>
          <w:b/>
          <w:bCs/>
        </w:rPr>
        <w:t>ROA (Return on Assets / Retorno sobre Activos):</w:t>
      </w:r>
      <w:r w:rsidRPr="00083952">
        <w:t xml:space="preserve"> Es la métrica estrella de eficiencia operativa. Indica cuánta ganancia genera la empresa por cada dólar/peso que tiene invertido en activos. Matemáticamente es </w:t>
      </w:r>
      <w:r w:rsidRPr="00083952">
        <w:rPr>
          <w:i/>
          <w:iCs/>
        </w:rPr>
        <w:t>(Ingreso Neto / Activos Totales)</w:t>
      </w:r>
      <w:r w:rsidRPr="00083952">
        <w:t>. Si el ROA es alto, la gerencia es muy eficiente administrando los recursos.</w:t>
      </w:r>
    </w:p>
    <w:p w14:paraId="63CDFF96" w14:textId="77777777" w:rsidR="00083952" w:rsidRPr="00083952" w:rsidRDefault="00083952" w:rsidP="00083952">
      <w:pPr>
        <w:numPr>
          <w:ilvl w:val="0"/>
          <w:numId w:val="1"/>
        </w:numPr>
      </w:pPr>
      <w:r w:rsidRPr="00083952">
        <w:rPr>
          <w:b/>
          <w:bCs/>
        </w:rPr>
        <w:t>ROE (Return on Equity / Retorno sobre el Patrimonio):</w:t>
      </w:r>
      <w:r w:rsidRPr="00083952">
        <w:t xml:space="preserve"> Mide la rentabilidad desde la perspectiva de los dueños/accionistas. Indica cuánta ganancia se genera por cada unidad de capital invertido por ellos. </w:t>
      </w:r>
      <w:r w:rsidRPr="00083952">
        <w:rPr>
          <w:i/>
          <w:iCs/>
        </w:rPr>
        <w:t>(Ingreso Neto / Patrimonio de los Accionistas)</w:t>
      </w:r>
      <w:r w:rsidRPr="00083952">
        <w:t>.</w:t>
      </w:r>
    </w:p>
    <w:p w14:paraId="70D309FC" w14:textId="77777777" w:rsidR="00083952" w:rsidRPr="00083952" w:rsidRDefault="00083952" w:rsidP="00083952">
      <w:pPr>
        <w:rPr>
          <w:b/>
          <w:bCs/>
        </w:rPr>
      </w:pPr>
      <w:r w:rsidRPr="00083952">
        <w:rPr>
          <w:b/>
          <w:bCs/>
        </w:rPr>
        <w:t>2. Variables de Tamaño y Escala</w:t>
      </w:r>
    </w:p>
    <w:p w14:paraId="6B330959" w14:textId="77777777" w:rsidR="00083952" w:rsidRPr="00083952" w:rsidRDefault="00083952" w:rsidP="00083952">
      <w:pPr>
        <w:numPr>
          <w:ilvl w:val="0"/>
          <w:numId w:val="2"/>
        </w:numPr>
      </w:pPr>
      <w:r w:rsidRPr="00083952">
        <w:rPr>
          <w:b/>
          <w:bCs/>
        </w:rPr>
        <w:t>asset (Activos Totales):</w:t>
      </w:r>
      <w:r w:rsidRPr="00083952">
        <w:t xml:space="preserve"> Es el valor monetario bruto de todo lo que posee la empresa (efectivo, maquinaria, edificios, patentes, etc.).</w:t>
      </w:r>
    </w:p>
    <w:p w14:paraId="1FFA7E77" w14:textId="77777777" w:rsidR="00083952" w:rsidRPr="00083952" w:rsidRDefault="00083952" w:rsidP="00083952">
      <w:pPr>
        <w:numPr>
          <w:ilvl w:val="0"/>
          <w:numId w:val="2"/>
        </w:numPr>
      </w:pPr>
      <w:r w:rsidRPr="00083952">
        <w:rPr>
          <w:b/>
          <w:bCs/>
        </w:rPr>
        <w:t>sales (Ventas Totales):</w:t>
      </w:r>
      <w:r w:rsidRPr="00083952">
        <w:t xml:space="preserve"> Los ingresos brutos totales generados por la venta de bienes o servicios durante el año fiscal.</w:t>
      </w:r>
    </w:p>
    <w:p w14:paraId="67D25AB1" w14:textId="77777777" w:rsidR="00083952" w:rsidRPr="00083952" w:rsidRDefault="00083952" w:rsidP="00083952">
      <w:pPr>
        <w:numPr>
          <w:ilvl w:val="0"/>
          <w:numId w:val="2"/>
        </w:numPr>
      </w:pPr>
      <w:r w:rsidRPr="00083952">
        <w:rPr>
          <w:b/>
          <w:bCs/>
        </w:rPr>
        <w:t>SIZE (Tamaño Logarítmico):</w:t>
      </w:r>
      <w:r w:rsidRPr="00083952">
        <w:t xml:space="preserve"> En estadística financiera, comparar una empresa que factura 10 millones con una que factura 10,000 millones es muy difícil porque distorsiona los gráficos y modelos. Por eso, SIZE suele ser el </w:t>
      </w:r>
      <w:r w:rsidRPr="00083952">
        <w:rPr>
          <w:i/>
          <w:iCs/>
        </w:rPr>
        <w:t>Logaritmo Natural de los Activos Totales</w:t>
      </w:r>
      <w:r w:rsidRPr="00083952">
        <w:t>. Esto comprime la escala y permite comparar a gigantes y a pymes en un mismo modelo (economías de escala).</w:t>
      </w:r>
    </w:p>
    <w:p w14:paraId="0BEE32BD" w14:textId="77777777" w:rsidR="00083952" w:rsidRPr="00083952" w:rsidRDefault="00083952" w:rsidP="00083952">
      <w:pPr>
        <w:rPr>
          <w:b/>
          <w:bCs/>
        </w:rPr>
      </w:pPr>
      <w:r w:rsidRPr="00083952">
        <w:rPr>
          <w:b/>
          <w:bCs/>
        </w:rPr>
        <w:t>3. Variables de Estructura y Riesgo Financiero</w:t>
      </w:r>
    </w:p>
    <w:p w14:paraId="4C1D287E" w14:textId="77777777" w:rsidR="00083952" w:rsidRPr="00083952" w:rsidRDefault="00083952" w:rsidP="00083952">
      <w:pPr>
        <w:numPr>
          <w:ilvl w:val="0"/>
          <w:numId w:val="3"/>
        </w:numPr>
      </w:pPr>
      <w:r w:rsidRPr="00083952">
        <w:rPr>
          <w:b/>
          <w:bCs/>
        </w:rPr>
        <w:t>LEV (Leverage / Apalancamiento):</w:t>
      </w:r>
      <w:r w:rsidRPr="00083952">
        <w:t xml:space="preserve"> Mide el nivel de endeudamiento. Se calcula como </w:t>
      </w:r>
      <w:r w:rsidRPr="00083952">
        <w:rPr>
          <w:i/>
          <w:iCs/>
        </w:rPr>
        <w:t>(Pasivos Totales / Activos Totales)</w:t>
      </w:r>
      <w:r w:rsidRPr="00083952">
        <w:t>. Si el LEV es de 0.60, significa que el 60% de lo que tiene la empresa está financiado con deuda externa (bancos, bonos). Un apalancamiento muy alto aumenta el riesgo de quiebra.</w:t>
      </w:r>
    </w:p>
    <w:p w14:paraId="15A74D95" w14:textId="77777777" w:rsidR="00083952" w:rsidRPr="00083952" w:rsidRDefault="00083952" w:rsidP="00083952">
      <w:pPr>
        <w:numPr>
          <w:ilvl w:val="0"/>
          <w:numId w:val="3"/>
        </w:numPr>
      </w:pPr>
      <w:r w:rsidRPr="00083952">
        <w:rPr>
          <w:b/>
          <w:bCs/>
        </w:rPr>
        <w:t>AGE (Edad / Madurez):</w:t>
      </w:r>
      <w:r w:rsidRPr="00083952">
        <w:t xml:space="preserve"> Son los años que lleva la corporación operando o cotizando en bolsa. Sirve para ver si las startups (baja edad) se comportan diferente a las corporaciones tradicionales y maduras.</w:t>
      </w:r>
    </w:p>
    <w:p w14:paraId="4E57FE82" w14:textId="77777777" w:rsidR="00083952" w:rsidRPr="00083952" w:rsidRDefault="00083952" w:rsidP="00083952">
      <w:pPr>
        <w:rPr>
          <w:b/>
          <w:bCs/>
        </w:rPr>
      </w:pPr>
      <w:r w:rsidRPr="00083952">
        <w:rPr>
          <w:b/>
          <w:bCs/>
        </w:rPr>
        <w:t>4. Variables Operativas y de Liquidez</w:t>
      </w:r>
    </w:p>
    <w:p w14:paraId="20CB8F9B" w14:textId="77777777" w:rsidR="00083952" w:rsidRPr="00083952" w:rsidRDefault="00083952" w:rsidP="00083952">
      <w:pPr>
        <w:numPr>
          <w:ilvl w:val="0"/>
          <w:numId w:val="4"/>
        </w:numPr>
      </w:pPr>
      <w:r w:rsidRPr="00083952">
        <w:rPr>
          <w:b/>
          <w:bCs/>
        </w:rPr>
        <w:t>CFO (Cash Flow from Operations / Flujo de Caja Operativo):</w:t>
      </w:r>
      <w:r w:rsidRPr="00083952">
        <w:t xml:space="preserve"> Es el dinero contante y sonante (efectivo real) que entra a la caja de la empresa por su operación básica (normalizado por los activos). A diferencia de las ganancias netas (que pueden estar "maquilladas" contablemente), el CFO te dice si el negocio principal realmente genera liquidez.</w:t>
      </w:r>
    </w:p>
    <w:p w14:paraId="3C50E0A3" w14:textId="77777777" w:rsidR="00083952" w:rsidRPr="00083952" w:rsidRDefault="00083952" w:rsidP="00083952">
      <w:pPr>
        <w:numPr>
          <w:ilvl w:val="0"/>
          <w:numId w:val="4"/>
        </w:numPr>
      </w:pPr>
      <w:r w:rsidRPr="00083952">
        <w:rPr>
          <w:b/>
          <w:bCs/>
        </w:rPr>
        <w:lastRenderedPageBreak/>
        <w:t>INVREC (Intensity of Inventory and Receivables):</w:t>
      </w:r>
      <w:r w:rsidRPr="00083952">
        <w:t xml:space="preserve"> Mide qué porcentaje de los activos totales está "atrapado" o inmovilizado en </w:t>
      </w:r>
      <w:r w:rsidRPr="00083952">
        <w:rPr>
          <w:b/>
          <w:bCs/>
        </w:rPr>
        <w:t>Inv</w:t>
      </w:r>
      <w:r w:rsidRPr="00083952">
        <w:t>entarios (mercancía sin vender) y Cuentas por Cobrar (</w:t>
      </w:r>
      <w:r w:rsidRPr="00083952">
        <w:rPr>
          <w:b/>
          <w:bCs/>
        </w:rPr>
        <w:t>Rec</w:t>
      </w:r>
      <w:r w:rsidRPr="00083952">
        <w:t>eivables - dinero que los clientes aún no pagan). Un nivel muy alto puede indicar problemas de liquidez o ineficiencia comercial.</w:t>
      </w:r>
    </w:p>
    <w:p w14:paraId="05C690F4" w14:textId="77777777" w:rsidR="00083952" w:rsidRPr="00083952" w:rsidRDefault="00083952" w:rsidP="00083952">
      <w:pPr>
        <w:rPr>
          <w:b/>
          <w:bCs/>
        </w:rPr>
      </w:pPr>
      <w:r w:rsidRPr="00083952">
        <w:rPr>
          <w:b/>
          <w:bCs/>
        </w:rPr>
        <w:t>5. Variables de Expectativa de Mercado</w:t>
      </w:r>
    </w:p>
    <w:p w14:paraId="2DB39BE9" w14:textId="77777777" w:rsidR="00083952" w:rsidRPr="00083952" w:rsidRDefault="00083952" w:rsidP="00083952">
      <w:pPr>
        <w:numPr>
          <w:ilvl w:val="0"/>
          <w:numId w:val="5"/>
        </w:numPr>
      </w:pPr>
      <w:r w:rsidRPr="00083952">
        <w:rPr>
          <w:b/>
          <w:bCs/>
        </w:rPr>
        <w:t>MB (Market-to-Book Ratio / Relación Valor de Mercado a Valor en Libros):</w:t>
      </w:r>
      <w:r w:rsidRPr="00083952">
        <w:t xml:space="preserve"> Compara lo que vale la empresa en la bolsa de valores (precio de sus acciones) contra lo que dicen sus libros contables que vale. Un MB alto indica que los inversionistas tienen expectativas inmensas de que la empresa crecerá mucho en el futuro (típico en empresas tecnológicas). Un MB menor a 1 sugiere que el mercado cree que la empresa vale menos que sus propios activos.</w:t>
      </w:r>
    </w:p>
    <w:p w14:paraId="71DB55B3" w14:textId="7E30ACCE" w:rsidR="00083952" w:rsidRDefault="00A142BB">
      <w:r w:rsidRPr="00A142BB">
        <w:drawing>
          <wp:inline distT="0" distB="0" distL="0" distR="0" wp14:anchorId="2C624C21" wp14:editId="529392E1">
            <wp:extent cx="5400040" cy="2306320"/>
            <wp:effectExtent l="0" t="0" r="0" b="0"/>
            <wp:docPr id="336934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4204" name=""/>
                    <pic:cNvPicPr/>
                  </pic:nvPicPr>
                  <pic:blipFill>
                    <a:blip r:embed="rId5"/>
                    <a:stretch>
                      <a:fillRect/>
                    </a:stretch>
                  </pic:blipFill>
                  <pic:spPr>
                    <a:xfrm>
                      <a:off x="0" y="0"/>
                      <a:ext cx="5400040" cy="2306320"/>
                    </a:xfrm>
                    <a:prstGeom prst="rect">
                      <a:avLst/>
                    </a:prstGeom>
                  </pic:spPr>
                </pic:pic>
              </a:graphicData>
            </a:graphic>
          </wp:inline>
        </w:drawing>
      </w:r>
    </w:p>
    <w:sectPr w:rsidR="000839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36489"/>
    <w:multiLevelType w:val="multilevel"/>
    <w:tmpl w:val="660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20742"/>
    <w:multiLevelType w:val="multilevel"/>
    <w:tmpl w:val="2B82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0153F"/>
    <w:multiLevelType w:val="multilevel"/>
    <w:tmpl w:val="82D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94443E"/>
    <w:multiLevelType w:val="multilevel"/>
    <w:tmpl w:val="956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E1AD1"/>
    <w:multiLevelType w:val="multilevel"/>
    <w:tmpl w:val="FFFC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504548">
    <w:abstractNumId w:val="1"/>
  </w:num>
  <w:num w:numId="2" w16cid:durableId="928000520">
    <w:abstractNumId w:val="4"/>
  </w:num>
  <w:num w:numId="3" w16cid:durableId="1905600194">
    <w:abstractNumId w:val="2"/>
  </w:num>
  <w:num w:numId="4" w16cid:durableId="707485110">
    <w:abstractNumId w:val="0"/>
  </w:num>
  <w:num w:numId="5" w16cid:durableId="396972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952"/>
    <w:rsid w:val="00083952"/>
    <w:rsid w:val="008A494A"/>
    <w:rsid w:val="00A142BB"/>
    <w:rsid w:val="00CB250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C2EFD"/>
  <w15:chartTrackingRefBased/>
  <w15:docId w15:val="{900178BB-256F-4F24-B59C-F814F82F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3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3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39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39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39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39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39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39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39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39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39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39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39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39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39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39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39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3952"/>
    <w:rPr>
      <w:rFonts w:eastAsiaTheme="majorEastAsia" w:cstheme="majorBidi"/>
      <w:color w:val="272727" w:themeColor="text1" w:themeTint="D8"/>
    </w:rPr>
  </w:style>
  <w:style w:type="paragraph" w:styleId="Ttulo">
    <w:name w:val="Title"/>
    <w:basedOn w:val="Normal"/>
    <w:next w:val="Normal"/>
    <w:link w:val="TtuloCar"/>
    <w:uiPriority w:val="10"/>
    <w:qFormat/>
    <w:rsid w:val="00083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39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39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39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3952"/>
    <w:pPr>
      <w:spacing w:before="160"/>
      <w:jc w:val="center"/>
    </w:pPr>
    <w:rPr>
      <w:i/>
      <w:iCs/>
      <w:color w:val="404040" w:themeColor="text1" w:themeTint="BF"/>
    </w:rPr>
  </w:style>
  <w:style w:type="character" w:customStyle="1" w:styleId="CitaCar">
    <w:name w:val="Cita Car"/>
    <w:basedOn w:val="Fuentedeprrafopredeter"/>
    <w:link w:val="Cita"/>
    <w:uiPriority w:val="29"/>
    <w:rsid w:val="00083952"/>
    <w:rPr>
      <w:i/>
      <w:iCs/>
      <w:color w:val="404040" w:themeColor="text1" w:themeTint="BF"/>
    </w:rPr>
  </w:style>
  <w:style w:type="paragraph" w:styleId="Prrafodelista">
    <w:name w:val="List Paragraph"/>
    <w:basedOn w:val="Normal"/>
    <w:uiPriority w:val="34"/>
    <w:qFormat/>
    <w:rsid w:val="00083952"/>
    <w:pPr>
      <w:ind w:left="720"/>
      <w:contextualSpacing/>
    </w:pPr>
  </w:style>
  <w:style w:type="character" w:styleId="nfasisintenso">
    <w:name w:val="Intense Emphasis"/>
    <w:basedOn w:val="Fuentedeprrafopredeter"/>
    <w:uiPriority w:val="21"/>
    <w:qFormat/>
    <w:rsid w:val="00083952"/>
    <w:rPr>
      <w:i/>
      <w:iCs/>
      <w:color w:val="0F4761" w:themeColor="accent1" w:themeShade="BF"/>
    </w:rPr>
  </w:style>
  <w:style w:type="paragraph" w:styleId="Citadestacada">
    <w:name w:val="Intense Quote"/>
    <w:basedOn w:val="Normal"/>
    <w:next w:val="Normal"/>
    <w:link w:val="CitadestacadaCar"/>
    <w:uiPriority w:val="30"/>
    <w:qFormat/>
    <w:rsid w:val="00083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3952"/>
    <w:rPr>
      <w:i/>
      <w:iCs/>
      <w:color w:val="0F4761" w:themeColor="accent1" w:themeShade="BF"/>
    </w:rPr>
  </w:style>
  <w:style w:type="character" w:styleId="Referenciaintensa">
    <w:name w:val="Intense Reference"/>
    <w:basedOn w:val="Fuentedeprrafopredeter"/>
    <w:uiPriority w:val="32"/>
    <w:qFormat/>
    <w:rsid w:val="00083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2540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NUESTRO HOGAR</dc:creator>
  <cp:keywords/>
  <dc:description/>
  <cp:lastModifiedBy>NUESTRO HOGAR</cp:lastModifiedBy>
  <cp:revision>2</cp:revision>
  <dcterms:created xsi:type="dcterms:W3CDTF">2026-04-28T02:07:00Z</dcterms:created>
  <dcterms:modified xsi:type="dcterms:W3CDTF">2026-05-02T21:10:00Z</dcterms:modified>
</cp:coreProperties>
</file>