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B8617" w14:textId="77777777" w:rsidR="009E57CD" w:rsidRDefault="00A4297A">
      <w:pPr>
        <w:spacing w:before="1440" w:after="320"/>
        <w:jc w:val="center"/>
      </w:pPr>
      <w:r>
        <w:rPr>
          <w:b/>
          <w:bCs/>
          <w:color w:val="1E3A5F"/>
          <w:sz w:val="60"/>
          <w:szCs w:val="60"/>
        </w:rPr>
        <w:t>KoTaP – Análisis Financiero</w:t>
      </w:r>
    </w:p>
    <w:p w14:paraId="09F3DC9A" w14:textId="77777777" w:rsidR="009E57CD" w:rsidRDefault="00A4297A">
      <w:pPr>
        <w:spacing w:after="200"/>
        <w:jc w:val="center"/>
      </w:pPr>
      <w:r>
        <w:rPr>
          <w:b/>
          <w:bCs/>
          <w:color w:val="0D9488"/>
          <w:sz w:val="30"/>
          <w:szCs w:val="30"/>
        </w:rPr>
        <w:t>Variables del modelo, Regresión Múltiple y Diagnósticos de Residuos</w:t>
      </w:r>
    </w:p>
    <w:p w14:paraId="6B62B4EB" w14:textId="77777777" w:rsidR="009E57CD" w:rsidRDefault="00A4297A">
      <w:pPr>
        <w:spacing w:after="100"/>
        <w:jc w:val="center"/>
      </w:pPr>
      <w:r>
        <w:rPr>
          <w:i/>
          <w:iCs/>
          <w:color w:val="475569"/>
        </w:rPr>
        <w:t>Explicación completa y detallada de cada elemento del análisis</w:t>
      </w:r>
    </w:p>
    <w:p w14:paraId="44C38552" w14:textId="77777777" w:rsidR="009E57CD" w:rsidRDefault="009E57CD">
      <w:pPr>
        <w:pBdr>
          <w:bottom w:val="single" w:sz="6" w:space="1" w:color="0D9488"/>
        </w:pBdr>
        <w:spacing w:before="220" w:after="220"/>
      </w:pPr>
    </w:p>
    <w:p w14:paraId="1BDE6EA3" w14:textId="77777777" w:rsidR="009E57CD" w:rsidRDefault="009E57CD">
      <w:pPr>
        <w:pageBreakBefore/>
      </w:pPr>
    </w:p>
    <w:p w14:paraId="3F472082" w14:textId="77777777" w:rsidR="009E57CD" w:rsidRDefault="00A4297A">
      <w:pPr>
        <w:pStyle w:val="Ttulo1"/>
      </w:pPr>
      <w:r>
        <w:t>PARTE 1: Las variables del modelo</w:t>
      </w:r>
    </w:p>
    <w:p w14:paraId="26B6E508" w14:textId="77777777" w:rsidR="009E57CD" w:rsidRDefault="00A4297A">
      <w:pPr>
        <w:spacing w:before="80" w:after="130"/>
      </w:pPr>
      <w:r>
        <w:t>El modelo de Regresión Lineal Múltiple predice ROA (rentabilidad sobre activos) a partir de ocho variables explicativas. A continuación se explica qué significa cada una, cómo se calcula y qué comportamiento se espera en relación al ROA.</w:t>
      </w:r>
    </w:p>
    <w:p w14:paraId="517D3A86" w14:textId="77777777" w:rsidR="009E57CD" w:rsidRDefault="009E57CD">
      <w:pPr>
        <w:spacing w:before="60" w:after="60"/>
      </w:pPr>
    </w:p>
    <w:p w14:paraId="4C3AFF9F" w14:textId="77777777" w:rsidR="009E57CD" w:rsidRPr="008B1422" w:rsidRDefault="00A4297A">
      <w:pPr>
        <w:pStyle w:val="Ttulo2"/>
        <w:rPr>
          <w:lang w:val="en-US"/>
        </w:rPr>
      </w:pPr>
      <w:r w:rsidRPr="008B1422">
        <w:rPr>
          <w:lang w:val="en-US"/>
        </w:rPr>
        <w:t>Variable objetivo: ROA (Return on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10782F9D"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0E6D418B" w14:textId="77777777" w:rsidR="009E57CD" w:rsidRDefault="00A4297A">
            <w:r>
              <w:rPr>
                <w:rFonts w:ascii="Courier New" w:eastAsia="Courier New" w:hAnsi="Courier New" w:cs="Courier New"/>
                <w:b/>
                <w:bCs/>
                <w:color w:val="FFFFFF"/>
                <w:sz w:val="28"/>
                <w:szCs w:val="28"/>
              </w:rPr>
              <w:t xml:space="preserve">ROA  </w:t>
            </w:r>
            <w:r>
              <w:rPr>
                <w:color w:val="BFD8FF"/>
              </w:rPr>
              <w:t>—  Rentabilidad sobre Activos</w:t>
            </w:r>
            <w:r>
              <w:rPr>
                <w:color w:val="7FAACC"/>
                <w:sz w:val="20"/>
                <w:szCs w:val="20"/>
              </w:rPr>
              <w:t xml:space="preserve">   [Variable objetivo — lo que el modelo predice]</w:t>
            </w:r>
          </w:p>
        </w:tc>
      </w:tr>
      <w:tr w:rsidR="009E57CD" w14:paraId="48FA924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6DC763C3" w14:textId="77777777" w:rsidR="009E57CD" w:rsidRDefault="00A4297A">
            <w:pPr>
              <w:spacing w:after="70"/>
            </w:pPr>
            <w:r>
              <w:rPr>
                <w:b/>
                <w:bCs/>
                <w:color w:val="0D9488"/>
                <w:sz w:val="21"/>
                <w:szCs w:val="21"/>
              </w:rPr>
              <w:t xml:space="preserve">Definición:  </w:t>
            </w:r>
            <w:r>
              <w:rPr>
                <w:sz w:val="21"/>
                <w:szCs w:val="21"/>
              </w:rPr>
              <w:t>ROA = Beneficio Neto / Activos Totales</w:t>
            </w:r>
          </w:p>
          <w:p w14:paraId="154B25DB" w14:textId="77777777" w:rsidR="009E57CD" w:rsidRDefault="00A4297A">
            <w:pPr>
              <w:spacing w:after="70"/>
            </w:pPr>
            <w:r>
              <w:rPr>
                <w:b/>
                <w:bCs/>
                <w:color w:val="0D9488"/>
                <w:sz w:val="21"/>
                <w:szCs w:val="21"/>
              </w:rPr>
              <w:t xml:space="preserve">Qué mide:  </w:t>
            </w:r>
            <w:r>
              <w:rPr>
                <w:sz w:val="21"/>
                <w:szCs w:val="21"/>
              </w:rPr>
              <w:t>Mide cuánto beneficio genera cada peso de activo que tiene la empresa. Una empresa con 100 de activos que gana 5 tiene ROA = 0.05 (5%). Es la medida más general de eficiencia en el uso de recursos.</w:t>
            </w:r>
          </w:p>
          <w:p w14:paraId="7EF7F954" w14:textId="77777777" w:rsidR="009E57CD" w:rsidRDefault="00A4297A">
            <w:pPr>
              <w:spacing w:after="70"/>
            </w:pPr>
            <w:r>
              <w:rPr>
                <w:b/>
                <w:bCs/>
                <w:color w:val="0D9488"/>
                <w:sz w:val="21"/>
                <w:szCs w:val="21"/>
              </w:rPr>
              <w:t xml:space="preserve">Valor típico en los datos:  </w:t>
            </w:r>
            <w:r>
              <w:rPr>
                <w:sz w:val="21"/>
                <w:szCs w:val="21"/>
              </w:rPr>
              <w:t>En los datos KoTaP: media ≈ 0.01–0.03. La mayoría de empresas coreanas tienen ROA positivo pero bajo. Un ROA &gt; 0.10 ya es considerado alto. ROA negativo significa que la empresa pierde dinero con sus activos.</w:t>
            </w:r>
          </w:p>
          <w:p w14:paraId="0A250341" w14:textId="77777777" w:rsidR="009E57CD" w:rsidRDefault="00A4297A">
            <w:r>
              <w:rPr>
                <w:b/>
                <w:bCs/>
                <w:color w:val="D97706"/>
                <w:sz w:val="21"/>
                <w:szCs w:val="21"/>
              </w:rPr>
              <w:t xml:space="preserve">Efecto esperado sobre ROA:  </w:t>
            </w:r>
            <w:r>
              <w:rPr>
                <w:sz w:val="21"/>
                <w:szCs w:val="21"/>
              </w:rPr>
              <w:t>Esta ES la variable que predecimos. Los demás coeficientes miden cómo afecta cada variable al ROA.</w:t>
            </w:r>
          </w:p>
        </w:tc>
      </w:tr>
    </w:tbl>
    <w:p w14:paraId="4FCA9A70" w14:textId="77777777" w:rsidR="009E57CD" w:rsidRDefault="009E57CD">
      <w:pPr>
        <w:spacing w:before="60" w:after="60"/>
      </w:pPr>
    </w:p>
    <w:p w14:paraId="2A93A310" w14:textId="77777777" w:rsidR="009E57CD" w:rsidRDefault="00A4297A">
      <w:pPr>
        <w:pStyle w:val="Ttulo2"/>
      </w:pPr>
      <w:r>
        <w:t>Predictor 1: SIZE — Tamaño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3D7114A9"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7CE3779F" w14:textId="77777777" w:rsidR="009E57CD" w:rsidRDefault="00A4297A">
            <w:r>
              <w:rPr>
                <w:rFonts w:ascii="Courier New" w:eastAsia="Courier New" w:hAnsi="Courier New" w:cs="Courier New"/>
                <w:b/>
                <w:bCs/>
                <w:color w:val="FFFFFF"/>
                <w:sz w:val="28"/>
                <w:szCs w:val="28"/>
              </w:rPr>
              <w:t xml:space="preserve">SIZE  </w:t>
            </w:r>
            <w:r>
              <w:rPr>
                <w:color w:val="BFD8FF"/>
              </w:rPr>
              <w:t>—  Tamaño (logaritmo de activos totales)</w:t>
            </w:r>
            <w:r>
              <w:rPr>
                <w:color w:val="7FAACC"/>
                <w:sz w:val="20"/>
                <w:szCs w:val="20"/>
              </w:rPr>
              <w:t xml:space="preserve">   [Predictor continuo]</w:t>
            </w:r>
          </w:p>
        </w:tc>
      </w:tr>
      <w:tr w:rsidR="009E57CD" w14:paraId="2DE2E7EF"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363261A6" w14:textId="77777777" w:rsidR="009E57CD" w:rsidRDefault="00A4297A">
            <w:pPr>
              <w:spacing w:after="70"/>
            </w:pPr>
            <w:r>
              <w:rPr>
                <w:b/>
                <w:bCs/>
                <w:color w:val="0D9488"/>
                <w:sz w:val="21"/>
                <w:szCs w:val="21"/>
              </w:rPr>
              <w:t xml:space="preserve">Definición:  </w:t>
            </w:r>
            <w:r>
              <w:rPr>
                <w:sz w:val="21"/>
                <w:szCs w:val="21"/>
              </w:rPr>
              <w:t>SIZE = ln(Activos Totales)</w:t>
            </w:r>
          </w:p>
          <w:p w14:paraId="45D8F75E" w14:textId="77777777" w:rsidR="009E57CD" w:rsidRDefault="00A4297A">
            <w:pPr>
              <w:spacing w:after="70"/>
            </w:pPr>
            <w:r>
              <w:rPr>
                <w:b/>
                <w:bCs/>
                <w:color w:val="0D9488"/>
                <w:sz w:val="21"/>
                <w:szCs w:val="21"/>
              </w:rPr>
              <w:t xml:space="preserve">Qué mide:  </w:t>
            </w:r>
            <w:r>
              <w:rPr>
                <w:sz w:val="21"/>
                <w:szCs w:val="21"/>
              </w:rPr>
              <w:t>Mide la escala de la empresa. Se usa el logaritmo natural porque los activos varían enormemente: desde empresas pequeñas con 1.000 millones de won hasta gigantes con 100 billones. El logaritmo comprime esa escala y hace la distribución más manejable estadísticamente. SIZE = 18 significa activos totales de e^18 ≈ 65 millones de dólares. SIZE = 25 sería e^25 ≈ 72.000 millones.</w:t>
            </w:r>
          </w:p>
          <w:p w14:paraId="2F96B7BA" w14:textId="77777777" w:rsidR="009E57CD" w:rsidRDefault="00A4297A">
            <w:pPr>
              <w:spacing w:after="70"/>
            </w:pPr>
            <w:r>
              <w:rPr>
                <w:b/>
                <w:bCs/>
                <w:color w:val="0D9488"/>
                <w:sz w:val="21"/>
                <w:szCs w:val="21"/>
              </w:rPr>
              <w:t xml:space="preserve">Valor típico en los datos:  </w:t>
            </w:r>
            <w:r>
              <w:rPr>
                <w:sz w:val="21"/>
                <w:szCs w:val="21"/>
              </w:rPr>
              <w:t>En los datos KoTaP: varía entre 14 y 26 aproximadamente. La media está alrededor de 18–20.</w:t>
            </w:r>
          </w:p>
          <w:p w14:paraId="44132799" w14:textId="77777777" w:rsidR="009E57CD" w:rsidRDefault="00A4297A">
            <w:r>
              <w:rPr>
                <w:b/>
                <w:bCs/>
                <w:color w:val="D97706"/>
                <w:sz w:val="21"/>
                <w:szCs w:val="21"/>
              </w:rPr>
              <w:t xml:space="preserve">Efecto esperado sobre ROA:  </w:t>
            </w:r>
            <w:r>
              <w:rPr>
                <w:sz w:val="21"/>
                <w:szCs w:val="21"/>
              </w:rPr>
              <w:t>Efecto ambiguo a priori. Las empresas grandes pueden tener economías de escala (más ROA) pero también mayor burocracia e inercia (menos ROA). En los resultados, el coeficiente es cercano a cero y no significativo: el tamaño por sí solo no predice la rentabilidad una vez que se controlan las demás variables.</w:t>
            </w:r>
          </w:p>
        </w:tc>
      </w:tr>
    </w:tbl>
    <w:p w14:paraId="74E87D02" w14:textId="77777777" w:rsidR="009E57CD" w:rsidRDefault="009E57CD">
      <w:pPr>
        <w:spacing w:before="60" w:after="60"/>
      </w:pPr>
    </w:p>
    <w:p w14:paraId="1610B6FB" w14:textId="77777777" w:rsidR="009E57CD" w:rsidRDefault="00A4297A">
      <w:pPr>
        <w:pStyle w:val="Ttulo2"/>
      </w:pPr>
      <w:r>
        <w:t>Predictor 2: LEV — Apalancamiento financiero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69B2C514"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1A487B66" w14:textId="77777777" w:rsidR="009E57CD" w:rsidRDefault="00A4297A">
            <w:r>
              <w:rPr>
                <w:rFonts w:ascii="Courier New" w:eastAsia="Courier New" w:hAnsi="Courier New" w:cs="Courier New"/>
                <w:b/>
                <w:bCs/>
                <w:color w:val="FFFFFF"/>
                <w:sz w:val="28"/>
                <w:szCs w:val="28"/>
              </w:rPr>
              <w:t xml:space="preserve">LEV  </w:t>
            </w:r>
            <w:r>
              <w:rPr>
                <w:color w:val="BFD8FF"/>
              </w:rPr>
              <w:t>—  Apalancamiento (Leverage)</w:t>
            </w:r>
            <w:r>
              <w:rPr>
                <w:color w:val="7FAACC"/>
                <w:sz w:val="20"/>
                <w:szCs w:val="20"/>
              </w:rPr>
              <w:t xml:space="preserve">   [Predictor continuo, rango [0, 1]]</w:t>
            </w:r>
          </w:p>
        </w:tc>
      </w:tr>
      <w:tr w:rsidR="009E57CD" w14:paraId="7C63C101"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0A3F85FB" w14:textId="77777777" w:rsidR="009E57CD" w:rsidRDefault="00A4297A">
            <w:pPr>
              <w:spacing w:after="70"/>
            </w:pPr>
            <w:r>
              <w:rPr>
                <w:b/>
                <w:bCs/>
                <w:color w:val="0D9488"/>
                <w:sz w:val="21"/>
                <w:szCs w:val="21"/>
              </w:rPr>
              <w:lastRenderedPageBreak/>
              <w:t xml:space="preserve">Definición:  </w:t>
            </w:r>
            <w:r>
              <w:rPr>
                <w:sz w:val="21"/>
                <w:szCs w:val="21"/>
              </w:rPr>
              <w:t>LEV = Pasivos Totales / Activos Totales</w:t>
            </w:r>
          </w:p>
          <w:p w14:paraId="4203AF5F" w14:textId="77777777" w:rsidR="009E57CD" w:rsidRDefault="00A4297A">
            <w:pPr>
              <w:spacing w:after="70"/>
            </w:pPr>
            <w:r>
              <w:rPr>
                <w:b/>
                <w:bCs/>
                <w:color w:val="0D9488"/>
                <w:sz w:val="21"/>
                <w:szCs w:val="21"/>
              </w:rPr>
              <w:t xml:space="preserve">Qué mide:  </w:t>
            </w:r>
            <w:r>
              <w:rPr>
                <w:sz w:val="21"/>
                <w:szCs w:val="21"/>
              </w:rPr>
              <w:t>Mide qué proporción de los activos está financiada con deuda. LEV = 0.40 significa que el 40% de los activos son propiedad de los acreedores (bancos, bonistas) y solo el 60% pertenece a los accionistas. LEV = 0 sería una empresa sin deuda (imposible en la práctica). LEV &gt; 0.80 indica empresa muy endeudada con riesgo de insolvencia.</w:t>
            </w:r>
          </w:p>
          <w:p w14:paraId="226BAA67" w14:textId="77777777" w:rsidR="009E57CD" w:rsidRDefault="00A4297A">
            <w:pPr>
              <w:spacing w:after="70"/>
            </w:pPr>
            <w:r>
              <w:rPr>
                <w:b/>
                <w:bCs/>
                <w:color w:val="0D9488"/>
                <w:sz w:val="21"/>
                <w:szCs w:val="21"/>
              </w:rPr>
              <w:t xml:space="preserve">Valor típico en los datos:  </w:t>
            </w:r>
            <w:r>
              <w:rPr>
                <w:sz w:val="21"/>
                <w:szCs w:val="21"/>
              </w:rPr>
              <w:t>En los datos KoTaP: media alrededor de 0.45–0.55. Las empresas manufactureras coreanas históricamente operan con mucha deuda.</w:t>
            </w:r>
          </w:p>
          <w:p w14:paraId="1774F18F" w14:textId="77777777" w:rsidR="009E57CD" w:rsidRDefault="00A4297A">
            <w:r>
              <w:rPr>
                <w:b/>
                <w:bCs/>
                <w:color w:val="D97706"/>
                <w:sz w:val="21"/>
                <w:szCs w:val="21"/>
              </w:rPr>
              <w:t xml:space="preserve">Efecto esperado sobre ROA:  </w:t>
            </w:r>
            <w:r>
              <w:rPr>
                <w:sz w:val="21"/>
                <w:szCs w:val="21"/>
              </w:rPr>
              <w:t>Efecto negativo esperado y confirmado (coeficiente β ≈ −0.055). Mayor deuda implica más gastos financieros (intereses) que reducen el beneficio neto. Además, empresas muy endeudadas destinan flujo de caja a pagar intereses en lugar de reinvertir en el negocio.</w:t>
            </w:r>
          </w:p>
        </w:tc>
      </w:tr>
    </w:tbl>
    <w:p w14:paraId="19F03D33" w14:textId="77777777" w:rsidR="009E57CD" w:rsidRDefault="009E57CD">
      <w:pPr>
        <w:spacing w:before="60" w:after="60"/>
      </w:pPr>
    </w:p>
    <w:p w14:paraId="30688E7E" w14:textId="77777777" w:rsidR="009E57CD" w:rsidRDefault="00A4297A">
      <w:pPr>
        <w:pStyle w:val="Ttulo2"/>
      </w:pPr>
      <w:r>
        <w:t>Predictor 3: CFO — Flujo de Caja Operativo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rsidRPr="008B1422" w14:paraId="4D6107FA"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362F3DC2" w14:textId="77777777" w:rsidR="009E57CD" w:rsidRPr="008B1422" w:rsidRDefault="00A4297A">
            <w:pPr>
              <w:rPr>
                <w:lang w:val="en-US"/>
              </w:rPr>
            </w:pPr>
            <w:r w:rsidRPr="008B1422">
              <w:rPr>
                <w:rFonts w:ascii="Courier New" w:eastAsia="Courier New" w:hAnsi="Courier New" w:cs="Courier New"/>
                <w:b/>
                <w:bCs/>
                <w:color w:val="FFFFFF"/>
                <w:sz w:val="28"/>
                <w:szCs w:val="28"/>
                <w:lang w:val="en-US"/>
              </w:rPr>
              <w:t xml:space="preserve">CFO  </w:t>
            </w:r>
            <w:r w:rsidRPr="008B1422">
              <w:rPr>
                <w:color w:val="BFD8FF"/>
                <w:lang w:val="en-US"/>
              </w:rPr>
              <w:t>—  Cash Flow from Operations (estandarizado)</w:t>
            </w:r>
            <w:r w:rsidRPr="008B1422">
              <w:rPr>
                <w:color w:val="7FAACC"/>
                <w:sz w:val="20"/>
                <w:szCs w:val="20"/>
                <w:lang w:val="en-US"/>
              </w:rPr>
              <w:t xml:space="preserve">   [Predictor continuo]</w:t>
            </w:r>
          </w:p>
        </w:tc>
      </w:tr>
      <w:tr w:rsidR="009E57CD" w14:paraId="02D7A7A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1E7BED1F" w14:textId="77777777" w:rsidR="009E57CD" w:rsidRDefault="00A4297A">
            <w:pPr>
              <w:spacing w:after="70"/>
            </w:pPr>
            <w:r>
              <w:rPr>
                <w:b/>
                <w:bCs/>
                <w:color w:val="0D9488"/>
                <w:sz w:val="21"/>
                <w:szCs w:val="21"/>
              </w:rPr>
              <w:t xml:space="preserve">Definición:  </w:t>
            </w:r>
            <w:r>
              <w:rPr>
                <w:sz w:val="21"/>
                <w:szCs w:val="21"/>
              </w:rPr>
              <w:t>CFO = Flujo de Caja Operativo / Activos Totales</w:t>
            </w:r>
          </w:p>
          <w:p w14:paraId="134475F0" w14:textId="77777777" w:rsidR="009E57CD" w:rsidRDefault="00A4297A">
            <w:pPr>
              <w:spacing w:after="70"/>
            </w:pPr>
            <w:r>
              <w:rPr>
                <w:b/>
                <w:bCs/>
                <w:color w:val="0D9488"/>
                <w:sz w:val="21"/>
                <w:szCs w:val="21"/>
              </w:rPr>
              <w:t xml:space="preserve">Qué mide:  </w:t>
            </w:r>
            <w:r>
              <w:rPr>
                <w:sz w:val="21"/>
                <w:szCs w:val="21"/>
              </w:rPr>
              <w:t>Mide la capacidad de la empresa para generar efectivo real con su operación principal, normalizado por el tamaño. CFO difiere del beneficio neto (ROA) porque ROA incluye partidas contables no monetarias como amortizaciones y provisiones. Una empresa puede tener beneficio contable positivo pero flujo de caja negativo si sus clientes no pagan. CFO positivo significa que la empresa realmente cobra más de lo que paga en su ciclo operativo.</w:t>
            </w:r>
          </w:p>
          <w:p w14:paraId="446D2A17" w14:textId="77777777" w:rsidR="009E57CD" w:rsidRDefault="00A4297A">
            <w:pPr>
              <w:spacing w:after="70"/>
            </w:pPr>
            <w:r>
              <w:rPr>
                <w:b/>
                <w:bCs/>
                <w:color w:val="0D9488"/>
                <w:sz w:val="21"/>
                <w:szCs w:val="21"/>
              </w:rPr>
              <w:t xml:space="preserve">Valor típico en los datos:  </w:t>
            </w:r>
            <w:r>
              <w:rPr>
                <w:sz w:val="21"/>
                <w:szCs w:val="21"/>
              </w:rPr>
              <w:t>En los datos KoTaP: distribución relativamente centrada en cero pero con cola positiva. CFO negativo es frecuente en empresas en rápido crecimiento.</w:t>
            </w:r>
          </w:p>
          <w:p w14:paraId="2AF48D26" w14:textId="77777777" w:rsidR="009E57CD" w:rsidRDefault="00A4297A">
            <w:r>
              <w:rPr>
                <w:b/>
                <w:bCs/>
                <w:color w:val="D97706"/>
                <w:sz w:val="21"/>
                <w:szCs w:val="21"/>
              </w:rPr>
              <w:t xml:space="preserve">Efecto esperado sobre ROA:  </w:t>
            </w:r>
            <w:r>
              <w:rPr>
                <w:sz w:val="21"/>
                <w:szCs w:val="21"/>
              </w:rPr>
              <w:t>Es el predictor más fuerte del modelo (β ≈ +0.336). Una empresa que genera mucho efectivo operativo casi siempre tiene buena rentabilidad. La relación es lógica: si el negocio funciona bien, tanto el ROA como el CFO son altos. Son dos caras de la misma eficiencia operativa.</w:t>
            </w:r>
          </w:p>
        </w:tc>
      </w:tr>
    </w:tbl>
    <w:p w14:paraId="264751AA" w14:textId="77777777" w:rsidR="009E57CD" w:rsidRDefault="009E57CD">
      <w:pPr>
        <w:spacing w:before="60" w:after="60"/>
      </w:pPr>
    </w:p>
    <w:p w14:paraId="1914AFBE" w14:textId="77777777" w:rsidR="009E57CD" w:rsidRDefault="00A4297A">
      <w:pPr>
        <w:pStyle w:val="Ttulo2"/>
      </w:pPr>
      <w:r>
        <w:t>Predictor 4: GRW — Crecimiento de ventas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200720E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49A6D35B" w14:textId="77777777" w:rsidR="009E57CD" w:rsidRDefault="00A4297A">
            <w:r>
              <w:rPr>
                <w:rFonts w:ascii="Courier New" w:eastAsia="Courier New" w:hAnsi="Courier New" w:cs="Courier New"/>
                <w:b/>
                <w:bCs/>
                <w:color w:val="FFFFFF"/>
                <w:sz w:val="28"/>
                <w:szCs w:val="28"/>
              </w:rPr>
              <w:t xml:space="preserve">GRW  </w:t>
            </w:r>
            <w:r>
              <w:rPr>
                <w:color w:val="BFD8FF"/>
              </w:rPr>
              <w:t>—  Growth (crecimiento de ingresos)</w:t>
            </w:r>
            <w:r>
              <w:rPr>
                <w:color w:val="7FAACC"/>
                <w:sz w:val="20"/>
                <w:szCs w:val="20"/>
              </w:rPr>
              <w:t xml:space="preserve">   [Predictor continuo]</w:t>
            </w:r>
          </w:p>
        </w:tc>
      </w:tr>
      <w:tr w:rsidR="009E57CD" w14:paraId="3EAEA4AD"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4C860566" w14:textId="77777777" w:rsidR="009E57CD" w:rsidRDefault="00A4297A">
            <w:pPr>
              <w:spacing w:after="70"/>
            </w:pPr>
            <w:r>
              <w:rPr>
                <w:b/>
                <w:bCs/>
                <w:color w:val="0D9488"/>
                <w:sz w:val="21"/>
                <w:szCs w:val="21"/>
              </w:rPr>
              <w:t xml:space="preserve">Definición:  </w:t>
            </w:r>
            <w:r>
              <w:rPr>
                <w:sz w:val="21"/>
                <w:szCs w:val="21"/>
              </w:rPr>
              <w:t>GRW = (Ventas_t − Ventas_{t−1}) / Ventas_{t−1}</w:t>
            </w:r>
          </w:p>
          <w:p w14:paraId="4C89FED5" w14:textId="77777777" w:rsidR="009E57CD" w:rsidRDefault="00A4297A">
            <w:pPr>
              <w:spacing w:after="70"/>
            </w:pPr>
            <w:r>
              <w:rPr>
                <w:b/>
                <w:bCs/>
                <w:color w:val="0D9488"/>
                <w:sz w:val="21"/>
                <w:szCs w:val="21"/>
              </w:rPr>
              <w:t xml:space="preserve">Qué mide:  </w:t>
            </w:r>
            <w:r>
              <w:rPr>
                <w:sz w:val="21"/>
                <w:szCs w:val="21"/>
              </w:rPr>
              <w:t>Mide la tasa de crecimiento de los ingresos de un año al siguiente. GRW = 0.10 significa que las ventas crecieron un 10%. GRW negativo implica contracción de ingresos. Es importante distinguir que crecimiento no garantiza rentabilidad: una empresa puede crecer mucho pero con márgenes tan bajos que el ROA sea débil.</w:t>
            </w:r>
          </w:p>
          <w:p w14:paraId="650216FB" w14:textId="77777777" w:rsidR="009E57CD" w:rsidRDefault="00A4297A">
            <w:pPr>
              <w:spacing w:after="70"/>
            </w:pPr>
            <w:r>
              <w:rPr>
                <w:b/>
                <w:bCs/>
                <w:color w:val="0D9488"/>
                <w:sz w:val="21"/>
                <w:szCs w:val="21"/>
              </w:rPr>
              <w:t xml:space="preserve">Valor típico en los datos:  </w:t>
            </w:r>
            <w:r>
              <w:rPr>
                <w:sz w:val="21"/>
                <w:szCs w:val="21"/>
              </w:rPr>
              <w:t>En los datos KoTaP: distribución muy asimétrica con cola larga a la derecha. La mediana está cerca de 0.05–0.08. Algunos años de crisis muestran GRW fuertemente negativo.</w:t>
            </w:r>
          </w:p>
          <w:p w14:paraId="1C3880B7" w14:textId="77777777" w:rsidR="009E57CD" w:rsidRDefault="00A4297A">
            <w:r>
              <w:rPr>
                <w:b/>
                <w:bCs/>
                <w:color w:val="D97706"/>
                <w:sz w:val="21"/>
                <w:szCs w:val="21"/>
              </w:rPr>
              <w:t xml:space="preserve">Efecto esperado sobre ROA:  </w:t>
            </w:r>
            <w:r>
              <w:rPr>
                <w:sz w:val="21"/>
                <w:szCs w:val="21"/>
              </w:rPr>
              <w:t>Efecto positivo (β ≈ +0.048). Las empresas en crecimiento tienden a tener mejor ROA, posiblemente porque el crecimiento refleja demanda sostenida y poder de fijación de precios. Sin embargo, el efecto es moderado comparado con CFO.</w:t>
            </w:r>
          </w:p>
        </w:tc>
      </w:tr>
    </w:tbl>
    <w:p w14:paraId="4CF06387" w14:textId="77777777" w:rsidR="009E57CD" w:rsidRDefault="009E57CD">
      <w:pPr>
        <w:spacing w:before="60" w:after="60"/>
      </w:pPr>
    </w:p>
    <w:p w14:paraId="3D271459" w14:textId="77777777" w:rsidR="009E57CD" w:rsidRDefault="00A4297A">
      <w:pPr>
        <w:pStyle w:val="Ttulo2"/>
      </w:pPr>
      <w:r>
        <w:t>Predictor 5: CUR — Razón Corriente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21F578F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1F448029" w14:textId="77777777" w:rsidR="009E57CD" w:rsidRDefault="00A4297A">
            <w:r>
              <w:rPr>
                <w:rFonts w:ascii="Courier New" w:eastAsia="Courier New" w:hAnsi="Courier New" w:cs="Courier New"/>
                <w:b/>
                <w:bCs/>
                <w:color w:val="FFFFFF"/>
                <w:sz w:val="28"/>
                <w:szCs w:val="28"/>
              </w:rPr>
              <w:t xml:space="preserve">CUR  </w:t>
            </w:r>
            <w:r>
              <w:rPr>
                <w:color w:val="BFD8FF"/>
              </w:rPr>
              <w:t>—  Current Ratio (razón corriente / liquidez)</w:t>
            </w:r>
            <w:r>
              <w:rPr>
                <w:color w:val="7FAACC"/>
                <w:sz w:val="20"/>
                <w:szCs w:val="20"/>
              </w:rPr>
              <w:t xml:space="preserve">   [Predictor continuo, rango [0, +∞]]</w:t>
            </w:r>
          </w:p>
        </w:tc>
      </w:tr>
      <w:tr w:rsidR="009E57CD" w14:paraId="2FBA394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612E6DED" w14:textId="77777777" w:rsidR="009E57CD" w:rsidRDefault="00A4297A">
            <w:pPr>
              <w:spacing w:after="70"/>
            </w:pPr>
            <w:r>
              <w:rPr>
                <w:b/>
                <w:bCs/>
                <w:color w:val="0D9488"/>
                <w:sz w:val="21"/>
                <w:szCs w:val="21"/>
              </w:rPr>
              <w:t xml:space="preserve">Definición:  </w:t>
            </w:r>
            <w:r>
              <w:rPr>
                <w:sz w:val="21"/>
                <w:szCs w:val="21"/>
              </w:rPr>
              <w:t>CUR = Activos Corrientes / Pasivos Corrientes</w:t>
            </w:r>
          </w:p>
          <w:p w14:paraId="4D3C00E7" w14:textId="77777777" w:rsidR="009E57CD" w:rsidRDefault="00A4297A">
            <w:pPr>
              <w:spacing w:after="70"/>
            </w:pPr>
            <w:r>
              <w:rPr>
                <w:b/>
                <w:bCs/>
                <w:color w:val="0D9488"/>
                <w:sz w:val="21"/>
                <w:szCs w:val="21"/>
              </w:rPr>
              <w:t xml:space="preserve">Qué mide:  </w:t>
            </w:r>
            <w:r>
              <w:rPr>
                <w:sz w:val="21"/>
                <w:szCs w:val="21"/>
              </w:rPr>
              <w:t>Mide la capacidad de la empresa para cubrir sus obligaciones de corto plazo con sus activos líquidos. CUR = 1.5 significa que por cada peso que la empresa debe en el corto plazo, tiene 1.50 pesos de activos rápidamente convertibles en efectivo. CUR &lt; 1 es señal de problemas de liquidez inminentes. CUR muy alto (&gt; 3) puede indicar que la empresa mantiene demasiado efectivo o inventario sin invertir.</w:t>
            </w:r>
          </w:p>
          <w:p w14:paraId="11FB75AA" w14:textId="77777777" w:rsidR="009E57CD" w:rsidRDefault="00A4297A">
            <w:pPr>
              <w:spacing w:after="70"/>
            </w:pPr>
            <w:r>
              <w:rPr>
                <w:b/>
                <w:bCs/>
                <w:color w:val="0D9488"/>
                <w:sz w:val="21"/>
                <w:szCs w:val="21"/>
              </w:rPr>
              <w:t xml:space="preserve">Valor típico en los datos:  </w:t>
            </w:r>
            <w:r>
              <w:rPr>
                <w:sz w:val="21"/>
                <w:szCs w:val="21"/>
              </w:rPr>
              <w:t>En los datos KoTaP: media entre 1.2 y 1.8. Las empresas manufactureras coreanas tienden a tener CUR relativamente bajo por sus altos niveles de deuda de corto plazo.</w:t>
            </w:r>
          </w:p>
          <w:p w14:paraId="76DDA2C4" w14:textId="77777777" w:rsidR="009E57CD" w:rsidRDefault="00A4297A">
            <w:r>
              <w:rPr>
                <w:b/>
                <w:bCs/>
                <w:color w:val="D97706"/>
                <w:sz w:val="21"/>
                <w:szCs w:val="21"/>
              </w:rPr>
              <w:t xml:space="preserve">Efecto esperado sobre ROA:  </w:t>
            </w:r>
            <w:r>
              <w:rPr>
                <w:sz w:val="21"/>
                <w:szCs w:val="21"/>
              </w:rPr>
              <w:t>Efecto negativo pequeño y no significativo (β ≈ −0.0002, p &gt; 0.05). Esto sugiere que una vez controladas las demás variables, tener más liquidez no necesariamente se traduce en mayor ROA. De hecho, el exceso de liquidez puede ser ineficiente si ese capital no está generando retornos.</w:t>
            </w:r>
          </w:p>
        </w:tc>
      </w:tr>
    </w:tbl>
    <w:p w14:paraId="16335CCA" w14:textId="77777777" w:rsidR="009E57CD" w:rsidRDefault="009E57CD">
      <w:pPr>
        <w:spacing w:before="60" w:after="60"/>
      </w:pPr>
    </w:p>
    <w:p w14:paraId="4B7B739E" w14:textId="77777777" w:rsidR="009E57CD" w:rsidRDefault="00A4297A">
      <w:pPr>
        <w:pStyle w:val="Ttulo2"/>
      </w:pPr>
      <w:r>
        <w:t>Predictor 6: INVREC — Intensidad de inventario y cuentas por cobrar</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1B80A61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5A0F641E" w14:textId="77777777" w:rsidR="009E57CD" w:rsidRDefault="00A4297A">
            <w:r>
              <w:rPr>
                <w:rFonts w:ascii="Courier New" w:eastAsia="Courier New" w:hAnsi="Courier New" w:cs="Courier New"/>
                <w:b/>
                <w:bCs/>
                <w:color w:val="FFFFFF"/>
                <w:sz w:val="28"/>
                <w:szCs w:val="28"/>
              </w:rPr>
              <w:t xml:space="preserve">INVREC  </w:t>
            </w:r>
            <w:r>
              <w:rPr>
                <w:color w:val="BFD8FF"/>
              </w:rPr>
              <w:t>—  Inventory + Receivables (intensidad operativa)</w:t>
            </w:r>
            <w:r>
              <w:rPr>
                <w:color w:val="7FAACC"/>
                <w:sz w:val="20"/>
                <w:szCs w:val="20"/>
              </w:rPr>
              <w:t xml:space="preserve">   [Predictor continuo, rango [0, 1]]</w:t>
            </w:r>
          </w:p>
        </w:tc>
      </w:tr>
      <w:tr w:rsidR="009E57CD" w14:paraId="0C3F6975"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316FCBD8" w14:textId="77777777" w:rsidR="009E57CD" w:rsidRDefault="00A4297A">
            <w:pPr>
              <w:spacing w:after="70"/>
            </w:pPr>
            <w:r>
              <w:rPr>
                <w:b/>
                <w:bCs/>
                <w:color w:val="0D9488"/>
                <w:sz w:val="21"/>
                <w:szCs w:val="21"/>
              </w:rPr>
              <w:t xml:space="preserve">Definición:  </w:t>
            </w:r>
            <w:r>
              <w:rPr>
                <w:sz w:val="21"/>
                <w:szCs w:val="21"/>
              </w:rPr>
              <w:t>INVREC = (Inventarios + Cuentas por Cobrar) / Activos Totales</w:t>
            </w:r>
          </w:p>
          <w:p w14:paraId="28EBE600" w14:textId="77777777" w:rsidR="009E57CD" w:rsidRDefault="00A4297A">
            <w:pPr>
              <w:spacing w:after="70"/>
            </w:pPr>
            <w:r>
              <w:rPr>
                <w:b/>
                <w:bCs/>
                <w:color w:val="0D9488"/>
                <w:sz w:val="21"/>
                <w:szCs w:val="21"/>
              </w:rPr>
              <w:t xml:space="preserve">Qué mide:  </w:t>
            </w:r>
            <w:r>
              <w:rPr>
                <w:sz w:val="21"/>
                <w:szCs w:val="21"/>
              </w:rPr>
              <w:t>Mide qué fracción de los activos totales está "atrapada" en el ciclo operativo: mercancería que aún no se ha vendido (inventario) y ventas que aún no se han cobrado (cuentas por cobrar). INVREC alto significa que la empresa tarda más en convertir su inversión en efectivo. Es una medida del ciclo de conversión de efectivo.</w:t>
            </w:r>
          </w:p>
          <w:p w14:paraId="7CE3613E" w14:textId="77777777" w:rsidR="009E57CD" w:rsidRDefault="00A4297A">
            <w:pPr>
              <w:spacing w:after="70"/>
            </w:pPr>
            <w:r>
              <w:rPr>
                <w:b/>
                <w:bCs/>
                <w:color w:val="0D9488"/>
                <w:sz w:val="21"/>
                <w:szCs w:val="21"/>
              </w:rPr>
              <w:t xml:space="preserve">Valor típico en los datos:  </w:t>
            </w:r>
            <w:r>
              <w:rPr>
                <w:sz w:val="21"/>
                <w:szCs w:val="21"/>
              </w:rPr>
              <w:t>En los datos KoTaP: variable muy heterogénea entre sectores. El sector manufacturero tiene INVREC alto; el sector financiero y servicios muy bajo.</w:t>
            </w:r>
          </w:p>
          <w:p w14:paraId="3A168029" w14:textId="77777777" w:rsidR="009E57CD" w:rsidRDefault="00A4297A">
            <w:r>
              <w:rPr>
                <w:b/>
                <w:bCs/>
                <w:color w:val="D97706"/>
                <w:sz w:val="21"/>
                <w:szCs w:val="21"/>
              </w:rPr>
              <w:t xml:space="preserve">Efecto esperado sobre ROA:  </w:t>
            </w:r>
            <w:r>
              <w:rPr>
                <w:sz w:val="21"/>
                <w:szCs w:val="21"/>
              </w:rPr>
              <w:t>Efecto positivo significativo (β ≈ +0.047). Esto puede parecer contraintuitivo. La explicación es que empresas con alto INVREC son típicamente empresas comerciales o manufactureras con actividad intensa, y esa actividad intensa también genera más ROA. El efecto no implica que tener más inventario cause mayor ROA, sino que ambas variables son consecuencia de un negocio activo.</w:t>
            </w:r>
          </w:p>
        </w:tc>
      </w:tr>
    </w:tbl>
    <w:p w14:paraId="77BD68B2" w14:textId="77777777" w:rsidR="009E57CD" w:rsidRDefault="009E57CD">
      <w:pPr>
        <w:spacing w:before="60" w:after="60"/>
      </w:pPr>
    </w:p>
    <w:p w14:paraId="38666189" w14:textId="77777777" w:rsidR="009E57CD" w:rsidRDefault="00A4297A">
      <w:pPr>
        <w:pStyle w:val="Ttulo2"/>
      </w:pPr>
      <w:r>
        <w:t>Predictor 7: PPE — Activos fijos netos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273C5D43"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4AB89BC3" w14:textId="77777777" w:rsidR="009E57CD" w:rsidRDefault="00A4297A">
            <w:r>
              <w:rPr>
                <w:rFonts w:ascii="Courier New" w:eastAsia="Courier New" w:hAnsi="Courier New" w:cs="Courier New"/>
                <w:b/>
                <w:bCs/>
                <w:color w:val="FFFFFF"/>
                <w:sz w:val="28"/>
                <w:szCs w:val="28"/>
              </w:rPr>
              <w:t xml:space="preserve">PPE  </w:t>
            </w:r>
            <w:r>
              <w:rPr>
                <w:color w:val="BFD8FF"/>
              </w:rPr>
              <w:t>—  Property, Plant &amp; Equipment (propiedad, planta y equipo)</w:t>
            </w:r>
            <w:r>
              <w:rPr>
                <w:color w:val="7FAACC"/>
                <w:sz w:val="20"/>
                <w:szCs w:val="20"/>
              </w:rPr>
              <w:t xml:space="preserve">   [Predictor continuo, rango [0, 1]]</w:t>
            </w:r>
          </w:p>
        </w:tc>
      </w:tr>
      <w:tr w:rsidR="009E57CD" w14:paraId="6AB0BF9C"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51D28983" w14:textId="77777777" w:rsidR="009E57CD" w:rsidRDefault="00A4297A">
            <w:pPr>
              <w:spacing w:after="70"/>
            </w:pPr>
            <w:r>
              <w:rPr>
                <w:b/>
                <w:bCs/>
                <w:color w:val="0D9488"/>
                <w:sz w:val="21"/>
                <w:szCs w:val="21"/>
              </w:rPr>
              <w:t xml:space="preserve">Definición:  </w:t>
            </w:r>
            <w:r>
              <w:rPr>
                <w:sz w:val="21"/>
                <w:szCs w:val="21"/>
              </w:rPr>
              <w:t>PPE = Activos Fijos Netos / Activos Totales</w:t>
            </w:r>
          </w:p>
          <w:p w14:paraId="14F24CF2" w14:textId="77777777" w:rsidR="009E57CD" w:rsidRDefault="00A4297A">
            <w:pPr>
              <w:spacing w:after="70"/>
            </w:pPr>
            <w:r>
              <w:rPr>
                <w:b/>
                <w:bCs/>
                <w:color w:val="0D9488"/>
                <w:sz w:val="21"/>
                <w:szCs w:val="21"/>
              </w:rPr>
              <w:t xml:space="preserve">Qué mide:  </w:t>
            </w:r>
            <w:r>
              <w:rPr>
                <w:sz w:val="21"/>
                <w:szCs w:val="21"/>
              </w:rPr>
              <w:t>Mide qué proporción de los activos está inmovilizada en bienes físicos de larga duración: edificios, maquinaria, equipos, vehículos. PPE alto indica una empresa capital-intensiva (fábricas, siderúrgicas, navieras). PPE bajo indica empresas más ágiles con activos principalmente intangibles o financieros.</w:t>
            </w:r>
          </w:p>
          <w:p w14:paraId="2E7E9809" w14:textId="77777777" w:rsidR="009E57CD" w:rsidRDefault="00A4297A">
            <w:pPr>
              <w:spacing w:after="70"/>
            </w:pPr>
            <w:r>
              <w:rPr>
                <w:b/>
                <w:bCs/>
                <w:color w:val="0D9488"/>
                <w:sz w:val="21"/>
                <w:szCs w:val="21"/>
              </w:rPr>
              <w:t xml:space="preserve">Valor típico en los datos:  </w:t>
            </w:r>
            <w:r>
              <w:rPr>
                <w:sz w:val="21"/>
                <w:szCs w:val="21"/>
              </w:rPr>
              <w:t>En los datos KoTaP: amplio rango entre sectores. La industria pesada coreana (Samsung Heavy, POSCO) tiene PPE muy alto. Los conglomerados financieros tienen PPE bajo.</w:t>
            </w:r>
          </w:p>
          <w:p w14:paraId="499B6CFB" w14:textId="77777777" w:rsidR="009E57CD" w:rsidRDefault="00A4297A">
            <w:r>
              <w:rPr>
                <w:b/>
                <w:bCs/>
                <w:color w:val="D97706"/>
                <w:sz w:val="21"/>
                <w:szCs w:val="21"/>
              </w:rPr>
              <w:t xml:space="preserve">Efecto esperado sobre ROA:  </w:t>
            </w:r>
            <w:r>
              <w:rPr>
                <w:sz w:val="21"/>
                <w:szCs w:val="21"/>
              </w:rPr>
              <w:t>Efecto negativo significativo (β ≈ −0.034). Las empresas muy capital-intensivas tienen que generar suficiente ROA para justificar su base de activos físicos, lo cual es más difícil que en sectores ligeros. Además, los activos físicos se deprecian y requieren mantenimiento constante.</w:t>
            </w:r>
          </w:p>
        </w:tc>
      </w:tr>
    </w:tbl>
    <w:p w14:paraId="19B3A921" w14:textId="77777777" w:rsidR="009E57CD" w:rsidRDefault="009E57CD">
      <w:pPr>
        <w:spacing w:before="60" w:after="60"/>
      </w:pPr>
    </w:p>
    <w:p w14:paraId="1C6C0838" w14:textId="77777777" w:rsidR="009E57CD" w:rsidRDefault="00A4297A">
      <w:pPr>
        <w:pStyle w:val="Ttulo2"/>
      </w:pPr>
      <w:r>
        <w:t>Predictor 8: AGE — Antigüedad de la empresa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1FEB369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3A5F"/>
            <w:tcMar>
              <w:top w:w="110" w:type="dxa"/>
              <w:left w:w="200" w:type="dxa"/>
              <w:bottom w:w="110" w:type="dxa"/>
              <w:right w:w="200" w:type="dxa"/>
            </w:tcMar>
          </w:tcPr>
          <w:p w14:paraId="77840CC7" w14:textId="77777777" w:rsidR="009E57CD" w:rsidRDefault="00A4297A">
            <w:r>
              <w:rPr>
                <w:rFonts w:ascii="Courier New" w:eastAsia="Courier New" w:hAnsi="Courier New" w:cs="Courier New"/>
                <w:b/>
                <w:bCs/>
                <w:color w:val="FFFFFF"/>
                <w:sz w:val="28"/>
                <w:szCs w:val="28"/>
              </w:rPr>
              <w:t xml:space="preserve">AGE  </w:t>
            </w:r>
            <w:r>
              <w:rPr>
                <w:color w:val="BFD8FF"/>
              </w:rPr>
              <w:t>—  Edad de la empresa (años desde su fundación)</w:t>
            </w:r>
            <w:r>
              <w:rPr>
                <w:color w:val="7FAACC"/>
                <w:sz w:val="20"/>
                <w:szCs w:val="20"/>
              </w:rPr>
              <w:t xml:space="preserve">   [Predictor continuo]</w:t>
            </w:r>
          </w:p>
        </w:tc>
      </w:tr>
      <w:tr w:rsidR="009E57CD" w14:paraId="0B5255D9"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1D9A01EB" w14:textId="77777777" w:rsidR="009E57CD" w:rsidRDefault="00A4297A">
            <w:pPr>
              <w:spacing w:after="70"/>
            </w:pPr>
            <w:r>
              <w:rPr>
                <w:b/>
                <w:bCs/>
                <w:color w:val="0D9488"/>
                <w:sz w:val="21"/>
                <w:szCs w:val="21"/>
              </w:rPr>
              <w:t xml:space="preserve">Definición:  </w:t>
            </w:r>
            <w:r>
              <w:rPr>
                <w:sz w:val="21"/>
                <w:szCs w:val="21"/>
              </w:rPr>
              <w:t>AGE = Año actual − Año de fundación</w:t>
            </w:r>
          </w:p>
          <w:p w14:paraId="38485DA7" w14:textId="77777777" w:rsidR="009E57CD" w:rsidRDefault="00A4297A">
            <w:pPr>
              <w:spacing w:after="70"/>
            </w:pPr>
            <w:r>
              <w:rPr>
                <w:b/>
                <w:bCs/>
                <w:color w:val="0D9488"/>
                <w:sz w:val="21"/>
                <w:szCs w:val="21"/>
              </w:rPr>
              <w:t xml:space="preserve">Qué mide:  </w:t>
            </w:r>
            <w:r>
              <w:rPr>
                <w:sz w:val="21"/>
                <w:szCs w:val="21"/>
              </w:rPr>
              <w:t>Mide cuántos años lleva operando la empresa. No es simplemente una medida de tiempo: la edad captura factores como el ciclo de vida empresarial, la posible rigidez organizacional de las empresas maduras, y si las empresas jóvenes son naturalmente más ágiles o si simplemente aún no han madurado su modelo de negocio.</w:t>
            </w:r>
          </w:p>
          <w:p w14:paraId="4B3D9BDF" w14:textId="77777777" w:rsidR="009E57CD" w:rsidRDefault="00A4297A">
            <w:pPr>
              <w:spacing w:after="70"/>
            </w:pPr>
            <w:r>
              <w:rPr>
                <w:b/>
                <w:bCs/>
                <w:color w:val="0D9488"/>
                <w:sz w:val="21"/>
                <w:szCs w:val="21"/>
              </w:rPr>
              <w:t xml:space="preserve">Valor típico en los datos:  </w:t>
            </w:r>
            <w:r>
              <w:rPr>
                <w:sz w:val="21"/>
                <w:szCs w:val="21"/>
              </w:rPr>
              <w:t>En los datos KoTaP: rango amplio. Corea tiene empresas fundadas en los años 1940-1950 (Samsung, Hyundai) junto a startups de los 2010s. La media está alrededor de 25–30 años.</w:t>
            </w:r>
          </w:p>
          <w:p w14:paraId="15918970" w14:textId="77777777" w:rsidR="009E57CD" w:rsidRDefault="00A4297A">
            <w:r>
              <w:rPr>
                <w:b/>
                <w:bCs/>
                <w:color w:val="D97706"/>
                <w:sz w:val="21"/>
                <w:szCs w:val="21"/>
              </w:rPr>
              <w:t xml:space="preserve">Efecto esperado sobre ROA:  </w:t>
            </w:r>
            <w:r>
              <w:rPr>
                <w:sz w:val="21"/>
                <w:szCs w:val="21"/>
              </w:rPr>
              <w:t>Efecto negativo significativo (β ≈ −0.010). Las empresas más antiguas tienden a tener menor ROA. La explicación puede ser que las empresas maduras operan en mercados más saturados, tienen estructuras organizacionales más rígidas, activos parcialmente obsoletos, o que los mercados competitivos en Corea tienden a comprimir los márgenes con el tiempo.</w:t>
            </w:r>
          </w:p>
        </w:tc>
      </w:tr>
    </w:tbl>
    <w:p w14:paraId="70B4163C" w14:textId="77777777" w:rsidR="009E57CD" w:rsidRDefault="009E57CD">
      <w:pPr>
        <w:spacing w:before="60" w:after="60"/>
      </w:pPr>
    </w:p>
    <w:p w14:paraId="47C5E2AC" w14:textId="77777777" w:rsidR="009E57CD" w:rsidRDefault="00A4297A">
      <w:pPr>
        <w:pStyle w:val="Ttulo2"/>
      </w:pPr>
      <w:r>
        <w:t>Resumen: los ocho predictores de un vistazo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500"/>
        <w:gridCol w:w="1860"/>
      </w:tblGrid>
      <w:tr w:rsidR="009E57CD" w14:paraId="6C52C1FF" w14:textId="77777777">
        <w:tblPrEx>
          <w:tblCellMar>
            <w:top w:w="0" w:type="dxa"/>
            <w:bottom w:w="0" w:type="dxa"/>
          </w:tblCellMar>
        </w:tblPrEx>
        <w:trPr>
          <w:tblHeader/>
        </w:trPr>
        <w:tc>
          <w:tcPr>
            <w:tcW w:w="15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30" w:type="dxa"/>
              <w:bottom w:w="90" w:type="dxa"/>
              <w:right w:w="130" w:type="dxa"/>
            </w:tcMar>
          </w:tcPr>
          <w:p w14:paraId="0D95C976" w14:textId="77777777" w:rsidR="009E57CD" w:rsidRDefault="00A4297A">
            <w:r>
              <w:rPr>
                <w:b/>
                <w:bCs/>
                <w:color w:val="FFFFFF"/>
                <w:sz w:val="20"/>
                <w:szCs w:val="20"/>
              </w:rPr>
              <w:t>Variable</w:t>
            </w:r>
          </w:p>
        </w:tc>
        <w:tc>
          <w:tcPr>
            <w:tcW w:w="35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30" w:type="dxa"/>
              <w:bottom w:w="90" w:type="dxa"/>
              <w:right w:w="130" w:type="dxa"/>
            </w:tcMar>
          </w:tcPr>
          <w:p w14:paraId="465E79B3" w14:textId="77777777" w:rsidR="009E57CD" w:rsidRDefault="00A4297A">
            <w:r>
              <w:rPr>
                <w:b/>
                <w:bCs/>
                <w:color w:val="FFFFFF"/>
                <w:sz w:val="20"/>
                <w:szCs w:val="20"/>
              </w:rPr>
              <w:t>Qué mide</w:t>
            </w:r>
          </w:p>
        </w:tc>
        <w:tc>
          <w:tcPr>
            <w:tcW w:w="25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30" w:type="dxa"/>
              <w:bottom w:w="90" w:type="dxa"/>
              <w:right w:w="130" w:type="dxa"/>
            </w:tcMar>
          </w:tcPr>
          <w:p w14:paraId="316FACF5" w14:textId="77777777" w:rsidR="009E57CD" w:rsidRDefault="00A4297A">
            <w:r>
              <w:rPr>
                <w:b/>
                <w:bCs/>
                <w:color w:val="FFFFFF"/>
                <w:sz w:val="20"/>
                <w:szCs w:val="20"/>
              </w:rPr>
              <w:t>Signo esperado del β</w:t>
            </w:r>
          </w:p>
        </w:tc>
        <w:tc>
          <w:tcPr>
            <w:tcW w:w="186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30" w:type="dxa"/>
              <w:bottom w:w="90" w:type="dxa"/>
              <w:right w:w="130" w:type="dxa"/>
            </w:tcMar>
          </w:tcPr>
          <w:p w14:paraId="244B002F" w14:textId="77777777" w:rsidR="009E57CD" w:rsidRDefault="00A4297A">
            <w:r>
              <w:rPr>
                <w:b/>
                <w:bCs/>
                <w:color w:val="FFFFFF"/>
                <w:sz w:val="20"/>
                <w:szCs w:val="20"/>
              </w:rPr>
              <w:t>Significancia</w:t>
            </w:r>
          </w:p>
        </w:tc>
      </w:tr>
      <w:tr w:rsidR="009E57CD" w14:paraId="3D1BEF3D"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DE932F2" w14:textId="77777777" w:rsidR="009E57CD" w:rsidRDefault="00A4297A">
            <w:r>
              <w:rPr>
                <w:b/>
                <w:bCs/>
                <w:sz w:val="20"/>
                <w:szCs w:val="20"/>
              </w:rPr>
              <w:t>ROA</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654498D" w14:textId="77777777" w:rsidR="009E57CD" w:rsidRDefault="00A4297A">
            <w:r>
              <w:rPr>
                <w:sz w:val="20"/>
                <w:szCs w:val="20"/>
              </w:rPr>
              <w:t>Variable objetivo: beneficio / activos</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A9685AE" w14:textId="77777777" w:rsidR="009E57CD" w:rsidRDefault="00A4297A">
            <w:r>
              <w:rPr>
                <w:sz w:val="20"/>
                <w:szCs w:val="20"/>
              </w:rPr>
              <w:t>N/A (es lo que predecimos)</w:t>
            </w:r>
          </w:p>
        </w:tc>
        <w:tc>
          <w:tcPr>
            <w:tcW w:w="1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B934DC9" w14:textId="77777777" w:rsidR="009E57CD" w:rsidRDefault="00A4297A">
            <w:r>
              <w:rPr>
                <w:sz w:val="20"/>
                <w:szCs w:val="20"/>
              </w:rPr>
              <w:t>N/A</w:t>
            </w:r>
          </w:p>
        </w:tc>
      </w:tr>
      <w:tr w:rsidR="009E57CD" w14:paraId="2BF21BBC"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B5BB1E" w14:textId="77777777" w:rsidR="009E57CD" w:rsidRDefault="00A4297A">
            <w:r>
              <w:rPr>
                <w:b/>
                <w:bCs/>
                <w:sz w:val="20"/>
                <w:szCs w:val="20"/>
              </w:rPr>
              <w:t>SIZE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D86470" w14:textId="77777777" w:rsidR="009E57CD" w:rsidRDefault="00A4297A">
            <w:r>
              <w:rPr>
                <w:sz w:val="20"/>
                <w:szCs w:val="20"/>
              </w:rPr>
              <w:t>Tamaño: ln(activos totales)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91DDF4" w14:textId="77777777" w:rsidR="009E57CD" w:rsidRDefault="00A4297A">
            <w:r>
              <w:rPr>
                <w:sz w:val="20"/>
                <w:szCs w:val="20"/>
              </w:rPr>
              <w:t>Ambiguo</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FC9523" w14:textId="77777777" w:rsidR="009E57CD" w:rsidRDefault="00A4297A">
            <w:r>
              <w:rPr>
                <w:sz w:val="20"/>
                <w:szCs w:val="20"/>
              </w:rPr>
              <w:t>No significativo</w:t>
            </w:r>
          </w:p>
        </w:tc>
      </w:tr>
      <w:tr w:rsidR="009E57CD" w14:paraId="0FDCD8E0"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21EC1BC" w14:textId="77777777" w:rsidR="009E57CD" w:rsidRDefault="00A4297A">
            <w:r>
              <w:rPr>
                <w:b/>
                <w:bCs/>
                <w:sz w:val="20"/>
                <w:szCs w:val="20"/>
              </w:rPr>
              <w:t>LEV</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0FAF2E1" w14:textId="77777777" w:rsidR="009E57CD" w:rsidRDefault="00A4297A">
            <w:r>
              <w:rPr>
                <w:sz w:val="20"/>
                <w:szCs w:val="20"/>
              </w:rPr>
              <w:t>Apalancamiento: deuda / activos</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6449AAC" w14:textId="77777777" w:rsidR="009E57CD" w:rsidRDefault="00A4297A">
            <w:r>
              <w:rPr>
                <w:sz w:val="20"/>
                <w:szCs w:val="20"/>
              </w:rPr>
              <w:t>Negativo (−)</w:t>
            </w:r>
          </w:p>
        </w:tc>
        <w:tc>
          <w:tcPr>
            <w:tcW w:w="1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0EEAFD8" w14:textId="77777777" w:rsidR="009E57CD" w:rsidRDefault="00A4297A">
            <w:r>
              <w:rPr>
                <w:sz w:val="20"/>
                <w:szCs w:val="20"/>
              </w:rPr>
              <w:t>***</w:t>
            </w:r>
          </w:p>
        </w:tc>
      </w:tr>
      <w:tr w:rsidR="009E57CD" w14:paraId="21145F14"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78AFF7" w14:textId="77777777" w:rsidR="009E57CD" w:rsidRDefault="00A4297A">
            <w:r>
              <w:rPr>
                <w:b/>
                <w:bCs/>
                <w:sz w:val="20"/>
                <w:szCs w:val="20"/>
              </w:rPr>
              <w:t>CFO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035F1C" w14:textId="77777777" w:rsidR="009E57CD" w:rsidRDefault="00A4297A">
            <w:r>
              <w:rPr>
                <w:sz w:val="20"/>
                <w:szCs w:val="20"/>
              </w:rPr>
              <w:t>Flujo de caja operativo / activos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4A0D8" w14:textId="77777777" w:rsidR="009E57CD" w:rsidRDefault="00A4297A">
            <w:r>
              <w:rPr>
                <w:sz w:val="20"/>
                <w:szCs w:val="20"/>
              </w:rPr>
              <w:t>Positivo (+)</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7B590F" w14:textId="77777777" w:rsidR="009E57CD" w:rsidRDefault="00A4297A">
            <w:r>
              <w:rPr>
                <w:sz w:val="20"/>
                <w:szCs w:val="20"/>
              </w:rPr>
              <w:t>***</w:t>
            </w:r>
          </w:p>
        </w:tc>
      </w:tr>
      <w:tr w:rsidR="009E57CD" w14:paraId="55795981"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59058CF" w14:textId="77777777" w:rsidR="009E57CD" w:rsidRDefault="00A4297A">
            <w:r>
              <w:rPr>
                <w:b/>
                <w:bCs/>
                <w:sz w:val="20"/>
                <w:szCs w:val="20"/>
              </w:rPr>
              <w:t>GRW</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DABCF2C" w14:textId="77777777" w:rsidR="009E57CD" w:rsidRDefault="00A4297A">
            <w:r>
              <w:rPr>
                <w:sz w:val="20"/>
                <w:szCs w:val="20"/>
              </w:rPr>
              <w:t>Crecimiento de ventas año a año</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33799E3" w14:textId="77777777" w:rsidR="009E57CD" w:rsidRDefault="00A4297A">
            <w:r>
              <w:rPr>
                <w:sz w:val="20"/>
                <w:szCs w:val="20"/>
              </w:rPr>
              <w:t>Positivo (+)</w:t>
            </w:r>
          </w:p>
        </w:tc>
        <w:tc>
          <w:tcPr>
            <w:tcW w:w="1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7175734" w14:textId="77777777" w:rsidR="009E57CD" w:rsidRDefault="00A4297A">
            <w:r>
              <w:rPr>
                <w:sz w:val="20"/>
                <w:szCs w:val="20"/>
              </w:rPr>
              <w:t>***</w:t>
            </w:r>
          </w:p>
        </w:tc>
      </w:tr>
      <w:tr w:rsidR="009E57CD" w14:paraId="258E0850"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6B8E32" w14:textId="77777777" w:rsidR="009E57CD" w:rsidRDefault="00A4297A">
            <w:r>
              <w:rPr>
                <w:b/>
                <w:bCs/>
                <w:sz w:val="20"/>
                <w:szCs w:val="20"/>
              </w:rPr>
              <w:t>CUR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3ACFF5" w14:textId="77777777" w:rsidR="009E57CD" w:rsidRDefault="00A4297A">
            <w:r>
              <w:rPr>
                <w:sz w:val="20"/>
                <w:szCs w:val="20"/>
              </w:rPr>
              <w:t>Razón corriente: activos / pasivos CP</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48C1E5" w14:textId="77777777" w:rsidR="009E57CD" w:rsidRDefault="00A4297A">
            <w:r>
              <w:rPr>
                <w:sz w:val="20"/>
                <w:szCs w:val="20"/>
              </w:rPr>
              <w:t>Ambiguo</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434A80" w14:textId="77777777" w:rsidR="009E57CD" w:rsidRDefault="00A4297A">
            <w:r>
              <w:rPr>
                <w:sz w:val="20"/>
                <w:szCs w:val="20"/>
              </w:rPr>
              <w:t>No significativo</w:t>
            </w:r>
          </w:p>
        </w:tc>
      </w:tr>
      <w:tr w:rsidR="009E57CD" w14:paraId="5E640D5D"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4E1A99F" w14:textId="77777777" w:rsidR="009E57CD" w:rsidRDefault="00A4297A">
            <w:r>
              <w:rPr>
                <w:b/>
                <w:bCs/>
                <w:sz w:val="20"/>
                <w:szCs w:val="20"/>
              </w:rPr>
              <w:t>INVREC</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0351A51" w14:textId="77777777" w:rsidR="009E57CD" w:rsidRDefault="00A4297A">
            <w:r>
              <w:rPr>
                <w:sz w:val="20"/>
                <w:szCs w:val="20"/>
              </w:rPr>
              <w:t>Inventario + CxC / activos totales</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03F824C" w14:textId="77777777" w:rsidR="009E57CD" w:rsidRDefault="00A4297A">
            <w:r>
              <w:rPr>
                <w:sz w:val="20"/>
                <w:szCs w:val="20"/>
              </w:rPr>
              <w:t>Positivo (+)</w:t>
            </w:r>
          </w:p>
        </w:tc>
        <w:tc>
          <w:tcPr>
            <w:tcW w:w="1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F767499" w14:textId="77777777" w:rsidR="009E57CD" w:rsidRDefault="00A4297A">
            <w:r>
              <w:rPr>
                <w:sz w:val="20"/>
                <w:szCs w:val="20"/>
              </w:rPr>
              <w:t>***</w:t>
            </w:r>
          </w:p>
        </w:tc>
      </w:tr>
      <w:tr w:rsidR="009E57CD" w14:paraId="2D1C9C9C"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18552" w14:textId="77777777" w:rsidR="009E57CD" w:rsidRDefault="00A4297A">
            <w:r>
              <w:rPr>
                <w:b/>
                <w:bCs/>
                <w:sz w:val="20"/>
                <w:szCs w:val="20"/>
              </w:rPr>
              <w:t>PPE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448125" w14:textId="77777777" w:rsidR="009E57CD" w:rsidRDefault="00A4297A">
            <w:r>
              <w:rPr>
                <w:sz w:val="20"/>
                <w:szCs w:val="20"/>
              </w:rPr>
              <w:t>Activos fijos / activos totales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1B2090" w14:textId="77777777" w:rsidR="009E57CD" w:rsidRDefault="00A4297A">
            <w:r>
              <w:rPr>
                <w:sz w:val="20"/>
                <w:szCs w:val="20"/>
              </w:rPr>
              <w:t>Negativo (−)</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BD1006" w14:textId="77777777" w:rsidR="009E57CD" w:rsidRDefault="00A4297A">
            <w:r>
              <w:rPr>
                <w:sz w:val="20"/>
                <w:szCs w:val="20"/>
              </w:rPr>
              <w:t>***</w:t>
            </w:r>
          </w:p>
        </w:tc>
      </w:tr>
      <w:tr w:rsidR="009E57CD" w14:paraId="4612DDEA"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DB0CBC3" w14:textId="77777777" w:rsidR="009E57CD" w:rsidRDefault="00A4297A">
            <w:r>
              <w:rPr>
                <w:b/>
                <w:bCs/>
                <w:sz w:val="20"/>
                <w:szCs w:val="20"/>
              </w:rPr>
              <w:t>AGE</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285CF6E" w14:textId="77777777" w:rsidR="009E57CD" w:rsidRDefault="00A4297A">
            <w:r>
              <w:rPr>
                <w:sz w:val="20"/>
                <w:szCs w:val="20"/>
              </w:rPr>
              <w:t>Años desde la fundación</w:t>
            </w:r>
          </w:p>
        </w:tc>
        <w:tc>
          <w:tcPr>
            <w:tcW w:w="2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27395C4" w14:textId="77777777" w:rsidR="009E57CD" w:rsidRDefault="00A4297A">
            <w:r>
              <w:rPr>
                <w:sz w:val="20"/>
                <w:szCs w:val="20"/>
              </w:rPr>
              <w:t>Negativo (−)</w:t>
            </w:r>
          </w:p>
        </w:tc>
        <w:tc>
          <w:tcPr>
            <w:tcW w:w="1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7453BC5" w14:textId="77777777" w:rsidR="009E57CD" w:rsidRDefault="00A4297A">
            <w:r>
              <w:rPr>
                <w:sz w:val="20"/>
                <w:szCs w:val="20"/>
              </w:rPr>
              <w:t>***</w:t>
            </w:r>
          </w:p>
        </w:tc>
      </w:tr>
    </w:tbl>
    <w:p w14:paraId="5CD842AE" w14:textId="77777777" w:rsidR="009E57CD" w:rsidRDefault="009E57CD">
      <w:pPr>
        <w:pageBreakBefore/>
      </w:pPr>
    </w:p>
    <w:p w14:paraId="6F8303E5" w14:textId="77777777" w:rsidR="009E57CD" w:rsidRDefault="00A4297A">
      <w:pPr>
        <w:pStyle w:val="Ttulo1"/>
      </w:pPr>
      <w:r>
        <w:t>PARTE 2: La diapositiva de Regresión Múltiple</w:t>
      </w:r>
    </w:p>
    <w:p w14:paraId="10395D9B" w14:textId="77777777" w:rsidR="009E57CD" w:rsidRDefault="00A4297A">
      <w:pPr>
        <w:spacing w:before="80" w:after="130"/>
      </w:pPr>
      <w:r>
        <w:t>El panel completo de regresión está formado por tres gráficos organizados en dos filas. La fila superior ocupa el 58% del espacio y muestra el ajuste del modelo. La fila inferior se divide en dos paneles que muestran los coeficientes desde dos perspectivas distintas.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2B7376DA"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DE7"/>
            <w:tcMar>
              <w:top w:w="140" w:type="dxa"/>
              <w:left w:w="220" w:type="dxa"/>
              <w:bottom w:w="140" w:type="dxa"/>
              <w:right w:w="220" w:type="dxa"/>
            </w:tcMar>
          </w:tcPr>
          <w:p w14:paraId="03C8CF11" w14:textId="77777777" w:rsidR="009E57CD" w:rsidRDefault="00A4297A">
            <w:pPr>
              <w:spacing w:after="80"/>
            </w:pPr>
            <w:r>
              <w:rPr>
                <w:b/>
                <w:bCs/>
                <w:color w:val="D97706"/>
                <w:sz w:val="23"/>
                <w:szCs w:val="23"/>
              </w:rPr>
              <w:t>El modelo completo en una línea</w:t>
            </w:r>
          </w:p>
          <w:p w14:paraId="49BC64CA" w14:textId="77777777" w:rsidR="009E57CD" w:rsidRPr="008B1422" w:rsidRDefault="00A4297A">
            <w:pPr>
              <w:spacing w:before="40" w:after="40"/>
              <w:rPr>
                <w:lang w:val="en-US"/>
              </w:rPr>
            </w:pPr>
            <w:r w:rsidRPr="008B1422">
              <w:rPr>
                <w:sz w:val="21"/>
                <w:szCs w:val="21"/>
                <w:lang w:val="en-US"/>
              </w:rPr>
              <w:t>ROA = 0.0778 + (0.0000 × SIZE) + (−0.0548 × LEV) + (0.3355 × CFO) + (0.0484 × GRW)</w:t>
            </w:r>
          </w:p>
          <w:p w14:paraId="5B737A44" w14:textId="77777777" w:rsidR="009E57CD" w:rsidRDefault="00A4297A">
            <w:pPr>
              <w:spacing w:before="40" w:after="40"/>
            </w:pPr>
            <w:r w:rsidRPr="008B1422">
              <w:rPr>
                <w:sz w:val="21"/>
                <w:szCs w:val="21"/>
                <w:lang w:val="en-US"/>
              </w:rPr>
              <w:t xml:space="preserve">           </w:t>
            </w:r>
            <w:r>
              <w:rPr>
                <w:sz w:val="21"/>
                <w:szCs w:val="21"/>
              </w:rPr>
              <w:t>+ (−0.0002 × CUR) + (0.0474 × INVREC) + (−0.0339 × PPE) + (−0.0096 × AGE) + ε</w:t>
            </w:r>
          </w:p>
          <w:p w14:paraId="78265738" w14:textId="77777777" w:rsidR="009E57CD" w:rsidRDefault="009E57CD">
            <w:pPr>
              <w:spacing w:before="40" w:after="40"/>
            </w:pPr>
          </w:p>
          <w:p w14:paraId="71ECFB59" w14:textId="77777777" w:rsidR="009E57CD" w:rsidRDefault="00A4297A">
            <w:pPr>
              <w:spacing w:before="40" w:after="40"/>
            </w:pPr>
            <w:r>
              <w:rPr>
                <w:sz w:val="21"/>
                <w:szCs w:val="21"/>
              </w:rPr>
              <w:t>Cada coeficiente β dice: si esta variable sube en 1 unidad y todas las demás se quedan exactamente igual, el ROA esperado cambia en ese valor.</w:t>
            </w:r>
          </w:p>
        </w:tc>
      </w:tr>
    </w:tbl>
    <w:p w14:paraId="07A343DE" w14:textId="77777777" w:rsidR="009E57CD" w:rsidRDefault="009E57CD">
      <w:pPr>
        <w:spacing w:before="60" w:after="60"/>
      </w:pPr>
    </w:p>
    <w:p w14:paraId="1D6F57BE" w14:textId="77777777" w:rsidR="009E57CD" w:rsidRDefault="00A4297A">
      <w:pPr>
        <w:pStyle w:val="Ttulo2"/>
      </w:pPr>
      <w:r>
        <w:t>Gráfico superior: Predichos vs Reales</w:t>
      </w:r>
    </w:p>
    <w:p w14:paraId="5385E16C" w14:textId="77777777" w:rsidR="009E57CD" w:rsidRDefault="00A4297A">
      <w:pPr>
        <w:spacing w:before="80" w:after="130"/>
      </w:pPr>
      <w:r>
        <w:t>Este gráfico responde a la pregunta más fundamental: ¿qué tan bien predice el modelo? Se construye con los datos del conjunto de prueba, las empresas que el modelo nunca vio durante el entrenamiento.</w:t>
      </w:r>
    </w:p>
    <w:p w14:paraId="5225DE6D" w14:textId="77777777" w:rsidR="009E57CD" w:rsidRDefault="00A4297A">
      <w:pPr>
        <w:pStyle w:val="Ttulo3"/>
      </w:pPr>
      <w:r>
        <w:t>Los ejes</w:t>
      </w:r>
    </w:p>
    <w:p w14:paraId="11D2CE8C" w14:textId="77777777" w:rsidR="009E57CD" w:rsidRDefault="00A4297A">
      <w:pPr>
        <w:spacing w:before="80" w:after="130"/>
      </w:pPr>
      <w:r>
        <w:t>El eje X (horizontal) es el ROA que realmente ocurrió en esa empresa ese año. El eje Y (vertical) es el ROA que el modelo predijo para esa empresa usando sus valores de SIZE, LEV, CFO, GRW, CUR, INVREC, PPE y AGE. Si el modelo fuera perfectamente exacto, todos los puntos estarían en la diagonal.</w:t>
      </w:r>
    </w:p>
    <w:p w14:paraId="5F4A8741" w14:textId="77777777" w:rsidR="009E57CD" w:rsidRDefault="00A4297A">
      <w:pPr>
        <w:pStyle w:val="Ttulo3"/>
      </w:pPr>
      <w:r>
        <w:t>La línea roja diagonal</w:t>
      </w:r>
    </w:p>
    <w:p w14:paraId="4933C3DF" w14:textId="77777777" w:rsidR="009E57CD" w:rsidRDefault="00A4297A">
      <w:pPr>
        <w:spacing w:before="80" w:after="130"/>
      </w:pPr>
      <w:r>
        <w:t>Representa la predicción perfecta: en cada punto de esa línea, el valor predicho es exactamente igual al valor real. No es una línea ajustada a los datos, es una referencia teórica con pendiente 1 e intercepto 0. Cuanto más cerca estén los puntos de esa línea, mejor funciona el modelo. Los puntos alejados de la diagonal son las empresas que el modelo predijo mal.</w:t>
      </w:r>
    </w:p>
    <w:p w14:paraId="61EE1422" w14:textId="77777777" w:rsidR="009E57CD" w:rsidRDefault="00A4297A">
      <w:pPr>
        <w:pStyle w:val="Ttulo3"/>
      </w:pPr>
      <w:r>
        <w:t>La banda sombreada de ±RMSE</w:t>
      </w:r>
    </w:p>
    <w:p w14:paraId="05873931" w14:textId="77777777" w:rsidR="009E57CD" w:rsidRDefault="00A4297A">
      <w:pPr>
        <w:spacing w:before="80" w:after="130"/>
      </w:pPr>
      <w:r>
        <w:t>El RMSE (Root Mean Square Error) es el error típico del modelo. La banda sombreada alrededor de la línea perfecta tiene un ancho de ±RMSE. Podemos interpretarla como la zona de tolerancia del modelo: si un punto cae dentro de la banda, el modelo se equivocó pero dentro de un margen razonable. Si cae fuera, ese fue un error grande.</w:t>
      </w:r>
    </w:p>
    <w:p w14:paraId="2FA9C24D" w14:textId="77777777" w:rsidR="009E57CD" w:rsidRDefault="00A4297A">
      <w:pPr>
        <w:spacing w:before="80" w:after="130"/>
      </w:pPr>
      <w:r>
        <w:t>Con RMSE ≈ 0.046, la banda abarca ±0.046 unidades de ROA. Dado que la mayoría de las empresas tienen ROA entre -0.10 y +0.15, un error de 0.046 representa aproximadamente el 30% del rango típico de ROA. Es un error razonable pero no despreciable.</w:t>
      </w:r>
    </w:p>
    <w:p w14:paraId="1E8FD1FA" w14:textId="77777777" w:rsidR="009E57CD" w:rsidRDefault="00A4297A">
      <w:pPr>
        <w:pStyle w:val="Ttulo3"/>
      </w:pPr>
      <w:r>
        <w:t>Los colores de los puntos</w:t>
      </w:r>
    </w:p>
    <w:p w14:paraId="0E771AAC" w14:textId="77777777" w:rsidR="009E57CD" w:rsidRDefault="00A4297A">
      <w:pPr>
        <w:spacing w:before="80" w:after="130"/>
      </w:pPr>
      <w:r>
        <w:t>Naranja: puntos donde el modelo sobreestimó (el ROA predicho fue mayor que el real). El modelo fue demasiado optimista con esa empresa.</w:t>
      </w:r>
    </w:p>
    <w:p w14:paraId="0A46EA77" w14:textId="77777777" w:rsidR="009E57CD" w:rsidRDefault="00A4297A">
      <w:pPr>
        <w:spacing w:before="80" w:after="130"/>
      </w:pPr>
      <w:r>
        <w:t>Teal (azul-verde): puntos donde el modelo subestimó (el ROA predicho fue menor que el real). El modelo fue demasiado pesimista con esa empresa.</w:t>
      </w:r>
    </w:p>
    <w:p w14:paraId="5D9D90A0" w14:textId="77777777" w:rsidR="009E57CD" w:rsidRDefault="00A4297A">
      <w:pPr>
        <w:spacing w:before="80" w:after="130"/>
      </w:pPr>
      <w:r>
        <w:t>Si hay muchos más puntos naranjas que teal en una zona específica, significa que el modelo sistemáticamente sobreestima el ROA para cierto rango de valores. Eso es un sesgo que debería investigarse.</w:t>
      </w:r>
    </w:p>
    <w:p w14:paraId="00C22937" w14:textId="77777777" w:rsidR="009E57CD" w:rsidRDefault="00A4297A">
      <w:pPr>
        <w:pStyle w:val="Ttulo3"/>
      </w:pPr>
      <w:r>
        <w:t>La anotación de métricas en la esquina</w:t>
      </w:r>
    </w:p>
    <w:p w14:paraId="33B3C35A" w14:textId="77777777" w:rsidR="009E57CD" w:rsidRDefault="00A4297A">
      <w:pPr>
        <w:spacing w:before="80" w:after="130"/>
      </w:pPr>
      <w:r>
        <w:t>En la esquina superior izquierda aparece una caja con cuatro números: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560"/>
      </w:tblGrid>
      <w:tr w:rsidR="009E57CD" w14:paraId="37916E57"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30" w:type="dxa"/>
              <w:bottom w:w="90" w:type="dxa"/>
              <w:right w:w="130" w:type="dxa"/>
            </w:tcMar>
          </w:tcPr>
          <w:p w14:paraId="125A1928" w14:textId="77777777" w:rsidR="009E57CD" w:rsidRDefault="00A4297A">
            <w:r>
              <w:rPr>
                <w:b/>
                <w:bCs/>
                <w:color w:val="FFFFFF"/>
                <w:sz w:val="20"/>
                <w:szCs w:val="20"/>
              </w:rPr>
              <w:t>Métrica</w:t>
            </w:r>
          </w:p>
        </w:tc>
        <w:tc>
          <w:tcPr>
            <w:tcW w:w="16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30" w:type="dxa"/>
              <w:bottom w:w="90" w:type="dxa"/>
              <w:right w:w="130" w:type="dxa"/>
            </w:tcMar>
          </w:tcPr>
          <w:p w14:paraId="2583E11F" w14:textId="77777777" w:rsidR="009E57CD" w:rsidRDefault="00A4297A">
            <w:r>
              <w:rPr>
                <w:b/>
                <w:bCs/>
                <w:color w:val="FFFFFF"/>
                <w:sz w:val="20"/>
                <w:szCs w:val="20"/>
              </w:rPr>
              <w:t>Valor (ejemplo)</w:t>
            </w:r>
          </w:p>
        </w:tc>
        <w:tc>
          <w:tcPr>
            <w:tcW w:w="656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30" w:type="dxa"/>
              <w:bottom w:w="90" w:type="dxa"/>
              <w:right w:w="130" w:type="dxa"/>
            </w:tcMar>
          </w:tcPr>
          <w:p w14:paraId="4F602C54" w14:textId="77777777" w:rsidR="009E57CD" w:rsidRDefault="00A4297A">
            <w:r>
              <w:rPr>
                <w:b/>
                <w:bCs/>
                <w:color w:val="FFFFFF"/>
                <w:sz w:val="20"/>
                <w:szCs w:val="20"/>
              </w:rPr>
              <w:t>Cómo interpretarlo en la práctica</w:t>
            </w:r>
          </w:p>
        </w:tc>
      </w:tr>
      <w:tr w:rsidR="009E57CD" w14:paraId="2F86852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142DD44" w14:textId="77777777" w:rsidR="009E57CD" w:rsidRDefault="00A4297A">
            <w:r>
              <w:rPr>
                <w:b/>
                <w:bCs/>
                <w:sz w:val="20"/>
                <w:szCs w:val="20"/>
              </w:rPr>
              <w:t>R²</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D2F557D" w14:textId="77777777" w:rsidR="009E57CD" w:rsidRDefault="00A4297A">
            <w:r>
              <w:rPr>
                <w:sz w:val="20"/>
                <w:szCs w:val="20"/>
              </w:rPr>
              <w:t>0.3126</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BEF89CD" w14:textId="77777777" w:rsidR="009E57CD" w:rsidRDefault="00A4297A">
            <w:r>
              <w:rPr>
                <w:sz w:val="20"/>
                <w:szCs w:val="20"/>
              </w:rPr>
              <w:t>El modelo explica el 31.3% de por qué algunas empresas tienen más ROA que otras. El otro 68.7% depende de factores que no están en los ocho predictores: condiciones macroeconómicas, calidad gerencial, innovación de producto, relaciones con clientes clave.</w:t>
            </w:r>
          </w:p>
        </w:tc>
      </w:tr>
      <w:tr w:rsidR="009E57CD" w14:paraId="67F1F50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AF9AA9" w14:textId="77777777" w:rsidR="009E57CD" w:rsidRDefault="00A4297A">
            <w:r>
              <w:rPr>
                <w:b/>
                <w:bCs/>
                <w:sz w:val="20"/>
                <w:szCs w:val="20"/>
              </w:rPr>
              <w:t>R²-adj</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D2FA5" w14:textId="77777777" w:rsidR="009E57CD" w:rsidRDefault="00A4297A">
            <w:r>
              <w:rPr>
                <w:sz w:val="20"/>
                <w:szCs w:val="20"/>
              </w:rPr>
              <w:t>0.3459</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A99626" w14:textId="77777777" w:rsidR="009E57CD" w:rsidRDefault="00A4297A">
            <w:r>
              <w:rPr>
                <w:sz w:val="20"/>
                <w:szCs w:val="20"/>
              </w:rPr>
              <w:t>Igual que R² pero penalizado por incluir ocho variables. Que R²-adj sea mayor que R² en este ejemplo suele indicar alguna peculiaridad del conjunto de prueba. Normalmente R²-adj es menor.</w:t>
            </w:r>
          </w:p>
        </w:tc>
      </w:tr>
      <w:tr w:rsidR="009E57CD" w14:paraId="3F2836E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852542D" w14:textId="77777777" w:rsidR="009E57CD" w:rsidRDefault="00A4297A">
            <w:r>
              <w:rPr>
                <w:b/>
                <w:bCs/>
                <w:sz w:val="20"/>
                <w:szCs w:val="20"/>
              </w:rPr>
              <w:t>RMSE</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74307F" w14:textId="77777777" w:rsidR="009E57CD" w:rsidRDefault="00A4297A">
            <w:r>
              <w:rPr>
                <w:sz w:val="20"/>
                <w:szCs w:val="20"/>
              </w:rPr>
              <w:t>0.0463</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752C11" w14:textId="77777777" w:rsidR="009E57CD" w:rsidRDefault="00A4297A">
            <w:r>
              <w:rPr>
                <w:sz w:val="20"/>
                <w:szCs w:val="20"/>
              </w:rPr>
              <w:t>El error típico de predicción es 0.046 puntos de ROA. En palabras: si el modelo dice que una empresa tendrá ROA = 0.05, el ROA real probablemente está entre 0.004 y 0.096.</w:t>
            </w:r>
          </w:p>
        </w:tc>
      </w:tr>
      <w:tr w:rsidR="009E57CD" w14:paraId="2EF832C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D02F7E" w14:textId="77777777" w:rsidR="009E57CD" w:rsidRDefault="00A4297A">
            <w:r>
              <w:rPr>
                <w:b/>
                <w:bCs/>
                <w:sz w:val="20"/>
                <w:szCs w:val="20"/>
              </w:rPr>
              <w:t>MAE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BA9EE2" w14:textId="77777777" w:rsidR="009E57CD" w:rsidRDefault="00A4297A">
            <w:r>
              <w:rPr>
                <w:sz w:val="20"/>
                <w:szCs w:val="20"/>
              </w:rPr>
              <w:t>0.0316</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6E2117" w14:textId="77777777" w:rsidR="009E57CD" w:rsidRDefault="00A4297A">
            <w:r>
              <w:rPr>
                <w:sz w:val="20"/>
                <w:szCs w:val="20"/>
              </w:rPr>
              <w:t>En promedio el modelo se equivoca en 0.032 puntos de ROA. Más interpretable que RMSE porque no eleva los errores al cuadrado. Un error de 3.2 puntos porcentuales en ROA es moderado.</w:t>
            </w:r>
          </w:p>
        </w:tc>
      </w:tr>
    </w:tbl>
    <w:p w14:paraId="02C15B82" w14:textId="77777777" w:rsidR="009E57CD" w:rsidRDefault="009E57CD">
      <w:pPr>
        <w:spacing w:before="60" w:after="60"/>
      </w:pPr>
    </w:p>
    <w:p w14:paraId="4EE041D3" w14:textId="77777777" w:rsidR="009E57CD" w:rsidRDefault="00A4297A">
      <w:pPr>
        <w:pStyle w:val="Ttulo2"/>
      </w:pPr>
      <w:r>
        <w:t>Gráfico inferior izquierdo: Coeficientes β con IC al 95%</w:t>
      </w:r>
    </w:p>
    <w:p w14:paraId="0C4A0CF5" w14:textId="77777777" w:rsidR="009E57CD" w:rsidRDefault="00A4297A">
      <w:pPr>
        <w:spacing w:before="80" w:after="130"/>
      </w:pPr>
      <w:r>
        <w:t>Este panel muestra exactamente qué dice el modelo sobre cada variable: cuánto cambia el ROA cuando esa variable sube una unidad, y con cuánta certeza lo sabemos.</w:t>
      </w:r>
    </w:p>
    <w:p w14:paraId="0FDFBA32" w14:textId="77777777" w:rsidR="009E57CD" w:rsidRDefault="00A4297A">
      <w:pPr>
        <w:pStyle w:val="Ttulo3"/>
      </w:pPr>
      <w:r>
        <w:t>La línea vertical en cero</w:t>
      </w:r>
    </w:p>
    <w:p w14:paraId="14F6C391" w14:textId="77777777" w:rsidR="009E57CD" w:rsidRDefault="00A4297A">
      <w:pPr>
        <w:spacing w:before="80" w:after="130"/>
      </w:pPr>
      <w:r>
        <w:t>Esta línea es el punto de referencia fundamental. Si el coeficiente de una variable está a la derecha del cero, esa variable tiene efecto positivo sobre el ROA: cuando aumenta, el ROA esperado sube. Si está a la izquierda, el efecto es negativo. Si el punto está exactamente en cero, la variable no tiene efecto.</w:t>
      </w:r>
    </w:p>
    <w:p w14:paraId="59B95C61" w14:textId="77777777" w:rsidR="009E57CD" w:rsidRDefault="00A4297A">
      <w:pPr>
        <w:pStyle w:val="Ttulo3"/>
      </w:pPr>
      <w:r>
        <w:t>El punto: el valor del coeficiente</w:t>
      </w:r>
    </w:p>
    <w:p w14:paraId="3719D2C0" w14:textId="77777777" w:rsidR="009E57CD" w:rsidRDefault="00A4297A">
      <w:pPr>
        <w:spacing w:before="80" w:after="130"/>
      </w:pPr>
      <w:r>
        <w:t>Cada punto representa el coeficiente β estimado. CFO está más a la derecha de todos porque tiene el mayor efecto positivo. LEV está más a la izquierda porque tiene el mayor efecto negativo. SIZE y CUR están cerca del cero porque sus efectos son pequeños y no significativos.</w:t>
      </w:r>
    </w:p>
    <w:p w14:paraId="74B6DD99" w14:textId="77777777" w:rsidR="009E57CD" w:rsidRDefault="00A4297A">
      <w:pPr>
        <w:pStyle w:val="Ttulo3"/>
      </w:pPr>
      <w:r>
        <w:t>La barra horizontal: el intervalo de confianza al 95%</w:t>
      </w:r>
    </w:p>
    <w:p w14:paraId="26602C39" w14:textId="77777777" w:rsidR="009E57CD" w:rsidRDefault="00A4297A">
      <w:pPr>
        <w:spacing w:before="80" w:after="130"/>
      </w:pPr>
      <w:r>
        <w:t>La barra que rodea cada punto es el intervalo de confianza del 95% para ese coeficiente. Significa: con los datos disponibles, estamos 95% seguros de que el verdadero efecto de esa variable está entre los dos extremos de la barra.</w:t>
      </w:r>
    </w:p>
    <w:p w14:paraId="528D4113" w14:textId="77777777" w:rsidR="009E57CD" w:rsidRDefault="00A4297A">
      <w:pPr>
        <w:spacing w:before="80" w:after="130"/>
      </w:pPr>
      <w:r>
        <w:t>La regla más importante: si la barra cruza la línea vertical en cero, el efecto no es estadísticamente distinguible de cero. Podría ser positivo, podría ser negativo, o podría ser nulo; los datos no nos permiten saberlo con confianza. SIZE y CUR tienen barras que cruzan el cero, por eso no son significativos.</w:t>
      </w:r>
    </w:p>
    <w:p w14:paraId="100662DA" w14:textId="77777777" w:rsidR="009E57CD" w:rsidRDefault="00A4297A">
      <w:pPr>
        <w:spacing w:before="80" w:after="130"/>
      </w:pPr>
      <w:r>
        <w:t>Barras cortas = mayor precisión (el error estándar es pequeño). Barras largas = mayor incertidumbre en la estimación. CFO tiene una barra relativamente corta porque es el predictor con más señal estadística.</w:t>
      </w:r>
    </w:p>
    <w:p w14:paraId="600AFCB7" w14:textId="77777777" w:rsidR="009E57CD" w:rsidRDefault="00A4297A">
      <w:pPr>
        <w:pStyle w:val="Ttulo3"/>
      </w:pPr>
      <w:r>
        <w:t>Las etiquetas con estrellas</w:t>
      </w:r>
    </w:p>
    <w:p w14:paraId="208DE92D" w14:textId="77777777" w:rsidR="009E57CD" w:rsidRDefault="00A4297A">
      <w:pPr>
        <w:spacing w:before="80" w:after="130"/>
      </w:pPr>
      <w:r>
        <w:t>Junto a cada punto aparece el valor numérico del coeficiente y las estrellas de significancia:</w:t>
      </w:r>
    </w:p>
    <w:p w14:paraId="7F371E03" w14:textId="77777777" w:rsidR="009E57CD" w:rsidRDefault="00A4297A">
      <w:pPr>
        <w:pStyle w:val="Prrafodelista"/>
        <w:numPr>
          <w:ilvl w:val="0"/>
          <w:numId w:val="2"/>
        </w:numPr>
        <w:spacing w:before="60" w:after="70"/>
      </w:pPr>
      <w:r>
        <w:t>*** (p &lt; 0.001): hay menos del 0.1% de probabilidad de observar este efecto por azar si el verdadero efecto fuera cero. Evidencia muy fuerte.</w:t>
      </w:r>
    </w:p>
    <w:p w14:paraId="008761EA" w14:textId="77777777" w:rsidR="009E57CD" w:rsidRDefault="00A4297A">
      <w:pPr>
        <w:pStyle w:val="Prrafodelista"/>
        <w:numPr>
          <w:ilvl w:val="0"/>
          <w:numId w:val="2"/>
        </w:numPr>
        <w:spacing w:before="60" w:after="70"/>
      </w:pPr>
      <w:r>
        <w:t>** (p &lt; 0.01): menos del 1% de probabilidad de que sea azar. Evidencia fuerte.</w:t>
      </w:r>
    </w:p>
    <w:p w14:paraId="64C3F532" w14:textId="77777777" w:rsidR="009E57CD" w:rsidRDefault="00A4297A">
      <w:pPr>
        <w:pStyle w:val="Prrafodelista"/>
        <w:numPr>
          <w:ilvl w:val="0"/>
          <w:numId w:val="2"/>
        </w:numPr>
        <w:spacing w:before="60" w:after="70"/>
      </w:pPr>
      <w:r>
        <w:t>* (p &lt; 0.05): menos del 5% de probabilidad. Evidencia moderada, pero el estándar habitual de aceptación.</w:t>
      </w:r>
    </w:p>
    <w:p w14:paraId="4CA258EE" w14:textId="77777777" w:rsidR="009E57CD" w:rsidRDefault="00A4297A">
      <w:pPr>
        <w:pStyle w:val="Prrafodelista"/>
        <w:numPr>
          <w:ilvl w:val="0"/>
          <w:numId w:val="2"/>
        </w:numPr>
        <w:spacing w:before="60" w:after="70"/>
      </w:pPr>
      <w:r>
        <w:t>ns (no significativo): no podemos descartar que el efecto sea cero.</w:t>
      </w:r>
    </w:p>
    <w:p w14:paraId="0B3A78A2" w14:textId="77777777" w:rsidR="009E57CD" w:rsidRDefault="00A4297A">
      <w:pPr>
        <w:pStyle w:val="Ttulo3"/>
      </w:pPr>
      <w:r>
        <w:t>El orden de los coeficientes</w:t>
      </w:r>
    </w:p>
    <w:p w14:paraId="5D328DFB" w14:textId="77777777" w:rsidR="009E57CD" w:rsidRDefault="00A4297A">
      <w:pPr>
        <w:spacing w:before="80" w:after="130"/>
      </w:pPr>
      <w:r>
        <w:t>Los predictores están ordenados de mayor a menor valor absoluto del coeficiente. Esto significa que los más influyentes aparecen primero. CFO y LEV están arriba porque tienen los efectos más grandes (en magnitud) sobre el ROA. AGE y CUR están abajo porque sus efectos son más pequeños.</w:t>
      </w:r>
    </w:p>
    <w:p w14:paraId="777DB9AF" w14:textId="77777777" w:rsidR="009E57CD" w:rsidRDefault="00A4297A">
      <w:pPr>
        <w:pStyle w:val="Ttulo2"/>
      </w:pPr>
      <w:r>
        <w:t>Gráfico inferior derecho: Betas estandarizados (contribución relativa)</w:t>
      </w:r>
    </w:p>
    <w:p w14:paraId="2D49772C" w14:textId="77777777" w:rsidR="009E57CD" w:rsidRDefault="00A4297A">
      <w:pPr>
        <w:spacing w:before="80" w:after="130"/>
      </w:pPr>
      <w:r>
        <w:t>Este panel responde a una pregunta diferente y más útil: ¿qué variable tiene más influencia real sobre el ROA? No podemos comparar directamente los betas brutos porque las variables tienen escalas distintas. Un cambio de 1 unidad en LEV (pasar de 0.40 a 0.41) es completamente diferente a un cambio de 1 unidad en AGE (pasar de 25 a 26 años).</w:t>
      </w:r>
    </w:p>
    <w:p w14:paraId="766D8B8D" w14:textId="77777777" w:rsidR="009E57CD" w:rsidRDefault="00A4297A">
      <w:pPr>
        <w:pStyle w:val="Ttulo3"/>
      </w:pPr>
      <w:r>
        <w:t>La estandarización de los coeficientes</w:t>
      </w:r>
    </w:p>
    <w:p w14:paraId="638FA5BE" w14:textId="77777777" w:rsidR="009E57CD" w:rsidRDefault="00A4297A">
      <w:pPr>
        <w:spacing w:before="80" w:after="130"/>
      </w:pPr>
      <w:r>
        <w:t>Los betas estandarizados resuelven este problema multiplicando cada beta por la desviación estándar de su variable y dividiendo por la desviación estándar del ROA:</w:t>
      </w:r>
    </w:p>
    <w:p w14:paraId="18D65E3D" w14:textId="77777777" w:rsidR="009E57CD" w:rsidRDefault="00A4297A">
      <w:pPr>
        <w:pBdr>
          <w:top w:val="single" w:sz="1" w:space="4" w:color="D1D5DB"/>
          <w:bottom w:val="single" w:sz="1" w:space="4" w:color="D1D5DB"/>
        </w:pBdr>
        <w:shd w:val="clear" w:color="auto" w:fill="F8FAFC"/>
        <w:spacing w:before="160" w:after="160"/>
        <w:jc w:val="center"/>
      </w:pPr>
      <w:r>
        <w:rPr>
          <w:rFonts w:ascii="Courier New" w:eastAsia="Courier New" w:hAnsi="Courier New" w:cs="Courier New"/>
          <w:b/>
          <w:bCs/>
          <w:color w:val="1E3A5F"/>
          <w:sz w:val="24"/>
          <w:szCs w:val="24"/>
        </w:rPr>
        <w:t>β* = β × (σ_x / σ_y)</w:t>
      </w:r>
    </w:p>
    <w:p w14:paraId="72EA196E" w14:textId="77777777" w:rsidR="009E57CD" w:rsidRDefault="00A4297A">
      <w:pPr>
        <w:spacing w:before="80" w:after="130"/>
      </w:pPr>
      <w:r>
        <w:t>El resultado responde a: si la variable x aumenta en una desviación estándar (desde su media hasta +1σ), ¿en cuántas desviaciones estándar cambia el ROA? Ahora sí podemos comparar variables directamente porque todo está en la misma unidad: desviaciones estándar.</w:t>
      </w:r>
    </w:p>
    <w:p w14:paraId="19DE97E9" w14:textId="77777777" w:rsidR="009E57CD" w:rsidRDefault="00A4297A">
      <w:pPr>
        <w:pStyle w:val="Ttulo3"/>
      </w:pPr>
      <w:r>
        <w:t>Las barras y su longitud</w:t>
      </w:r>
    </w:p>
    <w:p w14:paraId="0B767E5E" w14:textId="77777777" w:rsidR="009E57CD" w:rsidRDefault="00A4297A">
      <w:pPr>
        <w:spacing w:before="80" w:after="130"/>
      </w:pPr>
      <w:r>
        <w:t>La longitud de cada barra es el valor absoluto del beta estandarizado. Cuanto más larga, más influencia tiene esa variable sobre el ROA en unidades comparables. Una barra de 0.60 significa que cuando esa variable sube una desviación estándar, el ROA cambia en 0.60 desviaciones estándar, lo cual es un efecto grande.</w:t>
      </w:r>
    </w:p>
    <w:p w14:paraId="5BDAA2E1" w14:textId="77777777" w:rsidR="009E57CD" w:rsidRDefault="00A4297A">
      <w:pPr>
        <w:spacing w:before="80" w:after="130"/>
      </w:pPr>
      <w:r>
        <w:t>Los colores distinguen la dirección: teal para efectos positivos (la variable ayuda al ROA), rosa para efectos negativos (la variable perjudica al ROA).</w:t>
      </w:r>
    </w:p>
    <w:p w14:paraId="6DA77D8F" w14:textId="77777777" w:rsidR="009E57CD" w:rsidRDefault="00A4297A">
      <w:pPr>
        <w:pStyle w:val="Ttulo3"/>
      </w:pPr>
      <w:r>
        <w:t>Cómo leer el ranking</w:t>
      </w:r>
    </w:p>
    <w:p w14:paraId="4D88BF66" w14:textId="77777777" w:rsidR="009E57CD" w:rsidRDefault="00A4297A">
      <w:pPr>
        <w:spacing w:before="80" w:after="130"/>
      </w:pPr>
      <w:r>
        <w:t>Si CFO tiene β* = 0.60 y AGE tiene β* = -0.08, significa que CFO es aproximadamente 7.5 veces más influyente que AGE en términos de variabilidad real del ROA. Este ranking de importancia relativa es mucho más informativo para tomar decisiones que los coeficientes brutos.</w:t>
      </w:r>
    </w:p>
    <w:p w14:paraId="12238DFD" w14:textId="77777777" w:rsidR="009E57CD" w:rsidRDefault="00A4297A">
      <w:pPr>
        <w:spacing w:before="80" w:after="130"/>
      </w:pPr>
      <w:r>
        <w:t>Por ejemplo, para mejorar el ROA de una empresa, la variable sobre la que más impacto se puede generar es CFO: trabajar en la gestión del flujo de caja operativo tiene mucho más retorno que preocuparse por la antigüedad de la empresa (sobre la que tampoco se puede actuar directamente).</w:t>
      </w:r>
    </w:p>
    <w:p w14:paraId="790AE5E5" w14:textId="77777777" w:rsidR="009E57CD" w:rsidRDefault="009E57CD">
      <w:pPr>
        <w:pageBreakBefore/>
      </w:pPr>
    </w:p>
    <w:p w14:paraId="32226ADE" w14:textId="77777777" w:rsidR="009E57CD" w:rsidRDefault="00A4297A">
      <w:pPr>
        <w:pStyle w:val="Ttulo1"/>
      </w:pPr>
      <w:r>
        <w:t>PARTE 3: Verificación de supuestos – Análisis de residuos</w:t>
      </w:r>
    </w:p>
    <w:p w14:paraId="6D6A970B" w14:textId="77777777" w:rsidR="009E57CD" w:rsidRDefault="00A4297A">
      <w:pPr>
        <w:spacing w:before="80" w:after="130"/>
      </w:pPr>
      <w:r>
        <w:t>Los residuos son la diferencia entre el ROA real y el ROA predicho por el modelo para cada empresa en el conjunto de entrenamiento:</w:t>
      </w:r>
    </w:p>
    <w:p w14:paraId="2D317D61" w14:textId="77777777" w:rsidR="009E57CD" w:rsidRPr="008B1422" w:rsidRDefault="00A4297A">
      <w:pPr>
        <w:pBdr>
          <w:top w:val="single" w:sz="1" w:space="4" w:color="D1D5DB"/>
          <w:bottom w:val="single" w:sz="1" w:space="4" w:color="D1D5DB"/>
        </w:pBdr>
        <w:shd w:val="clear" w:color="auto" w:fill="F8FAFC"/>
        <w:spacing w:before="160" w:after="160"/>
        <w:jc w:val="center"/>
        <w:rPr>
          <w:lang w:val="en-US"/>
        </w:rPr>
      </w:pPr>
      <w:r>
        <w:rPr>
          <w:rFonts w:ascii="Courier New" w:eastAsia="Courier New" w:hAnsi="Courier New" w:cs="Courier New"/>
          <w:b/>
          <w:bCs/>
          <w:color w:val="1E3A5F"/>
          <w:sz w:val="24"/>
          <w:szCs w:val="24"/>
        </w:rPr>
        <w:t>ε</w:t>
      </w:r>
      <w:r w:rsidRPr="008B1422">
        <w:rPr>
          <w:rFonts w:ascii="Courier New" w:eastAsia="Courier New" w:hAnsi="Courier New" w:cs="Courier New"/>
          <w:b/>
          <w:bCs/>
          <w:color w:val="1E3A5F"/>
          <w:sz w:val="24"/>
          <w:szCs w:val="24"/>
          <w:lang w:val="en-US"/>
        </w:rPr>
        <w:t>i = ROA_real_i − ROA_predicho_i</w:t>
      </w:r>
    </w:p>
    <w:p w14:paraId="5EA3B9CB" w14:textId="77777777" w:rsidR="009E57CD" w:rsidRDefault="00A4297A">
      <w:pPr>
        <w:spacing w:before="80" w:after="130"/>
      </w:pPr>
      <w:r>
        <w:t>Si el modelo está bien construido, estos residuos deben ser ruido puro: sin información aprovechable, sin patrones, sin estructura. Si tienen estructura, significa que el modelo está ignorando algo sistemático.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0CFECE5A"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7ED"/>
            <w:tcMar>
              <w:top w:w="140" w:type="dxa"/>
              <w:left w:w="220" w:type="dxa"/>
              <w:bottom w:w="140" w:type="dxa"/>
              <w:right w:w="220" w:type="dxa"/>
            </w:tcMar>
          </w:tcPr>
          <w:p w14:paraId="4A1B8C7E" w14:textId="77777777" w:rsidR="009E57CD" w:rsidRDefault="00A4297A">
            <w:pPr>
              <w:spacing w:after="80"/>
            </w:pPr>
            <w:r>
              <w:rPr>
                <w:b/>
                <w:bCs/>
                <w:color w:val="D97706"/>
                <w:sz w:val="23"/>
                <w:szCs w:val="23"/>
              </w:rPr>
              <w:t>Por qué analizar residuos si ya tenemos R²</w:t>
            </w:r>
          </w:p>
          <w:p w14:paraId="1DE99F42" w14:textId="77777777" w:rsidR="009E57CD" w:rsidRDefault="00A4297A">
            <w:pPr>
              <w:spacing w:before="40" w:after="40"/>
            </w:pPr>
            <w:r>
              <w:rPr>
                <w:sz w:val="21"/>
                <w:szCs w:val="21"/>
              </w:rPr>
              <w:t>El R² solo dice cuánta varianza explica el modelo. No dice si los errores son aleatorios o si tienen un patrón.</w:t>
            </w:r>
          </w:p>
          <w:p w14:paraId="268F6685" w14:textId="77777777" w:rsidR="009E57CD" w:rsidRDefault="00A4297A">
            <w:pPr>
              <w:spacing w:before="40" w:after="40"/>
            </w:pPr>
            <w:r>
              <w:rPr>
                <w:sz w:val="21"/>
                <w:szCs w:val="21"/>
              </w:rPr>
              <w:t>Un modelo puede tener R² = 0.35 con residuos perfectamente aleatorios (modelo correcto) o con residuos que siguen una curva sistemática (modelo mal especificado).</w:t>
            </w:r>
          </w:p>
          <w:p w14:paraId="665CB0FD" w14:textId="77777777" w:rsidR="009E57CD" w:rsidRDefault="00A4297A">
            <w:pPr>
              <w:spacing w:before="40" w:after="40"/>
            </w:pPr>
            <w:r>
              <w:rPr>
                <w:sz w:val="21"/>
                <w:szCs w:val="21"/>
              </w:rPr>
              <w:t>Solo el análisis de residuos revela si el modelo viola los supuestos estadísticos que hacen válidos los coeficientes y sus intervalos de confianza.</w:t>
            </w:r>
          </w:p>
        </w:tc>
      </w:tr>
    </w:tbl>
    <w:p w14:paraId="263F1083" w14:textId="77777777" w:rsidR="009E57CD" w:rsidRDefault="009E57CD">
      <w:pPr>
        <w:spacing w:before="60" w:after="60"/>
      </w:pPr>
    </w:p>
    <w:p w14:paraId="5C6945CF" w14:textId="77777777" w:rsidR="009E57CD" w:rsidRDefault="00A4297A">
      <w:pPr>
        <w:pStyle w:val="Ttulo2"/>
      </w:pPr>
      <w:r>
        <w:t>Gráfico A: Histograma de residuos y curva normal</w:t>
      </w:r>
    </w:p>
    <w:p w14:paraId="4DA7F655" w14:textId="77777777" w:rsidR="009E57CD" w:rsidRDefault="00A4297A">
      <w:pPr>
        <w:pStyle w:val="Ttulo3"/>
      </w:pPr>
      <w:r>
        <w:t>Qué muestra</w:t>
      </w:r>
    </w:p>
    <w:p w14:paraId="3FA1F671" w14:textId="77777777" w:rsidR="009E57CD" w:rsidRDefault="00A4297A">
      <w:pPr>
        <w:spacing w:before="80" w:after="130"/>
      </w:pPr>
      <w:r>
        <w:t>Las barras son el histograma de los residuos. Cada barra representa cuántos residuos caen en ese rango de valores. La curva roja superpuesta es la distribución normal teórica con la misma media y desviación estándar que los residuos reales. La línea negra vertical en cero es el punto de referencia.</w:t>
      </w:r>
    </w:p>
    <w:p w14:paraId="4378258B" w14:textId="77777777" w:rsidR="009E57CD" w:rsidRDefault="00A4297A">
      <w:pPr>
        <w:pStyle w:val="Ttulo3"/>
      </w:pPr>
      <w:r>
        <w:t>Qué deberíamos ver si el modelo está bien</w:t>
      </w:r>
    </w:p>
    <w:p w14:paraId="73450CD3" w14:textId="77777777" w:rsidR="009E57CD" w:rsidRDefault="00A4297A">
      <w:pPr>
        <w:spacing w:before="80" w:after="130"/>
      </w:pPr>
      <w:r>
        <w:t>Las barras deben seguir de cerca la curva roja. La distribución debe ser simétrica alrededor del cero. Esto indicaría que los errores son aleatorios, que el modelo no sobre ni subestima sistemáticamente.</w:t>
      </w:r>
    </w:p>
    <w:p w14:paraId="3B09F7DC" w14:textId="77777777" w:rsidR="009E57CD" w:rsidRDefault="00A4297A">
      <w:pPr>
        <w:pStyle w:val="Ttulo3"/>
      </w:pPr>
      <w:r>
        <w:t>Qué significa cada desviación del patrón ideal</w:t>
      </w:r>
    </w:p>
    <w:p w14:paraId="08767A7B" w14:textId="77777777" w:rsidR="009E57CD" w:rsidRDefault="00A4297A">
      <w:pPr>
        <w:pStyle w:val="Prrafodelista"/>
        <w:numPr>
          <w:ilvl w:val="0"/>
          <w:numId w:val="2"/>
        </w:numPr>
        <w:spacing w:before="60" w:after="70"/>
      </w:pPr>
      <w:r>
        <w:t>Barras más altas que la curva en el centro y colas más anchas que la curva: distribución leptocúrtica (curtosis positiva). Los errores son típicamente pequeños pero de vez en cuando hay errores enormes. Esto es casi universal en datos financieros porque los eventos excepcionales (quiebras, booms inesperados) crean predicciones muy malas para esas observaciones específicas.</w:t>
      </w:r>
    </w:p>
    <w:p w14:paraId="44458611" w14:textId="77777777" w:rsidR="009E57CD" w:rsidRDefault="00A4297A">
      <w:pPr>
        <w:pStyle w:val="Prrafodelista"/>
        <w:numPr>
          <w:ilvl w:val="0"/>
          <w:numId w:val="2"/>
        </w:numPr>
        <w:spacing w:before="60" w:after="70"/>
      </w:pPr>
      <w:r>
        <w:t>Barras más altas a la derecha del cero que a la izquierda: el modelo subestima el ROA más frecuentemente de lo que lo sobreestima. Asimetría positiva en los residuos.</w:t>
      </w:r>
    </w:p>
    <w:p w14:paraId="3A351BA8" w14:textId="77777777" w:rsidR="009E57CD" w:rsidRDefault="00A4297A">
      <w:pPr>
        <w:pStyle w:val="Prrafodelista"/>
        <w:numPr>
          <w:ilvl w:val="0"/>
          <w:numId w:val="2"/>
        </w:numPr>
        <w:spacing w:before="60" w:after="70"/>
      </w:pPr>
      <w:r>
        <w:t>Barras más altas a la izquierda del cero: el modelo sobreestima el ROA con más frecuencia.</w:t>
      </w:r>
    </w:p>
    <w:p w14:paraId="2272E1F0" w14:textId="77777777" w:rsidR="009E57CD" w:rsidRDefault="00A4297A">
      <w:pPr>
        <w:pStyle w:val="Ttulo3"/>
      </w:pPr>
      <w:r>
        <w:t>La anotación del test Jarque-Bera</w:t>
      </w:r>
    </w:p>
    <w:p w14:paraId="2C5268DD" w14:textId="77777777" w:rsidR="009E57CD" w:rsidRDefault="00A4297A">
      <w:pPr>
        <w:spacing w:before="80" w:after="130"/>
      </w:pPr>
      <w:r>
        <w:t>El test de Jarque-Bera (JB) es una prueba formal de normalidad. Se basa en la asimetría y la curtosis de los residuos:</w:t>
      </w:r>
    </w:p>
    <w:p w14:paraId="708DB45C" w14:textId="77777777" w:rsidR="009E57CD" w:rsidRDefault="00A4297A">
      <w:pPr>
        <w:pBdr>
          <w:top w:val="single" w:sz="1" w:space="4" w:color="D1D5DB"/>
          <w:bottom w:val="single" w:sz="1" w:space="4" w:color="D1D5DB"/>
        </w:pBdr>
        <w:shd w:val="clear" w:color="auto" w:fill="F8FAFC"/>
        <w:spacing w:before="160" w:after="160"/>
        <w:jc w:val="center"/>
      </w:pPr>
      <w:r>
        <w:rPr>
          <w:rFonts w:ascii="Courier New" w:eastAsia="Courier New" w:hAnsi="Courier New" w:cs="Courier New"/>
          <w:b/>
          <w:bCs/>
          <w:color w:val="1E3A5F"/>
          <w:sz w:val="24"/>
          <w:szCs w:val="24"/>
        </w:rPr>
        <w:t>JB = (n/6) × [Asim² + (Kurt²/4)]</w:t>
      </w:r>
    </w:p>
    <w:p w14:paraId="074D119B" w14:textId="77777777" w:rsidR="009E57CD" w:rsidRDefault="00A4297A">
      <w:pPr>
        <w:spacing w:before="80" w:after="130"/>
      </w:pPr>
      <w:r>
        <w:t>La hipótesis nula es que los residuos son normales (asimetría = 0, curtosis = 0). El p-valor indica la probabilidad de observar ese estadístico JB o uno más extremo si los residuos fueran realmente normales.</w:t>
      </w:r>
    </w:p>
    <w:p w14:paraId="32A9153E" w14:textId="77777777" w:rsidR="009E57CD" w:rsidRDefault="00A4297A">
      <w:pPr>
        <w:pStyle w:val="Prrafodelista"/>
        <w:numPr>
          <w:ilvl w:val="0"/>
          <w:numId w:val="2"/>
        </w:numPr>
        <w:spacing w:before="60" w:after="70"/>
      </w:pPr>
      <w:r>
        <w:t>p &gt; 0.05: no podemos rechazar la normalidad. Los residuos son consistentes con una distribución normal.</w:t>
      </w:r>
    </w:p>
    <w:p w14:paraId="1BA0AC44" w14:textId="77777777" w:rsidR="009E57CD" w:rsidRDefault="00A4297A">
      <w:pPr>
        <w:pStyle w:val="Prrafodelista"/>
        <w:numPr>
          <w:ilvl w:val="0"/>
          <w:numId w:val="2"/>
        </w:numPr>
        <w:spacing w:before="60" w:after="70"/>
      </w:pPr>
      <w:r>
        <w:t>p &lt; 0.05: rechazamos la normalidad. Los residuos tienen asimetría o curtosis estadísticamente significativa.</w:t>
      </w:r>
    </w:p>
    <w:p w14:paraId="7DFD5DC7" w14:textId="77777777" w:rsidR="009E57CD" w:rsidRDefault="009E57CD">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08EA74E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0FDF4"/>
            <w:tcMar>
              <w:top w:w="140" w:type="dxa"/>
              <w:left w:w="220" w:type="dxa"/>
              <w:bottom w:w="140" w:type="dxa"/>
              <w:right w:w="220" w:type="dxa"/>
            </w:tcMar>
          </w:tcPr>
          <w:p w14:paraId="7C039A85" w14:textId="77777777" w:rsidR="009E57CD" w:rsidRDefault="00A4297A">
            <w:pPr>
              <w:spacing w:after="80"/>
            </w:pPr>
            <w:r>
              <w:rPr>
                <w:b/>
                <w:bCs/>
                <w:color w:val="0D9488"/>
                <w:sz w:val="23"/>
                <w:szCs w:val="23"/>
              </w:rPr>
              <w:t>Por qué no es grave rechazar la normalidad con n grande</w:t>
            </w:r>
          </w:p>
          <w:p w14:paraId="314BCAA4" w14:textId="77777777" w:rsidR="009E57CD" w:rsidRDefault="00A4297A">
            <w:pPr>
              <w:spacing w:before="40" w:after="40"/>
            </w:pPr>
            <w:r>
              <w:rPr>
                <w:sz w:val="21"/>
                <w:szCs w:val="21"/>
              </w:rPr>
              <w:t>Con 10,000+ observaciones el test JB tiene tanta potencia estadística que detecta desviaciones mínimas de la normalidad que no tienen ninguna importancia práctica.</w:t>
            </w:r>
          </w:p>
          <w:p w14:paraId="43A9C5D4" w14:textId="77777777" w:rsidR="009E57CD" w:rsidRDefault="00A4297A">
            <w:pPr>
              <w:spacing w:before="40" w:after="40"/>
            </w:pPr>
            <w:r>
              <w:rPr>
                <w:sz w:val="21"/>
                <w:szCs w:val="21"/>
              </w:rPr>
              <w:t>El Teorema Central del Límite garantiza que los estimadores β del OLS (sumas ponderadas de muchas observaciones) siguen siendo aproximadamente normales aunque los residuos individuales no lo sean.</w:t>
            </w:r>
          </w:p>
          <w:p w14:paraId="63171E18" w14:textId="77777777" w:rsidR="009E57CD" w:rsidRDefault="00A4297A">
            <w:pPr>
              <w:spacing w:before="40" w:after="40"/>
            </w:pPr>
            <w:r>
              <w:rPr>
                <w:sz w:val="21"/>
                <w:szCs w:val="21"/>
              </w:rPr>
              <w:t>Los coeficientes β y sus errores estándar son válidos con muestras grandes aunque JB rechace. La normalidad de los residuos es necesaria principalmente para inferencia exacta con muestras pequeñas (n &lt; 50).</w:t>
            </w:r>
          </w:p>
        </w:tc>
      </w:tr>
    </w:tbl>
    <w:p w14:paraId="2592C6BD" w14:textId="77777777" w:rsidR="009E57CD" w:rsidRDefault="009E57CD">
      <w:pPr>
        <w:spacing w:before="60" w:after="60"/>
      </w:pPr>
    </w:p>
    <w:p w14:paraId="0ADF02D3" w14:textId="77777777" w:rsidR="009E57CD" w:rsidRDefault="00A4297A">
      <w:pPr>
        <w:pStyle w:val="Ttulo2"/>
      </w:pPr>
      <w:r>
        <w:t>Gráfico B: QQ-Plot de residuos</w:t>
      </w:r>
    </w:p>
    <w:p w14:paraId="287C1B0A" w14:textId="77777777" w:rsidR="009E57CD" w:rsidRDefault="00A4297A">
      <w:pPr>
        <w:pStyle w:val="Ttulo3"/>
      </w:pPr>
      <w:r>
        <w:t>Qué es un gráfico QQ</w:t>
      </w:r>
    </w:p>
    <w:p w14:paraId="3C2625ED" w14:textId="77777777" w:rsidR="009E57CD" w:rsidRDefault="00A4297A">
      <w:pPr>
        <w:spacing w:before="80" w:after="130"/>
      </w:pPr>
      <w:r>
        <w:t>QQ significa Quantile-Quantile: cuantil contra cuantil. Ordena los residuos de menor a mayor y los compara punto a punto con los cuantiles que tendría una distribución normal perfecta con la misma media y desviación estándar.</w:t>
      </w:r>
    </w:p>
    <w:p w14:paraId="1E89C007" w14:textId="77777777" w:rsidR="009E57CD" w:rsidRDefault="00A4297A">
      <w:pPr>
        <w:spacing w:before="80" w:after="130"/>
      </w:pPr>
      <w:r>
        <w:t>El cuantil 5% de los residuos reales se compara con el cuantil 5% teórico. El cuantil 50% (la mediana) con el teórico, y así sucesivamente para cada observación. Si los residuos fueran perfectamente normales, los cuantiles reales y los teóricos serían idénticos y todos los puntos caerían en la línea diagonal.</w:t>
      </w:r>
    </w:p>
    <w:p w14:paraId="25989899" w14:textId="77777777" w:rsidR="009E57CD" w:rsidRDefault="00A4297A">
      <w:pPr>
        <w:pStyle w:val="Ttulo3"/>
      </w:pPr>
      <w:r>
        <w:t>La línea roja diagonal</w:t>
      </w:r>
    </w:p>
    <w:p w14:paraId="6A22E711" w14:textId="77777777" w:rsidR="009E57CD" w:rsidRDefault="00A4297A">
      <w:pPr>
        <w:spacing w:before="80" w:after="130"/>
      </w:pPr>
      <w:r>
        <w:t>No es una línea ajustada a los datos, es la línea de igualdad perfecta: el cuantil real igual al cuantil teórico. Si un punto está sobre la línea, ese cuantil de los residuos reales coincide exactamente con lo esperado en una normal. Si está por encima, el residuo real es mayor de lo esperado. Si está por debajo, es menor.</w:t>
      </w:r>
    </w:p>
    <w:p w14:paraId="58076DF0" w14:textId="77777777" w:rsidR="009E57CD" w:rsidRDefault="00A4297A">
      <w:pPr>
        <w:pStyle w:val="Ttulo3"/>
      </w:pPr>
      <w:r>
        <w:t>Cómo leer las desviaciones</w:t>
      </w:r>
    </w:p>
    <w:p w14:paraId="30116635" w14:textId="77777777" w:rsidR="009E57CD" w:rsidRDefault="00A4297A">
      <w:pPr>
        <w:spacing w:before="80" w:after="130"/>
      </w:pPr>
      <w:r>
        <w:t>Las desviaciones en los extremos de la diagonal (las esquinas del gráfico) son las más informativas:</w:t>
      </w:r>
    </w:p>
    <w:p w14:paraId="268AC6D0" w14:textId="77777777" w:rsidR="009E57CD" w:rsidRDefault="00A4297A">
      <w:pPr>
        <w:pStyle w:val="Prrafodelista"/>
        <w:numPr>
          <w:ilvl w:val="0"/>
          <w:numId w:val="2"/>
        </w:numPr>
        <w:spacing w:before="60" w:after="70"/>
      </w:pPr>
      <w:r>
        <w:t>Puntos por encima de la línea en la esquina superior derecha Y puntos por debajo de la línea en la esquina inferior izquierda: colas más pesadas que la normal. Hay más residuos extremos de lo esperado, tanto errores positivos grandes como errores negativos grandes. Es la firma de una distribución leptocúrtica. En datos financieros es casi siempre el caso.</w:t>
      </w:r>
    </w:p>
    <w:p w14:paraId="34F9DEF2" w14:textId="77777777" w:rsidR="009E57CD" w:rsidRDefault="00A4297A">
      <w:pPr>
        <w:pStyle w:val="Prrafodelista"/>
        <w:numPr>
          <w:ilvl w:val="0"/>
          <w:numId w:val="2"/>
        </w:numPr>
        <w:spacing w:before="60" w:after="70"/>
      </w:pPr>
      <w:r>
        <w:t>Puntos sistemáticamente por encima de la línea en la esquina superior derecha pero sobre la línea en la inferior izquierda (o viceversa): distribución asimétrica. Los errores positivos extremos son más frecuentes que los negativos.</w:t>
      </w:r>
    </w:p>
    <w:p w14:paraId="70EACB65" w14:textId="77777777" w:rsidR="009E57CD" w:rsidRDefault="00A4297A">
      <w:pPr>
        <w:pStyle w:val="Prrafodelista"/>
        <w:numPr>
          <w:ilvl w:val="0"/>
          <w:numId w:val="2"/>
        </w:numPr>
        <w:spacing w:before="60" w:after="70"/>
      </w:pPr>
      <w:r>
        <w:t>Puntos que forman una S alrededor de la línea: la distribución tiene colas más ligeras que la normal (platicúrtica). Raro en datos financieros.</w:t>
      </w:r>
    </w:p>
    <w:p w14:paraId="7A89C797" w14:textId="77777777" w:rsidR="009E57CD" w:rsidRDefault="00A4297A">
      <w:pPr>
        <w:pStyle w:val="Prrafodelista"/>
        <w:numPr>
          <w:ilvl w:val="0"/>
          <w:numId w:val="2"/>
        </w:numPr>
        <w:spacing w:before="60" w:after="70"/>
      </w:pPr>
      <w:r>
        <w:t>Puntos perfectamente sobre la línea en el centro pero desviándose solo en los extremos: el modelo funciona bien para el 90% de los casos pero tiene errores grandes para las observaciones más extremas.</w:t>
      </w:r>
    </w:p>
    <w:p w14:paraId="12BAED42" w14:textId="77777777" w:rsidR="009E57CD" w:rsidRDefault="00A4297A">
      <w:pPr>
        <w:pStyle w:val="Ttulo3"/>
      </w:pPr>
      <w:r>
        <w:t>El coeficiente r en la esquina</w:t>
      </w:r>
    </w:p>
    <w:p w14:paraId="282CCB21" w14:textId="77777777" w:rsidR="009E57CD" w:rsidRDefault="00A4297A">
      <w:pPr>
        <w:spacing w:before="80" w:after="130"/>
      </w:pPr>
      <w:r>
        <w:t>La correlación entre los cuantiles teóricos y los muestrales. Si r = 1.00, los residuos son perfectamente normales. Cuanto más se aleja r de 1, más se desvían los residuos de la normalidad. Una guía práctica:</w:t>
      </w:r>
    </w:p>
    <w:p w14:paraId="597975C5" w14:textId="77777777" w:rsidR="009E57CD" w:rsidRDefault="00A4297A">
      <w:pPr>
        <w:pStyle w:val="Prrafodelista"/>
        <w:numPr>
          <w:ilvl w:val="0"/>
          <w:numId w:val="2"/>
        </w:numPr>
        <w:spacing w:before="60" w:after="70"/>
      </w:pPr>
      <w:r>
        <w:t>r &gt; 0.99: residuos muy cercanos a la normalidad</w:t>
      </w:r>
    </w:p>
    <w:p w14:paraId="23A7FD08" w14:textId="77777777" w:rsidR="009E57CD" w:rsidRDefault="00A4297A">
      <w:pPr>
        <w:pStyle w:val="Prrafodelista"/>
        <w:numPr>
          <w:ilvl w:val="0"/>
          <w:numId w:val="2"/>
        </w:numPr>
        <w:spacing w:before="60" w:after="70"/>
      </w:pPr>
      <w:r>
        <w:t>r entre 0.97 y 0.99: leve desviación, generalmente aceptable</w:t>
      </w:r>
    </w:p>
    <w:p w14:paraId="7EA2D60C" w14:textId="77777777" w:rsidR="009E57CD" w:rsidRDefault="00A4297A">
      <w:pPr>
        <w:pStyle w:val="Prrafodelista"/>
        <w:numPr>
          <w:ilvl w:val="0"/>
          <w:numId w:val="2"/>
        </w:numPr>
        <w:spacing w:before="60" w:after="70"/>
      </w:pPr>
      <w:r>
        <w:t>r &lt; 0.97: desviación notable de la normalidad</w:t>
      </w:r>
    </w:p>
    <w:p w14:paraId="47FA88C3" w14:textId="77777777" w:rsidR="009E57CD" w:rsidRDefault="00A4297A">
      <w:pPr>
        <w:pStyle w:val="Ttulo3"/>
      </w:pPr>
      <w:r>
        <w:t>Por qué el QQ-Plot es más informativo que el histograma</w:t>
      </w:r>
    </w:p>
    <w:p w14:paraId="715D8B29" w14:textId="77777777" w:rsidR="009E57CD" w:rsidRDefault="00A4297A">
      <w:pPr>
        <w:spacing w:before="80" w:after="130"/>
      </w:pPr>
      <w:r>
        <w:t>El histograma muestra la distribución completa pero puede enmascarar lo que pasa en las colas, que es exactamente donde más importa la normalidad. Si hay 10,000 residuos, las colas pueden tener solo 50 observaciones: esas barras en el histograma son muy pequeñas y difíciles de leer. El QQ-Plot amplifica esas colas porque cada observación extrema genera un punto muy alejado de los demás, haciéndolas imposibles de ignorar.</w:t>
      </w:r>
    </w:p>
    <w:p w14:paraId="2CB09A6F" w14:textId="77777777" w:rsidR="009E57CD" w:rsidRDefault="009E57CD">
      <w:pPr>
        <w:spacing w:before="60" w:after="60"/>
      </w:pPr>
    </w:p>
    <w:p w14:paraId="0E215597" w14:textId="77777777" w:rsidR="009E57CD" w:rsidRDefault="00A4297A">
      <w:pPr>
        <w:pStyle w:val="Ttulo2"/>
      </w:pPr>
      <w:r>
        <w:t>Gráfico C: Residuos vs Valores Ajustados</w:t>
      </w:r>
    </w:p>
    <w:p w14:paraId="2FDD3D5A" w14:textId="77777777" w:rsidR="009E57CD" w:rsidRDefault="00A4297A">
      <w:pPr>
        <w:spacing w:before="80" w:after="130"/>
      </w:pPr>
      <w:r>
        <w:t>Este es el diagnóstico más importante de toda la regresión. Los valores ajustados (fitted values) son simplemente los ROA predichos por el modelo para las empresas del conjunto de entrenamiento.</w:t>
      </w:r>
    </w:p>
    <w:p w14:paraId="558761B6" w14:textId="77777777" w:rsidR="009E57CD" w:rsidRDefault="00A4297A">
      <w:pPr>
        <w:pStyle w:val="Ttulo3"/>
      </w:pPr>
      <w:r>
        <w:t>Qué muestra</w:t>
      </w:r>
    </w:p>
    <w:p w14:paraId="45BC6FEA" w14:textId="77777777" w:rsidR="009E57CD" w:rsidRDefault="00A4297A">
      <w:pPr>
        <w:spacing w:before="80" w:after="130"/>
      </w:pPr>
      <w:r>
        <w:t>El eje X es el ROA que el modelo predice para cada empresa. El eje Y es el residuo de esa empresa (ROA real menos ROA predicho). Cada punto es una empresa del conjunto de entrenamiento.</w:t>
      </w:r>
    </w:p>
    <w:p w14:paraId="691E33F4" w14:textId="77777777" w:rsidR="009E57CD" w:rsidRDefault="00A4297A">
      <w:pPr>
        <w:pStyle w:val="Ttulo3"/>
      </w:pPr>
      <w:r>
        <w:t>Qué deberíamos ver si el modelo está bien especificado</w:t>
      </w:r>
    </w:p>
    <w:p w14:paraId="46BC1093" w14:textId="77777777" w:rsidR="009E57CD" w:rsidRDefault="00A4297A">
      <w:pPr>
        <w:spacing w:before="80" w:after="130"/>
      </w:pPr>
      <w:r>
        <w:t>Una nube de puntos completamente aleatoria distribuida simétricamente alrededor de la línea roja horizontal en cero. Sin patrones, sin tendencias, sin formas reconocibles. Residuos grandes y residuos pequeños mezclados aleatoriamente para todos los rangos del ROA predicho.</w:t>
      </w:r>
    </w:p>
    <w:p w14:paraId="37D4B7B0" w14:textId="77777777" w:rsidR="009E57CD" w:rsidRDefault="00A4297A">
      <w:pPr>
        <w:pStyle w:val="Ttulo3"/>
      </w:pPr>
      <w:r>
        <w:t>La línea roja horizontal en cero</w:t>
      </w:r>
    </w:p>
    <w:p w14:paraId="76979E12" w14:textId="77777777" w:rsidR="009E57CD" w:rsidRDefault="00A4297A">
      <w:pPr>
        <w:spacing w:before="80" w:after="130"/>
      </w:pPr>
      <w:r>
        <w:t>Es la referencia perfecta: residuo = 0 significa que el modelo acertó exactamente. Los puntos por encima son observaciones donde el modelo subestimó (predijo menos ROA del que hubo). Los puntos por debajo son donde sobreestimó.</w:t>
      </w:r>
    </w:p>
    <w:p w14:paraId="31980F27" w14:textId="77777777" w:rsidR="009E57CD" w:rsidRDefault="00A4297A">
      <w:pPr>
        <w:pStyle w:val="Ttulo3"/>
      </w:pPr>
      <w:r>
        <w:t>La curva naranja (LOWESS)</w:t>
      </w:r>
    </w:p>
    <w:p w14:paraId="318A1353" w14:textId="77777777" w:rsidR="009E57CD" w:rsidRDefault="00A4297A">
      <w:pPr>
        <w:spacing w:before="80" w:after="130"/>
      </w:pPr>
      <w:r>
        <w:t>LOWESS (Locally Weighted Scatterplot Smoothing) es una curva suavizada que muestra la tendencia promedio de los residuos a lo largo del rango de valores ajustados. No usa una función matemática predefinida, sino que en cada punto del eje X promedia los residuos cercanos con más peso a los más próximos.</w:t>
      </w:r>
    </w:p>
    <w:p w14:paraId="19142DEC" w14:textId="77777777" w:rsidR="009E57CD" w:rsidRDefault="00A4297A">
      <w:pPr>
        <w:spacing w:before="80" w:after="130"/>
      </w:pPr>
      <w:r>
        <w:t>La curva naranja es el diagnóstico visual más importante. Debe ser plana y horizontal cerca del cero para toda la longitud del gráfico. Cualquier desviación de esa horizontalidad es una señal de problema.</w:t>
      </w:r>
    </w:p>
    <w:p w14:paraId="36327740" w14:textId="77777777" w:rsidR="009E57CD" w:rsidRDefault="00A4297A">
      <w:pPr>
        <w:pStyle w:val="Ttulo3"/>
      </w:pPr>
      <w:r>
        <w:t>Los tres problemas que este gráfico detecta</w:t>
      </w:r>
    </w:p>
    <w:p w14:paraId="491594C9" w14:textId="77777777" w:rsidR="009E57CD" w:rsidRDefault="00A4297A">
      <w:pPr>
        <w:spacing w:before="180" w:after="100"/>
      </w:pPr>
      <w:r>
        <w:rPr>
          <w:b/>
          <w:bCs/>
          <w:color w:val="D97706"/>
        </w:rPr>
        <w:t>Problema 1: No-linealidad (la curva LOWESS forma una parábola o curva)</w:t>
      </w:r>
    </w:p>
    <w:p w14:paraId="5BF9C83F" w14:textId="77777777" w:rsidR="009E57CD" w:rsidRDefault="00A4297A">
      <w:pPr>
        <w:spacing w:before="80" w:after="130"/>
      </w:pPr>
      <w:r>
        <w:t>Si la curva naranja sube, luego baja, o forma cualquier arco, significa que la relación entre los predictores y el ROA no es lineal. El modelo lineal está subestimando el ROA para algunos rangos de valores y sobreestimándolo para otros de forma sistemática. La solución sería añadir términos cuadráticos o transformaciones de las variables.</w:t>
      </w:r>
    </w:p>
    <w:p w14:paraId="188401F0" w14:textId="77777777" w:rsidR="009E57CD" w:rsidRDefault="00A4297A">
      <w:pPr>
        <w:spacing w:before="180" w:after="100"/>
      </w:pPr>
      <w:r>
        <w:rPr>
          <w:b/>
          <w:bCs/>
          <w:color w:val="D97706"/>
        </w:rPr>
        <w:t>Problema 2: Heterocedasticidad (la nube de puntos cambia de tamaño)</w:t>
      </w:r>
    </w:p>
    <w:p w14:paraId="1B4B20FE" w14:textId="77777777" w:rsidR="009E57CD" w:rsidRDefault="00A4297A">
      <w:pPr>
        <w:spacing w:before="80" w:after="130"/>
      </w:pPr>
      <w:r>
        <w:t>Si la nube de puntos es estrecha cuando el ROA predicho es bajo y se ensancha progresivamente cuando el ROA predicho es alto (forma de embudo abierto hacia la derecha), los residuos tienen varianza no constante. Esto se llama heterocedasticidad y viola el supuesto GM4.</w:t>
      </w:r>
    </w:p>
    <w:p w14:paraId="2C3D6AB8" w14:textId="77777777" w:rsidR="009E57CD" w:rsidRDefault="00A4297A">
      <w:pPr>
        <w:spacing w:before="80" w:after="130"/>
      </w:pPr>
      <w:r>
        <w:t>El problema concreto es que cuando la varianza no es constante, los errores estándar de los coeficientes β son incorrectos. Pueden ser demasiado pequeños (lo que hace parecer significativos coeficientes que no lo son) o demasiado grandes (lo que hace aparecer no significativos coeficientes que sí importan). Todos los intervalos de confianza se vuelven poco confiables.</w:t>
      </w:r>
    </w:p>
    <w:p w14:paraId="4B33E265" w14:textId="77777777" w:rsidR="009E57CD" w:rsidRDefault="00A4297A">
      <w:pPr>
        <w:spacing w:before="80" w:after="130"/>
      </w:pPr>
      <w:r>
        <w:t>En datos financieros es frecuente que los errores sean mayores para empresas con ROA predicho alto, porque las empresas muy rentables son también más heterogéneas y menos predecibles.</w:t>
      </w:r>
    </w:p>
    <w:p w14:paraId="20811675" w14:textId="77777777" w:rsidR="009E57CD" w:rsidRDefault="00A4297A">
      <w:pPr>
        <w:spacing w:before="180" w:after="100"/>
      </w:pPr>
      <w:r>
        <w:rPr>
          <w:b/>
          <w:bCs/>
          <w:color w:val="D97706"/>
        </w:rPr>
        <w:t>Problema 3: Observaciones influyentes (puntos muy alejados del cero)</w:t>
      </w:r>
    </w:p>
    <w:p w14:paraId="13475136" w14:textId="77777777" w:rsidR="009E57CD" w:rsidRDefault="00A4297A">
      <w:pPr>
        <w:spacing w:before="80" w:after="130"/>
      </w:pPr>
      <w:r>
        <w:t>Puntos muy por encima o por debajo de las líneas punteadas grises (±2σ) son observaciones que el modelo predice excepcionalmente mal. Pueden ser errores en los datos, eventos extraordinarios (quiebra, fusión, cambio de sector), o simplemente empresas tan atípicas que el modelo lineal no las captura. Con 10,000 observaciones, se esperan algunos puntos fuera de ±2σ incluso si todo está bien.</w:t>
      </w:r>
    </w:p>
    <w:p w14:paraId="32033BC4" w14:textId="77777777" w:rsidR="009E57CD" w:rsidRDefault="00A4297A">
      <w:pPr>
        <w:pStyle w:val="Ttulo3"/>
      </w:pPr>
      <w:r>
        <w:t>Las líneas punteadas grises (±2σ)</w:t>
      </w:r>
    </w:p>
    <w:p w14:paraId="41189C0E" w14:textId="77777777" w:rsidR="009E57CD" w:rsidRDefault="00A4297A">
      <w:pPr>
        <w:spacing w:before="80" w:after="130"/>
      </w:pPr>
      <w:r>
        <w:t>Estas líneas marcan los límites de ±2 desviaciones estándar de los residuos. Bajo normalidad, el 95.4% de los residuos debería caer dentro de esas líneas. Si más del 10-15% de los puntos están fuera, es otra señal de colas pesadas o heterocedasticidad.</w:t>
      </w:r>
    </w:p>
    <w:p w14:paraId="6827945C" w14:textId="77777777" w:rsidR="009E57CD" w:rsidRDefault="00A4297A">
      <w:pPr>
        <w:spacing w:before="80" w:after="130"/>
      </w:pPr>
      <w:r>
        <w:t>Las etiquetas +2σ y -2σ están colocadas en el extremo derecho del gráfico para identificar claramente cada línea sin saturar la zona central donde están concentrados los puntos.</w:t>
      </w:r>
    </w:p>
    <w:p w14:paraId="51736E01" w14:textId="77777777" w:rsidR="009E57CD" w:rsidRDefault="009E57CD">
      <w:pPr>
        <w:pBdr>
          <w:bottom w:val="single" w:sz="6" w:space="1" w:color="0D9488"/>
        </w:pBdr>
        <w:spacing w:before="220" w:after="220"/>
      </w:pPr>
    </w:p>
    <w:p w14:paraId="544FFB5F" w14:textId="77777777" w:rsidR="009E57CD" w:rsidRDefault="00A4297A">
      <w:pPr>
        <w:pStyle w:val="Ttulo2"/>
      </w:pPr>
      <w:r>
        <w:t>Cómo leer el título y subtítulo del panel de residuos</w:t>
      </w:r>
    </w:p>
    <w:p w14:paraId="1B6B51A4" w14:textId="77777777" w:rsidR="009E57CD" w:rsidRDefault="00A4297A">
      <w:pPr>
        <w:spacing w:before="80" w:after="130"/>
      </w:pPr>
      <w:r>
        <w:t>El título del panel combina los resultados del JB test y el QQ-Plot: muestra el p-valor del Jarque-Bera, si los residuos son normales o no, y el coeficiente r del QQ-Plot. Esto permite evaluar la normalidad de un solo vistazo sin necesidad de leer los gráficos individuales en detalle.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57CD" w14:paraId="1DFF579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0FDF4"/>
            <w:tcMar>
              <w:top w:w="140" w:type="dxa"/>
              <w:left w:w="220" w:type="dxa"/>
              <w:bottom w:w="140" w:type="dxa"/>
              <w:right w:w="220" w:type="dxa"/>
            </w:tcMar>
          </w:tcPr>
          <w:p w14:paraId="7F27CA27" w14:textId="77777777" w:rsidR="009E57CD" w:rsidRDefault="00A4297A">
            <w:pPr>
              <w:spacing w:after="80"/>
            </w:pPr>
            <w:r>
              <w:rPr>
                <w:b/>
                <w:bCs/>
                <w:color w:val="0D9488"/>
                <w:sz w:val="23"/>
                <w:szCs w:val="23"/>
              </w:rPr>
              <w:t>Interpretación típica en datos KoTaP</w:t>
            </w:r>
          </w:p>
          <w:p w14:paraId="3483489C" w14:textId="77777777" w:rsidR="009E57CD" w:rsidRDefault="00A4297A">
            <w:pPr>
              <w:spacing w:before="40" w:after="40"/>
            </w:pPr>
            <w:r>
              <w:rPr>
                <w:sz w:val="21"/>
                <w:szCs w:val="21"/>
              </w:rPr>
              <w:t>JB p ≈ 0: los residuos no son normales en sentido estricto. Con 10,000 observaciones esto era esperable.</w:t>
            </w:r>
          </w:p>
          <w:p w14:paraId="2B8547B0" w14:textId="77777777" w:rsidR="009E57CD" w:rsidRDefault="00A4297A">
            <w:pPr>
              <w:spacing w:before="40" w:after="40"/>
            </w:pPr>
            <w:r>
              <w:rPr>
                <w:sz w:val="21"/>
                <w:szCs w:val="21"/>
              </w:rPr>
              <w:t>QQ r ≈ 0.96–0.98: hay desviación de la normalidad en las colas, principalmente por residuos extremos de empresas en situaciones excepcionales.</w:t>
            </w:r>
          </w:p>
          <w:p w14:paraId="331BFB90" w14:textId="77777777" w:rsidR="009E57CD" w:rsidRDefault="00A4297A">
            <w:pPr>
              <w:spacing w:before="40" w:after="40"/>
            </w:pPr>
            <w:r>
              <w:rPr>
                <w:sz w:val="21"/>
                <w:szCs w:val="21"/>
              </w:rPr>
              <w:t>Residuos vs Ajustados: la curva LOWESS probablemente muestra ligera curvatura y cierto ensanchamiento de la nube, señales de no-linealidad suave y heterocedasticidad moderada, ambas frecuentes en datos de panel financiero.</w:t>
            </w:r>
          </w:p>
          <w:p w14:paraId="538E87DF" w14:textId="77777777" w:rsidR="009E57CD" w:rsidRDefault="00A4297A">
            <w:pPr>
              <w:spacing w:before="40" w:after="40"/>
            </w:pPr>
            <w:r>
              <w:rPr>
                <w:sz w:val="21"/>
                <w:szCs w:val="21"/>
              </w:rPr>
              <w:t>Conclusión: los coeficientes β son válidos y sus signos son confiables. Los p-valores son aproximaciones asintóticas válidas con la muestra grande disponible. Los intervalos de confianza pueden ser ligeramente optimistas si hay heterocedasticidad.</w:t>
            </w:r>
          </w:p>
        </w:tc>
      </w:tr>
    </w:tbl>
    <w:p w14:paraId="67CF428B" w14:textId="77777777" w:rsidR="009E57CD" w:rsidRDefault="009E57CD">
      <w:pPr>
        <w:spacing w:before="60" w:after="60"/>
      </w:pPr>
    </w:p>
    <w:p w14:paraId="1538CBC7" w14:textId="77777777" w:rsidR="009E57CD" w:rsidRDefault="00A4297A">
      <w:pPr>
        <w:spacing w:before="200"/>
        <w:jc w:val="center"/>
      </w:pPr>
      <w:r>
        <w:rPr>
          <w:i/>
          <w:iCs/>
          <w:color w:val="475569"/>
          <w:sz w:val="18"/>
          <w:szCs w:val="18"/>
        </w:rPr>
        <w:t>Documento generado para KoTaP v5.0 – Análisis Financiero Mercado Bursátil Coreano</w:t>
      </w:r>
    </w:p>
    <w:sectPr w:rsidR="009E57C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AC4D2" w14:textId="77777777" w:rsidR="00A4297A" w:rsidRDefault="00A4297A">
      <w:r>
        <w:separator/>
      </w:r>
    </w:p>
  </w:endnote>
  <w:endnote w:type="continuationSeparator" w:id="0">
    <w:p w14:paraId="2E0DC69D" w14:textId="77777777" w:rsidR="00A4297A" w:rsidRDefault="00A42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6D0A" w14:textId="77777777" w:rsidR="009E57CD" w:rsidRDefault="00A4297A">
    <w:pPr>
      <w:jc w:val="right"/>
    </w:pPr>
    <w:r>
      <w:rPr>
        <w:color w:val="475569"/>
        <w:sz w:val="18"/>
        <w:szCs w:val="18"/>
      </w:rPr>
      <w:t xml:space="preserve">Página </w:t>
    </w:r>
    <w:r>
      <w:rPr>
        <w:color w:val="475569"/>
        <w:sz w:val="18"/>
        <w:szCs w:val="18"/>
      </w:rPr>
      <w:fldChar w:fldCharType="begin"/>
    </w:r>
    <w:r>
      <w:rPr>
        <w:color w:val="475569"/>
        <w:sz w:val="18"/>
        <w:szCs w:val="18"/>
      </w:rPr>
      <w:instrText>PAGE</w:instrText>
    </w:r>
    <w:r>
      <w:rPr>
        <w:color w:val="475569"/>
        <w:sz w:val="18"/>
        <w:szCs w:val="18"/>
      </w:rPr>
      <w:fldChar w:fldCharType="separate"/>
    </w:r>
    <w:r w:rsidR="008B1422">
      <w:rPr>
        <w:noProof/>
        <w:color w:val="475569"/>
        <w:sz w:val="18"/>
        <w:szCs w:val="18"/>
      </w:rPr>
      <w:t>1</w:t>
    </w:r>
    <w:r>
      <w:rPr>
        <w:color w:val="475569"/>
        <w:sz w:val="18"/>
        <w:szCs w:val="18"/>
      </w:rPr>
      <w:fldChar w:fldCharType="end"/>
    </w:r>
    <w:r>
      <w:rPr>
        <w:color w:val="475569"/>
        <w:sz w:val="18"/>
        <w:szCs w:val="18"/>
      </w:rPr>
      <w:t xml:space="preserve"> de </w:t>
    </w:r>
    <w:r>
      <w:rPr>
        <w:color w:val="475569"/>
        <w:sz w:val="18"/>
        <w:szCs w:val="18"/>
      </w:rPr>
      <w:fldChar w:fldCharType="begin"/>
    </w:r>
    <w:r>
      <w:rPr>
        <w:color w:val="475569"/>
        <w:sz w:val="18"/>
        <w:szCs w:val="18"/>
      </w:rPr>
      <w:instrText>NUMPAGES</w:instrText>
    </w:r>
    <w:r>
      <w:rPr>
        <w:color w:val="475569"/>
        <w:sz w:val="18"/>
        <w:szCs w:val="18"/>
      </w:rPr>
      <w:fldChar w:fldCharType="separate"/>
    </w:r>
    <w:r w:rsidR="008B1422">
      <w:rPr>
        <w:noProof/>
        <w:color w:val="475569"/>
        <w:sz w:val="18"/>
        <w:szCs w:val="18"/>
      </w:rPr>
      <w:t>2</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1114" w14:textId="77777777" w:rsidR="00A4297A" w:rsidRDefault="00A4297A">
      <w:r>
        <w:separator/>
      </w:r>
    </w:p>
  </w:footnote>
  <w:footnote w:type="continuationSeparator" w:id="0">
    <w:p w14:paraId="4D6EAB26" w14:textId="77777777" w:rsidR="00A4297A" w:rsidRDefault="00A42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6C04" w14:textId="77777777" w:rsidR="009E57CD" w:rsidRDefault="00A4297A">
    <w:pPr>
      <w:pBdr>
        <w:bottom w:val="single" w:sz="3" w:space="1" w:color="0D9488"/>
      </w:pBdr>
      <w:spacing w:after="100"/>
    </w:pPr>
    <w:r>
      <w:rPr>
        <w:color w:val="475569"/>
        <w:sz w:val="18"/>
        <w:szCs w:val="18"/>
      </w:rPr>
      <w:t>KoTaP – Variables, Regresión y Diagnósticos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70072"/>
    <w:multiLevelType w:val="hybridMultilevel"/>
    <w:tmpl w:val="9392F630"/>
    <w:lvl w:ilvl="0" w:tplc="43046EBC">
      <w:start w:val="1"/>
      <w:numFmt w:val="decimal"/>
      <w:lvlText w:val="%1."/>
      <w:lvlJc w:val="left"/>
      <w:pPr>
        <w:ind w:left="720" w:hanging="360"/>
      </w:pPr>
    </w:lvl>
    <w:lvl w:ilvl="1" w:tplc="A74EE720">
      <w:numFmt w:val="decimal"/>
      <w:lvlText w:val=""/>
      <w:lvlJc w:val="left"/>
    </w:lvl>
    <w:lvl w:ilvl="2" w:tplc="6060B5EE">
      <w:numFmt w:val="decimal"/>
      <w:lvlText w:val=""/>
      <w:lvlJc w:val="left"/>
    </w:lvl>
    <w:lvl w:ilvl="3" w:tplc="117408C6">
      <w:numFmt w:val="decimal"/>
      <w:lvlText w:val=""/>
      <w:lvlJc w:val="left"/>
    </w:lvl>
    <w:lvl w:ilvl="4" w:tplc="17CE785C">
      <w:numFmt w:val="decimal"/>
      <w:lvlText w:val=""/>
      <w:lvlJc w:val="left"/>
    </w:lvl>
    <w:lvl w:ilvl="5" w:tplc="BF06FA1E">
      <w:numFmt w:val="decimal"/>
      <w:lvlText w:val=""/>
      <w:lvlJc w:val="left"/>
    </w:lvl>
    <w:lvl w:ilvl="6" w:tplc="EDF6B096">
      <w:numFmt w:val="decimal"/>
      <w:lvlText w:val=""/>
      <w:lvlJc w:val="left"/>
    </w:lvl>
    <w:lvl w:ilvl="7" w:tplc="1D244AE4">
      <w:numFmt w:val="decimal"/>
      <w:lvlText w:val=""/>
      <w:lvlJc w:val="left"/>
    </w:lvl>
    <w:lvl w:ilvl="8" w:tplc="6382DDE2">
      <w:numFmt w:val="decimal"/>
      <w:lvlText w:val=""/>
      <w:lvlJc w:val="left"/>
    </w:lvl>
  </w:abstractNum>
  <w:abstractNum w:abstractNumId="1" w15:restartNumberingAfterBreak="0">
    <w:nsid w:val="5C8116C5"/>
    <w:multiLevelType w:val="hybridMultilevel"/>
    <w:tmpl w:val="3A726FF4"/>
    <w:lvl w:ilvl="0" w:tplc="737E219C">
      <w:start w:val="1"/>
      <w:numFmt w:val="bullet"/>
      <w:lvlText w:val="●"/>
      <w:lvlJc w:val="left"/>
      <w:pPr>
        <w:ind w:left="720" w:hanging="360"/>
      </w:pPr>
    </w:lvl>
    <w:lvl w:ilvl="1" w:tplc="C3E6F422">
      <w:start w:val="1"/>
      <w:numFmt w:val="bullet"/>
      <w:lvlText w:val="○"/>
      <w:lvlJc w:val="left"/>
      <w:pPr>
        <w:ind w:left="1440" w:hanging="360"/>
      </w:pPr>
    </w:lvl>
    <w:lvl w:ilvl="2" w:tplc="63868BF8">
      <w:start w:val="1"/>
      <w:numFmt w:val="bullet"/>
      <w:lvlText w:val="■"/>
      <w:lvlJc w:val="left"/>
      <w:pPr>
        <w:ind w:left="2160" w:hanging="360"/>
      </w:pPr>
    </w:lvl>
    <w:lvl w:ilvl="3" w:tplc="217ABA58">
      <w:start w:val="1"/>
      <w:numFmt w:val="bullet"/>
      <w:lvlText w:val="●"/>
      <w:lvlJc w:val="left"/>
      <w:pPr>
        <w:ind w:left="2880" w:hanging="360"/>
      </w:pPr>
    </w:lvl>
    <w:lvl w:ilvl="4" w:tplc="56487DB8">
      <w:start w:val="1"/>
      <w:numFmt w:val="bullet"/>
      <w:lvlText w:val="○"/>
      <w:lvlJc w:val="left"/>
      <w:pPr>
        <w:ind w:left="3600" w:hanging="360"/>
      </w:pPr>
    </w:lvl>
    <w:lvl w:ilvl="5" w:tplc="5AD0481A">
      <w:start w:val="1"/>
      <w:numFmt w:val="bullet"/>
      <w:lvlText w:val="■"/>
      <w:lvlJc w:val="left"/>
      <w:pPr>
        <w:ind w:left="4320" w:hanging="360"/>
      </w:pPr>
    </w:lvl>
    <w:lvl w:ilvl="6" w:tplc="73A02926">
      <w:start w:val="1"/>
      <w:numFmt w:val="bullet"/>
      <w:lvlText w:val="●"/>
      <w:lvlJc w:val="left"/>
      <w:pPr>
        <w:ind w:left="5040" w:hanging="360"/>
      </w:pPr>
    </w:lvl>
    <w:lvl w:ilvl="7" w:tplc="E6F4D49A">
      <w:start w:val="1"/>
      <w:numFmt w:val="bullet"/>
      <w:lvlText w:val="●"/>
      <w:lvlJc w:val="left"/>
      <w:pPr>
        <w:ind w:left="5760" w:hanging="360"/>
      </w:pPr>
    </w:lvl>
    <w:lvl w:ilvl="8" w:tplc="CC186880">
      <w:start w:val="1"/>
      <w:numFmt w:val="bullet"/>
      <w:lvlText w:val="●"/>
      <w:lvlJc w:val="left"/>
      <w:pPr>
        <w:ind w:left="6480" w:hanging="360"/>
      </w:pPr>
    </w:lvl>
  </w:abstractNum>
  <w:abstractNum w:abstractNumId="2" w15:restartNumberingAfterBreak="0">
    <w:nsid w:val="6FAB35BF"/>
    <w:multiLevelType w:val="hybridMultilevel"/>
    <w:tmpl w:val="34AAAA18"/>
    <w:lvl w:ilvl="0" w:tplc="EE14F4CC">
      <w:start w:val="1"/>
      <w:numFmt w:val="bullet"/>
      <w:lvlText w:val="•"/>
      <w:lvlJc w:val="left"/>
      <w:pPr>
        <w:ind w:left="720" w:hanging="360"/>
      </w:pPr>
    </w:lvl>
    <w:lvl w:ilvl="1" w:tplc="DFA6A080">
      <w:numFmt w:val="decimal"/>
      <w:lvlText w:val=""/>
      <w:lvlJc w:val="left"/>
    </w:lvl>
    <w:lvl w:ilvl="2" w:tplc="BF76B1AE">
      <w:numFmt w:val="decimal"/>
      <w:lvlText w:val=""/>
      <w:lvlJc w:val="left"/>
    </w:lvl>
    <w:lvl w:ilvl="3" w:tplc="E9A0423E">
      <w:numFmt w:val="decimal"/>
      <w:lvlText w:val=""/>
      <w:lvlJc w:val="left"/>
    </w:lvl>
    <w:lvl w:ilvl="4" w:tplc="99085F10">
      <w:numFmt w:val="decimal"/>
      <w:lvlText w:val=""/>
      <w:lvlJc w:val="left"/>
    </w:lvl>
    <w:lvl w:ilvl="5" w:tplc="6090E1BC">
      <w:numFmt w:val="decimal"/>
      <w:lvlText w:val=""/>
      <w:lvlJc w:val="left"/>
    </w:lvl>
    <w:lvl w:ilvl="6" w:tplc="98940E18">
      <w:numFmt w:val="decimal"/>
      <w:lvlText w:val=""/>
      <w:lvlJc w:val="left"/>
    </w:lvl>
    <w:lvl w:ilvl="7" w:tplc="152A5BBA">
      <w:numFmt w:val="decimal"/>
      <w:lvlText w:val=""/>
      <w:lvlJc w:val="left"/>
    </w:lvl>
    <w:lvl w:ilvl="8" w:tplc="4A22599C">
      <w:numFmt w:val="decimal"/>
      <w:lvlText w:val=""/>
      <w:lvlJc w:val="left"/>
    </w:lvl>
  </w:abstractNum>
  <w:abstractNum w:abstractNumId="3" w15:restartNumberingAfterBreak="0">
    <w:nsid w:val="77E00F44"/>
    <w:multiLevelType w:val="hybridMultilevel"/>
    <w:tmpl w:val="CFBAC270"/>
    <w:lvl w:ilvl="0" w:tplc="D898E60E">
      <w:start w:val="1"/>
      <w:numFmt w:val="bullet"/>
      <w:lvlText w:val="◦"/>
      <w:lvlJc w:val="left"/>
      <w:pPr>
        <w:ind w:left="1080" w:hanging="360"/>
      </w:pPr>
    </w:lvl>
    <w:lvl w:ilvl="1" w:tplc="5F50EBC4">
      <w:numFmt w:val="decimal"/>
      <w:lvlText w:val=""/>
      <w:lvlJc w:val="left"/>
    </w:lvl>
    <w:lvl w:ilvl="2" w:tplc="529CA8B0">
      <w:numFmt w:val="decimal"/>
      <w:lvlText w:val=""/>
      <w:lvlJc w:val="left"/>
    </w:lvl>
    <w:lvl w:ilvl="3" w:tplc="1B2CEAA4">
      <w:numFmt w:val="decimal"/>
      <w:lvlText w:val=""/>
      <w:lvlJc w:val="left"/>
    </w:lvl>
    <w:lvl w:ilvl="4" w:tplc="29C0F72E">
      <w:numFmt w:val="decimal"/>
      <w:lvlText w:val=""/>
      <w:lvlJc w:val="left"/>
    </w:lvl>
    <w:lvl w:ilvl="5" w:tplc="5E0C80F4">
      <w:numFmt w:val="decimal"/>
      <w:lvlText w:val=""/>
      <w:lvlJc w:val="left"/>
    </w:lvl>
    <w:lvl w:ilvl="6" w:tplc="874A9644">
      <w:numFmt w:val="decimal"/>
      <w:lvlText w:val=""/>
      <w:lvlJc w:val="left"/>
    </w:lvl>
    <w:lvl w:ilvl="7" w:tplc="17B4B73A">
      <w:numFmt w:val="decimal"/>
      <w:lvlText w:val=""/>
      <w:lvlJc w:val="left"/>
    </w:lvl>
    <w:lvl w:ilvl="8" w:tplc="B83EAF1C">
      <w:numFmt w:val="decimal"/>
      <w:lvlText w:val=""/>
      <w:lvlJc w:val="left"/>
    </w:lvl>
  </w:abstractNum>
  <w:num w:numId="1" w16cid:durableId="811219036">
    <w:abstractNumId w:val="1"/>
    <w:lvlOverride w:ilvl="0">
      <w:startOverride w:val="1"/>
    </w:lvlOverride>
  </w:num>
  <w:num w:numId="2" w16cid:durableId="9742131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7CD"/>
    <w:rsid w:val="005A1A9E"/>
    <w:rsid w:val="008B1422"/>
    <w:rsid w:val="009E57CD"/>
    <w:rsid w:val="00A4297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5D77C"/>
  <w15:docId w15:val="{898231CC-1FA5-4A50-A9D0-167342B1B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E3A5F"/>
      <w:sz w:val="34"/>
      <w:szCs w:val="34"/>
    </w:rPr>
  </w:style>
  <w:style w:type="paragraph" w:styleId="Ttulo2">
    <w:name w:val="heading 2"/>
    <w:uiPriority w:val="9"/>
    <w:unhideWhenUsed/>
    <w:qFormat/>
    <w:pPr>
      <w:spacing w:before="300" w:after="160"/>
      <w:outlineLvl w:val="1"/>
    </w:pPr>
    <w:rPr>
      <w:b/>
      <w:bCs/>
      <w:color w:val="0D9488"/>
      <w:sz w:val="28"/>
      <w:szCs w:val="28"/>
    </w:rPr>
  </w:style>
  <w:style w:type="paragraph" w:styleId="Ttulo3">
    <w:name w:val="heading 3"/>
    <w:uiPriority w:val="9"/>
    <w:unhideWhenUsed/>
    <w:qFormat/>
    <w:pPr>
      <w:spacing w:before="220" w:after="12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4574</Words>
  <Characters>25160</Characters>
  <Application>Microsoft Office Word</Application>
  <DocSecurity>0</DocSecurity>
  <Lines>209</Lines>
  <Paragraphs>59</Paragraphs>
  <ScaleCrop>false</ScaleCrop>
  <Company/>
  <LinksUpToDate>false</LinksUpToDate>
  <CharactersWithSpaces>29675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NUESTRO HOGAR</cp:lastModifiedBy>
  <cp:revision>2</cp:revision>
  <dcterms:created xsi:type="dcterms:W3CDTF">2026-05-04T02:47:00Z</dcterms:created>
  <dcterms:modified xsi:type="dcterms:W3CDTF">2026-05-04T02:47:00Z</dcterms:modified>
</cp:coreProperties>
</file>