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56"/>
          <w:szCs w:val="56"/>
        </w:rPr>
        <w:t xml:space="preserve">ANÁLISIS CUANTITATIVO DEL MERCADO COREANO</w:t>
      </w:r>
    </w:p>
    <w:p>
      <w:pPr>
        <w:spacing w:after="200" w:before="200"/>
        <w:jc w:val="center"/>
      </w:pPr>
      <w:r>
        <w:rPr>
          <w:rFonts w:ascii="Arial" w:cs="Arial" w:eastAsia="Arial" w:hAnsi="Arial"/>
          <w:i/>
          <w:iCs/>
          <w:color w:val="0D9488"/>
          <w:sz w:val="28"/>
          <w:szCs w:val="28"/>
        </w:rPr>
        <w:t xml:space="preserve">Guía Experta: Dataset KoTaP · KOSPI/KOSDAQ · 2011–2024</w:t>
      </w:r>
    </w:p>
    <w:p>
      <w:pPr>
        <w:spacing w:after="1200" w:before="200"/>
        <w:jc w:val="center"/>
      </w:pPr>
      <w:r>
        <w:rPr>
          <w:rFonts w:ascii="Arial" w:cs="Arial" w:eastAsia="Arial" w:hAnsi="Arial"/>
          <w:color w:val="475569"/>
          <w:sz w:val="24"/>
          <w:szCs w:val="24"/>
        </w:rPr>
        <w:t xml:space="preserve">Explicación Estadística y Financiera Completa de la Presentación Gerencial</w:t>
      </w:r>
    </w:p>
    <w:p>
      <w:pPr>
        <w:spacing w:after="200" w:before="400"/>
        <w:jc w:val="center"/>
      </w:pPr>
      <w:r>
        <w:rPr>
          <w:rFonts w:ascii="Arial" w:cs="Arial" w:eastAsia="Arial" w:hAnsi="Arial"/>
          <w:b/>
          <w:bCs/>
          <w:color w:val="F97316"/>
          <w:sz w:val="24"/>
          <w:szCs w:val="24"/>
        </w:rPr>
        <w:t xml:space="preserve">12,653 observaciones  ·  1,754 empresas  ·  65 variables  ·  14 años</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0. Visión General del Proyecto KoTaP</w:t>
      </w:r>
    </w:p>
    <w:p>
      <w:pPr>
        <w:spacing w:after="80" w:before="60"/>
      </w:pPr>
      <w:r>
        <w:rPr>
          <w:rFonts w:ascii="Arial" w:cs="Arial" w:eastAsia="Arial" w:hAnsi="Arial"/>
          <w:color w:val="0F172A"/>
          <w:sz w:val="22"/>
          <w:szCs w:val="22"/>
        </w:rPr>
        <w:t xml:space="preserve">KoTaP (Korean Total Accounting Panel) es un panel de datos longitudinal que compila información financiera anual de empresas cotizadas en los mercados bursátiles de Corea del Sur: KOSPI (Korea Composite Stock Price Index, equivalente al NYSE coreano para empresas de gran capitalización) y KOSDAQ (mercado de tecnología y empresas medianas, equivalente al NASDAQ coreano).</w:t>
      </w:r>
    </w:p>
    <w:p>
      <w:pPr>
        <w:spacing w:after="40" w:before="40"/>
      </w:pPr>
      <w:r>
        <w:rPr>
          <w:sz w:val="12"/>
          <w:szCs w:val="12"/>
        </w:rPr>
        <w:t xml:space="preserve"> </w:t>
      </w:r>
    </w:p>
    <w:p>
      <w:pPr>
        <w:pStyle w:val="Heading3"/>
        <w:spacing w:after="80" w:before="180"/>
      </w:pPr>
      <w:r>
        <w:rPr>
          <w:rFonts w:ascii="Arial" w:cs="Arial" w:eastAsia="Arial" w:hAnsi="Arial"/>
          <w:b/>
          <w:bCs/>
          <w:color w:val="0F172A"/>
          <w:sz w:val="24"/>
          <w:szCs w:val="24"/>
        </w:rPr>
        <w:t xml:space="preserve">¿Qué es un panel de datos?</w:t>
      </w:r>
    </w:p>
    <w:p>
      <w:pPr>
        <w:spacing w:after="80" w:before="60"/>
      </w:pPr>
      <w:r>
        <w:rPr>
          <w:rFonts w:ascii="Arial" w:cs="Arial" w:eastAsia="Arial" w:hAnsi="Arial"/>
          <w:color w:val="0F172A"/>
          <w:sz w:val="22"/>
          <w:szCs w:val="22"/>
        </w:rPr>
        <w:t xml:space="preserve">Un panel de datos —también llamado datos longitudinales o datos en panel— combina dos dimensiones: la dimensión transversal (N empresas distintas) y la dimensión temporal (T años). Esto lo diferencia de un corte transversal (una sola fotografía en el tiempo) y de una serie de tiempo (una sola entidad en el tiempo).</w:t>
      </w:r>
    </w:p>
    <w:p>
      <w:pPr>
        <w:spacing w:after="80" w:before="60"/>
      </w:pPr>
      <w:r>
        <w:rPr>
          <w:rFonts w:ascii="Arial" w:cs="Arial" w:eastAsia="Arial" w:hAnsi="Arial"/>
          <w:color w:val="0F172A"/>
          <w:sz w:val="22"/>
          <w:szCs w:val="22"/>
        </w:rPr>
        <w:t xml:space="preserve">La ventaja estadística fundamental es que permite controlar por efectos fijos no observables de cada empresa (su cultura corporativa, calidad del management, posición competitiva) que permanecen constantes a lo largo del tiempo.</w:t>
      </w:r>
    </w:p>
    <w:p>
      <w:pPr>
        <w:spacing w:after="40" w:before="40"/>
      </w:pPr>
      <w:r>
        <w:rPr>
          <w:sz w:val="12"/>
          <w:szCs w:val="12"/>
        </w:rPr>
        <w:t xml:space="preserve"> </w:t>
      </w:r>
    </w:p>
    <w:p>
      <w:pPr>
        <w:pStyle w:val="Heading3"/>
        <w:spacing w:after="80" w:before="180"/>
      </w:pPr>
      <w:r>
        <w:rPr>
          <w:rFonts w:ascii="Arial" w:cs="Arial" w:eastAsia="Arial" w:hAnsi="Arial"/>
          <w:b/>
          <w:bCs/>
          <w:color w:val="0F172A"/>
          <w:sz w:val="24"/>
          <w:szCs w:val="24"/>
        </w:rPr>
        <w:t xml:space="preserve">Dimensiones del Dataset Final (tras limpieza)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Dimensión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Valor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Descripción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Relevancia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E3A5F"/>
                <w:sz w:val="20"/>
                <w:szCs w:val="20"/>
              </w:rPr>
              <w:t xml:space="preserve">Observaciones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0F172A"/>
                <w:sz w:val="20"/>
                <w:szCs w:val="20"/>
              </w:rPr>
              <w:t xml:space="preserve">12,653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Empresa×año únicos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Tamaño robusto para modelos estadísticos</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1E3A5F"/>
                <w:sz w:val="20"/>
                <w:szCs w:val="20"/>
              </w:rPr>
              <w:t xml:space="preserve">Empresas únicas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center"/>
            </w:pPr>
            <w:r>
              <w:rPr>
                <w:rFonts w:ascii="Arial" w:cs="Arial" w:eastAsia="Arial" w:hAnsi="Arial"/>
                <w:color w:val="0F172A"/>
                <w:sz w:val="20"/>
                <w:szCs w:val="20"/>
              </w:rPr>
              <w:t xml:space="preserve">1,754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Panel desbalanceado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Empresas entran/salen según cotización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E3A5F"/>
                <w:sz w:val="20"/>
                <w:szCs w:val="20"/>
              </w:rPr>
              <w:t xml:space="preserve">Período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color w:val="0F172A"/>
                <w:sz w:val="20"/>
                <w:szCs w:val="20"/>
              </w:rPr>
              <w:t xml:space="preserve">2011–2024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14 años fiscales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Captura ciclos económicos completos</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1E3A5F"/>
                <w:sz w:val="20"/>
                <w:szCs w:val="20"/>
              </w:rPr>
              <w:t xml:space="preserve">Variables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center"/>
            </w:pPr>
            <w:r>
              <w:rPr>
                <w:rFonts w:ascii="Arial" w:cs="Arial" w:eastAsia="Arial" w:hAnsi="Arial"/>
                <w:color w:val="0F172A"/>
                <w:sz w:val="20"/>
                <w:szCs w:val="20"/>
              </w:rPr>
              <w:t xml:space="preserve">65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Ratios financieros, dummy, sector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Alta dimensionalidad → PCA necesario</w:t>
            </w:r>
          </w:p>
        </w:tc>
      </w:tr>
    </w:tbl>
    <w:p>
      <w:pPr>
        <w:spacing w:after="40" w:before="40"/>
      </w:pPr>
      <w:r>
        <w:rPr>
          <w:sz w:val="12"/>
          <w:szCs w:val="12"/>
        </w:rPr>
        <w:t xml:space="preserve"> </w:t>
      </w:r>
    </w:p>
    <w:p>
      <w:pPr>
        <w:pStyle w:val="Heading3"/>
        <w:spacing w:after="80" w:before="180"/>
      </w:pPr>
      <w:r>
        <w:rPr>
          <w:rFonts w:ascii="Arial" w:cs="Arial" w:eastAsia="Arial" w:hAnsi="Arial"/>
          <w:b/>
          <w:bCs/>
          <w:color w:val="0F172A"/>
          <w:sz w:val="24"/>
          <w:szCs w:val="24"/>
        </w:rPr>
        <w:t xml:space="preserve">Variables Clave Analizadas</w:t>
      </w:r>
    </w:p>
    <w:p>
      <w:pPr>
        <w:spacing w:after="80" w:before="60"/>
      </w:pPr>
      <w:r>
        <w:rPr>
          <w:rFonts w:ascii="Arial" w:cs="Arial" w:eastAsia="Arial" w:hAnsi="Arial"/>
          <w:color w:val="0F172A"/>
          <w:sz w:val="22"/>
          <w:szCs w:val="22"/>
        </w:rPr>
        <w:t xml:space="preserve">El análisis se centra en 12 variables cuantitativas principales (KEY_VARS en el código R) con roles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1560"/>
        <w:gridCol w:w="2340"/>
        <w:gridCol w:w="273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Nombre Completo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Tipo</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Fórmula/Definición</w:t>
            </w:r>
          </w:p>
        </w:tc>
        <w:tc>
          <w:tcPr>
            <w:tcW w:type="dxa" w:w="273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Rol en el modelo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D9488"/>
                <w:sz w:val="20"/>
                <w:szCs w:val="20"/>
              </w:rPr>
              <w:t xml:space="preserve">ROA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Return on Assets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TARGET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Beneficio neto / Activos totales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Variable dependiente (Y) a predecir</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D9488"/>
                <w:sz w:val="20"/>
                <w:szCs w:val="20"/>
              </w:rPr>
              <w:t xml:space="preserve">CFO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Cash Flow Operativo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Flujo caja operativo / Activos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Predictor más potente (β*≈0.458)</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ROE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Return on Equity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Excluida OLS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Beneficio neto / Patrimonio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Multicolineal con ROA (r=0.94)</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F97316"/>
                <w:sz w:val="20"/>
                <w:szCs w:val="20"/>
              </w:rPr>
              <w:t xml:space="preserve">LEV</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Apalancamiento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Deuda total / Activos totales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Efecto negativo (β=−0.055***)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SIZE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Tamaño empresa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ln(Activos totales)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 significativo tras controlar CFO</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59669"/>
                <w:sz w:val="20"/>
                <w:szCs w:val="20"/>
              </w:rPr>
              <w:t xml:space="preserve">GRW</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Crecimiento ventas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ΔVentas / Ventas_{t-1}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Efecto positivo (β=+0.048***)</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CUR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Ratio de liquidez</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Activo Cte / Pasivo Cte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Significativo pero débil (β=−0.0006*)</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59669"/>
                <w:sz w:val="20"/>
                <w:szCs w:val="20"/>
              </w:rPr>
              <w:t xml:space="preserve">INVREC</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Gestión inventario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(Inv+Cuentas×cobrar)/Activos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Efecto positivo (β=+0.044***)</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MB</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Market-to-Book</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Excluida OLS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Valor mercado / Valor libro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Alta multicolinealidad con TQ (r=0.98)</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TQ</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Tobin's Q</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 PCA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(Val.mercado+Deuda)/Activos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Incluida en PCA y clustering</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PPE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Activos fijos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PPE / Activos totales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Efecto negativo (β=−0.022***)</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Antigüedad empresa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FEATURE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Años desde fundación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Efecto negativo (β=−0.008***)</w:t>
            </w:r>
          </w:p>
        </w:tc>
      </w:tr>
    </w:tbl>
    <w:p>
      <w:pPr>
        <w:spacing w:after="40" w:before="40"/>
      </w:pPr>
      <w:r>
        <w:rPr>
          <w:sz w:val="12"/>
          <w:szCs w:val="12"/>
        </w:rPr>
        <w:t xml:space="preserve"> </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1. Diapositiva 1 — Portada: Análisis Financiero y Predictivo</w:t>
      </w:r>
    </w:p>
    <w:p>
      <w:pPr>
        <w:spacing w:after="80" w:before="60"/>
      </w:pPr>
      <w:r>
        <w:rPr>
          <w:rFonts w:ascii="Arial" w:cs="Arial" w:eastAsia="Arial" w:hAnsi="Arial"/>
          <w:color w:val="0F172A"/>
          <w:sz w:val="22"/>
          <w:szCs w:val="22"/>
        </w:rPr>
        <w:t xml:space="preserve">La portada no es meramente estética: cada número expuesto es una declaración de alcance estadístico y credibilidad metodológica.</w:t>
      </w:r>
    </w:p>
    <w:p>
      <w:pPr>
        <w:pStyle w:val="Heading3"/>
        <w:spacing w:after="80" w:before="180"/>
      </w:pPr>
      <w:r>
        <w:rPr>
          <w:rFonts w:ascii="Arial" w:cs="Arial" w:eastAsia="Arial" w:hAnsi="Arial"/>
          <w:b/>
          <w:bCs/>
          <w:color w:val="0F172A"/>
          <w:sz w:val="24"/>
          <w:szCs w:val="24"/>
        </w:rPr>
        <w:t xml:space="preserve">Interpretación de las métricas de portada</w:t>
      </w:r>
    </w:p>
    <w:p>
      <w:pPr>
        <w:spacing w:after="60" w:before="100"/>
        <w:ind w:left="360"/>
      </w:pPr>
      <w:r>
        <w:rPr>
          <w:rFonts w:ascii="Arial" w:cs="Arial" w:eastAsia="Arial" w:hAnsi="Arial"/>
          <w:b/>
          <w:bCs/>
          <w:color w:val="0D9488"/>
          <w:sz w:val="22"/>
          <w:szCs w:val="22"/>
        </w:rPr>
        <w:t xml:space="preserve">▶ 12,653 observaciones: </w:t>
      </w:r>
      <w:r>
        <w:rPr>
          <w:rFonts w:ascii="Arial" w:cs="Arial" w:eastAsia="Arial" w:hAnsi="Arial"/>
          <w:color w:val="0F172A"/>
          <w:sz w:val="22"/>
          <w:szCs w:val="22"/>
        </w:rPr>
        <w:t xml:space="preserve">Con este tamaño muestral se cumplen holgadamente las condiciones asintóticas que garantizan la validez de todos los estimadores usados (OLS, PCA, K-Means). Para referencia: la mayor parte de estudios en contabilidad/finanzas corporativas se publica con n&lt;5,000. Con n&gt;10,000 el Teorema Central del Límite garantiza normalidad de los estimadores aunque los datos subyacentes no sean normales.</w:t>
      </w:r>
    </w:p>
    <w:p>
      <w:pPr>
        <w:spacing w:after="60" w:before="100"/>
        <w:ind w:left="360"/>
      </w:pPr>
      <w:r>
        <w:rPr>
          <w:rFonts w:ascii="Arial" w:cs="Arial" w:eastAsia="Arial" w:hAnsi="Arial"/>
          <w:b/>
          <w:bCs/>
          <w:color w:val="0D9488"/>
          <w:sz w:val="22"/>
          <w:szCs w:val="22"/>
        </w:rPr>
        <w:t xml:space="preserve">▶ 1,754 empresas: </w:t>
      </w:r>
      <w:r>
        <w:rPr>
          <w:rFonts w:ascii="Arial" w:cs="Arial" w:eastAsia="Arial" w:hAnsi="Arial"/>
          <w:color w:val="0F172A"/>
          <w:sz w:val="22"/>
          <w:szCs w:val="22"/>
        </w:rPr>
        <w:t xml:space="preserve">Un panel desbalanceado (unbalanced panel) donde no todas las empresas tienen datos para los 14 años. El cociente 12,653/1,754 ≈ 7.2 años por empresa en promedio indica buen seguimiento longitudinal, suficiente para capturar dinámicas de mediano plazo.</w:t>
      </w:r>
    </w:p>
    <w:p>
      <w:pPr>
        <w:spacing w:after="60" w:before="100"/>
        <w:ind w:left="360"/>
      </w:pPr>
      <w:r>
        <w:rPr>
          <w:rFonts w:ascii="Arial" w:cs="Arial" w:eastAsia="Arial" w:hAnsi="Arial"/>
          <w:b/>
          <w:bCs/>
          <w:color w:val="0D9488"/>
          <w:sz w:val="22"/>
          <w:szCs w:val="22"/>
        </w:rPr>
        <w:t xml:space="preserve">▶ 2011–2024: </w:t>
      </w:r>
      <w:r>
        <w:rPr>
          <w:rFonts w:ascii="Arial" w:cs="Arial" w:eastAsia="Arial" w:hAnsi="Arial"/>
          <w:color w:val="0F172A"/>
          <w:sz w:val="22"/>
          <w:szCs w:val="22"/>
        </w:rPr>
        <w:t xml:space="preserve">El período cubre tres ciclos de interés: (1) recuperación post-crisis financiera global 2011-2014; (2) expansión y auge tecnológico 2015-2019; (3) pandemia, inflación y ajuste monetario 2020-2024. Esta diversidad macroeconómica hace que los modelos sean más generalizables.</w:t>
      </w:r>
    </w:p>
    <w:p>
      <w:pPr>
        <w:spacing w:after="60" w:before="100"/>
        <w:ind w:left="360"/>
      </w:pPr>
      <w:r>
        <w:rPr>
          <w:rFonts w:ascii="Arial" w:cs="Arial" w:eastAsia="Arial" w:hAnsi="Arial"/>
          <w:b/>
          <w:bCs/>
          <w:color w:val="0D9488"/>
          <w:sz w:val="22"/>
          <w:szCs w:val="22"/>
        </w:rPr>
        <w:t xml:space="preserve">▶ 65 variables: </w:t>
      </w:r>
      <w:r>
        <w:rPr>
          <w:rFonts w:ascii="Arial" w:cs="Arial" w:eastAsia="Arial" w:hAnsi="Arial"/>
          <w:color w:val="0F172A"/>
          <w:sz w:val="22"/>
          <w:szCs w:val="22"/>
        </w:rPr>
        <w:t xml:space="preserve">Alta dimensionalidad que justifica técnicas de reducción como PCA. Incluye ratios financieros continuos, variables dummy (KOSPI, Big4, LOSS, fiscal) e identificadores de sector (ind) y empresa (stock).</w:t>
      </w:r>
    </w:p>
    <w:p>
      <w:pPr>
        <w:spacing w:after="80" w:before="60"/>
      </w:pPr>
      <w:r>
        <w:rPr>
          <w:rFonts w:ascii="Arial" w:cs="Arial" w:eastAsia="Arial" w:hAnsi="Arial"/>
          <w:color w:val="0F172A"/>
          <w:sz w:val="22"/>
          <w:szCs w:val="22"/>
        </w:rPr>
        <w:t xml:space="preserve">La afirmación "Análisis Financiero y Predictivo" señala dos objetivos distintos: el descriptivo-explicativo (entender qué factores determinan la rentabilidad) y el predictivo (construir un modelo que estime ROA futura). Ambos se abordan con el modelo OLS, que en finanzas es tanto explicativo (interpretamos los β) como predictivo (evaluamos R², RMSE, MAE fuera de muestra).</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2. Diapositiva 2 — Conociendo Nuestro Dataset: Los 5 Hallazgos Clave</w:t>
      </w:r>
    </w:p>
    <w:p>
      <w:pPr>
        <w:spacing w:after="80" w:before="60"/>
      </w:pPr>
      <w:r>
        <w:rPr>
          <w:rFonts w:ascii="Arial" w:cs="Arial" w:eastAsia="Arial" w:hAnsi="Arial"/>
          <w:color w:val="0F172A"/>
          <w:sz w:val="22"/>
          <w:szCs w:val="22"/>
        </w:rPr>
        <w:t xml:space="preserve">Esta diapositiva condensa el EDA (Exploratory Data Analysis) en cinco mensajes que sirven como "contrato estadístico" con la audiencia: antes de cualquier modelo, aquí está la naturaleza real de los datos.</w:t>
      </w:r>
    </w:p>
    <w:p>
      <w:pPr>
        <w:pStyle w:val="Heading2"/>
        <w:spacing w:after="120" w:before="240"/>
      </w:pPr>
      <w:r>
        <w:rPr>
          <w:rFonts w:ascii="Arial" w:cs="Arial" w:eastAsia="Arial" w:hAnsi="Arial"/>
          <w:b/>
          <w:bCs/>
          <w:color w:val="0D9488"/>
          <w:sz w:val="28"/>
          <w:szCs w:val="28"/>
        </w:rPr>
        <w:t xml:space="preserve">2.1 Dataset Sólido — Calidad de Datos</w:t>
      </w:r>
    </w:p>
    <w:p>
      <w:pPr>
        <w:pStyle w:val="Heading3"/>
        <w:spacing w:after="80" w:before="180"/>
      </w:pPr>
      <w:r>
        <w:rPr>
          <w:rFonts w:ascii="Arial" w:cs="Arial" w:eastAsia="Arial" w:hAnsi="Arial"/>
          <w:b/>
          <w:bCs/>
          <w:color w:val="0F172A"/>
          <w:sz w:val="24"/>
          <w:szCs w:val="24"/>
        </w:rPr>
        <w:t xml:space="preserve">Eliminación de outliers por IQR×3 (método Tukey "far out")</w:t>
      </w:r>
    </w:p>
    <w:p>
      <w:pPr>
        <w:spacing w:after="80" w:before="60"/>
      </w:pPr>
      <w:r>
        <w:rPr>
          <w:rFonts w:ascii="Arial" w:cs="Arial" w:eastAsia="Arial" w:hAnsi="Arial"/>
          <w:color w:val="0F172A"/>
          <w:sz w:val="22"/>
          <w:szCs w:val="22"/>
        </w:rPr>
        <w:t xml:space="preserve">El código R implementa una decisión metodológica crítica: en lugar de winsorizar (reemplazar extremos por percentiles P1/P99), se ELIMINAN observaciones donde alguna de las 12 variables clave supera los límites:</w:t>
      </w:r>
    </w:p>
    <w:p>
      <w:pPr>
        <w:shd w:fill="F8FAFC" w:val="clear"/>
        <w:spacing w:after="40" w:before="40"/>
        <w:ind w:left="720"/>
      </w:pPr>
      <w:r>
        <w:rPr>
          <w:rFonts w:ascii="Courier New" w:cs="Courier New" w:eastAsia="Courier New" w:hAnsi="Courier New"/>
          <w:color w:val="1E3A5F"/>
          <w:sz w:val="18"/>
          <w:szCs w:val="18"/>
        </w:rPr>
        <w:t xml:space="preserve">Límite inferior = Q1 − 3 × IQR</w:t>
      </w:r>
    </w:p>
    <w:p>
      <w:pPr>
        <w:shd w:fill="F8FAFC" w:val="clear"/>
        <w:spacing w:after="40" w:before="40"/>
        <w:ind w:left="720"/>
      </w:pPr>
      <w:r>
        <w:rPr>
          <w:rFonts w:ascii="Courier New" w:cs="Courier New" w:eastAsia="Courier New" w:hAnsi="Courier New"/>
          <w:color w:val="1E3A5F"/>
          <w:sz w:val="18"/>
          <w:szCs w:val="18"/>
        </w:rPr>
        <w:t xml:space="preserve">Límite superior = Q3 + 3 × IQR</w:t>
      </w:r>
    </w:p>
    <w:p>
      <w:pPr>
        <w:spacing w:after="80" w:before="60"/>
      </w:pPr>
      <w:r>
        <w:rPr>
          <w:rFonts w:ascii="Arial" w:cs="Arial" w:eastAsia="Arial" w:hAnsi="Arial"/>
          <w:color w:val="0F172A"/>
          <w:sz w:val="22"/>
          <w:szCs w:val="22"/>
        </w:rPr>
        <w:t xml:space="preserve">El factor k=3 (versus el k=1.5 estándar de Tukey) es deliberadamente conservador: solo elimina valores verdaderamente imposibles desde un punto de vista financiero (e.g., ROA del 500%, LEV negativo del 200%). La winsorización fue descartada porque introducía una masa artificial de valores idénticos en los extremos, lo que sesgaría los coeficientes de la regresión al crear una distribución multimodal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Winsorización (descartada)</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Eliminación IQR×3 (utilizada)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Reemplaza extremos → distorsiona distribución real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Elimina solo valores imposibles → preserva forma real</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Crea acumulación artificial en P1 y P99</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 distorsiona los percentiles intermedios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Sesga β de regresión hacia el centro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Estimadores más precisos y sin sesgo de compresión</w:t>
            </w:r>
          </w:p>
        </w:tc>
      </w:tr>
    </w:tbl>
    <w:p>
      <w:pPr>
        <w:spacing w:after="40" w:before="40"/>
      </w:pPr>
      <w:r>
        <w:rPr>
          <w:sz w:val="12"/>
          <w:szCs w:val="12"/>
        </w:rPr>
        <w:t xml:space="preserve"> </w:t>
      </w:r>
    </w:p>
    <w:p>
      <w:pPr>
        <w:pStyle w:val="Heading2"/>
        <w:spacing w:after="120" w:before="240"/>
      </w:pPr>
      <w:r>
        <w:rPr>
          <w:rFonts w:ascii="Arial" w:cs="Arial" w:eastAsia="Arial" w:hAnsi="Arial"/>
          <w:b/>
          <w:bCs/>
          <w:color w:val="0D9488"/>
          <w:sz w:val="28"/>
          <w:szCs w:val="28"/>
        </w:rPr>
        <w:t xml:space="preserve">2.2 Rentabilidad Moderada — Distribución de ROA</w:t>
      </w:r>
    </w:p>
    <w:p>
      <w:pPr>
        <w:spacing w:after="80" w:before="60"/>
      </w:pPr>
      <w:r>
        <w:rPr>
          <w:rFonts w:ascii="Arial" w:cs="Arial" w:eastAsia="Arial" w:hAnsi="Arial"/>
          <w:color w:val="0F172A"/>
          <w:sz w:val="22"/>
          <w:szCs w:val="22"/>
        </w:rPr>
        <w:t xml:space="preserve">ROA promedio 6.3% con desviación estándar σ=5.5% y asimetría positiva +1.87. Esta combinación dice mucho:</w:t>
      </w:r>
    </w:p>
    <w:p>
      <w:pPr>
        <w:pStyle w:val="ListParagraph"/>
        <w:numPr>
          <w:ilvl w:val="0"/>
          <w:numId w:val="2"/>
        </w:numPr>
        <w:spacing w:after="40" w:before="40"/>
      </w:pPr>
      <w:r>
        <w:rPr>
          <w:rFonts w:ascii="Arial" w:cs="Arial" w:eastAsia="Arial" w:hAnsi="Arial"/>
          <w:color w:val="0F172A"/>
          <w:sz w:val="22"/>
          <w:szCs w:val="22"/>
        </w:rPr>
        <w:t xml:space="preserve">CV (Coeficiente de Variación) = σ/μ = 5.5/6.3 = 87.3%: ALTÍSIMA variabilidad relativa. El ROA promedio no es representativo porque hay empresas con ROA del 30%+ y otras cercanas a cero, pero la MAYORÍA se agrupa entre 2% y 10%.</w:t>
      </w:r>
    </w:p>
    <w:p>
      <w:pPr>
        <w:pStyle w:val="ListParagraph"/>
        <w:numPr>
          <w:ilvl w:val="0"/>
          <w:numId w:val="2"/>
        </w:numPr>
        <w:spacing w:after="40" w:before="40"/>
      </w:pPr>
      <w:r>
        <w:rPr>
          <w:rFonts w:ascii="Arial" w:cs="Arial" w:eastAsia="Arial" w:hAnsi="Arial"/>
          <w:color w:val="0F172A"/>
          <w:sz w:val="22"/>
          <w:szCs w:val="22"/>
        </w:rPr>
        <w:t xml:space="preserve">Asimetría +1.87: Cola derecha larga. Unas pocas empresas muy rentables (semiconductores, tecnología) "arrastran" la media hacia arriba. La mediana está por debajo de la media.</w:t>
      </w:r>
    </w:p>
    <w:p>
      <w:pPr>
        <w:pStyle w:val="ListParagraph"/>
        <w:numPr>
          <w:ilvl w:val="0"/>
          <w:numId w:val="2"/>
        </w:numPr>
        <w:spacing w:after="40" w:before="40"/>
      </w:pPr>
      <w:r>
        <w:rPr>
          <w:rFonts w:ascii="Arial" w:cs="Arial" w:eastAsia="Arial" w:hAnsi="Arial"/>
          <w:color w:val="0F172A"/>
          <w:sz w:val="22"/>
          <w:szCs w:val="22"/>
        </w:rPr>
        <w:t xml:space="preserve">LOSS=1 en solo 4.4%: Solo 4.4% de observaciones registra pérdida neta, lo cual es coherente con el filtro de empresas cotizadas (las empresas con pérdidas estructurales son deslistadas del KOSPI/KOSDAQ).</w:t>
      </w:r>
    </w:p>
    <w:p>
      <w:pPr>
        <w:spacing w:after="60" w:before="100"/>
        <w:ind w:left="360"/>
      </w:pPr>
      <w:r>
        <w:rPr>
          <w:rFonts w:ascii="Arial" w:cs="Arial" w:eastAsia="Arial" w:hAnsi="Arial"/>
          <w:b/>
          <w:bCs/>
          <w:color w:val="0D9488"/>
          <w:sz w:val="22"/>
          <w:szCs w:val="22"/>
        </w:rPr>
        <w:t xml:space="preserve">▶ Implicación estadística: </w:t>
      </w:r>
      <w:r>
        <w:rPr>
          <w:rFonts w:ascii="Arial" w:cs="Arial" w:eastAsia="Arial" w:hAnsi="Arial"/>
          <w:color w:val="0F172A"/>
          <w:sz w:val="22"/>
          <w:szCs w:val="22"/>
        </w:rPr>
        <w:t xml:space="preserve">La distribución de ROA NO es normal (Jarque-Bera rechaza H0 con p&lt;0.001). Sin embargo, con n=12,653 el Teorema Central del Límite garantiza que los estimadores OLS son asintóticamente normales, justificando el uso de regresión lineal a pesar de la no-normalidad de Y.</w:t>
      </w:r>
    </w:p>
    <w:p>
      <w:pPr>
        <w:pStyle w:val="Heading2"/>
        <w:spacing w:after="120" w:before="240"/>
      </w:pPr>
      <w:r>
        <w:rPr>
          <w:rFonts w:ascii="Arial" w:cs="Arial" w:eastAsia="Arial" w:hAnsi="Arial"/>
          <w:b/>
          <w:bCs/>
          <w:color w:val="0D9488"/>
          <w:sz w:val="28"/>
          <w:szCs w:val="28"/>
        </w:rPr>
        <w:t xml:space="preserve">2.3 Apalancamiento Controlado — Distribución de LEV</w:t>
      </w:r>
    </w:p>
    <w:p>
      <w:pPr>
        <w:spacing w:after="80" w:before="60"/>
      </w:pPr>
      <w:r>
        <w:rPr>
          <w:rFonts w:ascii="Arial" w:cs="Arial" w:eastAsia="Arial" w:hAnsi="Arial"/>
          <w:color w:val="0F172A"/>
          <w:sz w:val="22"/>
          <w:szCs w:val="22"/>
        </w:rPr>
        <w:t xml:space="preserve">LEV promedio 32.5% con Q3≈46%. Esto revela una estructura de capital conservadora dominante en el mercado coreano: la mayoría de empresas financia menos del 50% de sus activos con deuda. Las empresas con LEV&gt;46% son las que el modelo OLS señala como las de mayor riesgo de destrucción de ROA.</w:t>
      </w:r>
    </w:p>
    <w:p>
      <w:pPr>
        <w:spacing w:after="80" w:before="60"/>
      </w:pPr>
      <w:r>
        <w:rPr>
          <w:rFonts w:ascii="Arial" w:cs="Arial" w:eastAsia="Arial" w:hAnsi="Arial"/>
          <w:color w:val="0F172A"/>
          <w:sz w:val="22"/>
          <w:szCs w:val="22"/>
        </w:rPr>
        <w:t xml:space="preserve">El concepto financiero subyacente es el trade-off entre el escudo fiscal de la deuda (el pago de intereses es deducible) y los costos de distress financiero. El coeficiente β_LEV=−0.055 indica que el mercado coreano ya ha cruzado el punto óptimo de apalancamiento en promedio, siendo la deuda adicional destructora neta de rentabilidad.</w:t>
      </w:r>
    </w:p>
    <w:p>
      <w:pPr>
        <w:pStyle w:val="Heading2"/>
        <w:spacing w:after="120" w:before="240"/>
      </w:pPr>
      <w:r>
        <w:rPr>
          <w:rFonts w:ascii="Arial" w:cs="Arial" w:eastAsia="Arial" w:hAnsi="Arial"/>
          <w:b/>
          <w:bCs/>
          <w:color w:val="0D9488"/>
          <w:sz w:val="28"/>
          <w:szCs w:val="28"/>
        </w:rPr>
        <w:t xml:space="preserve">2.4 Calidad de Reporte — Estructura del Mercado</w:t>
      </w:r>
    </w:p>
    <w:p>
      <w:pPr>
        <w:spacing w:after="80" w:before="60"/>
      </w:pPr>
      <w:r>
        <w:rPr>
          <w:rFonts w:ascii="Arial" w:cs="Arial" w:eastAsia="Arial" w:hAnsi="Arial"/>
          <w:color w:val="0F172A"/>
          <w:sz w:val="22"/>
          <w:szCs w:val="22"/>
        </w:rPr>
        <w:t xml:space="preserve">43.6% de observaciones proviene de empresas KOSPI (grandes capitalizaciones). El 48.9% está auditado por una firma Big4 (Deloitte, PwC, EY, KPMG en sus firmas asociadas coreanas). Esta elevada proporción de Big4 es metodológicamente importante:</w:t>
      </w:r>
    </w:p>
    <w:p>
      <w:pPr>
        <w:pStyle w:val="ListParagraph"/>
        <w:numPr>
          <w:ilvl w:val="0"/>
          <w:numId w:val="2"/>
        </w:numPr>
        <w:spacing w:after="40" w:before="40"/>
      </w:pPr>
      <w:r>
        <w:rPr>
          <w:rFonts w:ascii="Arial" w:cs="Arial" w:eastAsia="Arial" w:hAnsi="Arial"/>
          <w:color w:val="0F172A"/>
          <w:sz w:val="22"/>
          <w:szCs w:val="22"/>
        </w:rPr>
        <w:t xml:space="preserve">Las empresas auditadas por Big4 tienen menor manipulación de ganancias (accruals management), lo que hace que el ROA reportado sea más cercano al ROA económico real.</w:t>
      </w:r>
    </w:p>
    <w:p>
      <w:pPr>
        <w:pStyle w:val="ListParagraph"/>
        <w:numPr>
          <w:ilvl w:val="0"/>
          <w:numId w:val="2"/>
        </w:numPr>
        <w:spacing w:after="40" w:before="40"/>
      </w:pPr>
      <w:r>
        <w:rPr>
          <w:rFonts w:ascii="Arial" w:cs="Arial" w:eastAsia="Arial" w:hAnsi="Arial"/>
          <w:color w:val="0F172A"/>
          <w:sz w:val="22"/>
          <w:szCs w:val="22"/>
        </w:rPr>
        <w:t xml:space="preserve">La heterogeneidad en tipo de auditor permite estudiar efectos de calidad de auditoría en el modelo, aunque este análisis no se incluye en la presentación actual.</w:t>
      </w:r>
    </w:p>
    <w:p>
      <w:pPr>
        <w:pStyle w:val="Heading2"/>
        <w:spacing w:after="120" w:before="240"/>
      </w:pPr>
      <w:r>
        <w:rPr>
          <w:rFonts w:ascii="Arial" w:cs="Arial" w:eastAsia="Arial" w:hAnsi="Arial"/>
          <w:b/>
          <w:bCs/>
          <w:color w:val="0D9488"/>
          <w:sz w:val="28"/>
          <w:szCs w:val="28"/>
        </w:rPr>
        <w:t xml:space="preserve">2.5 CFO como Driver Principal — La Correlación más Importante</w:t>
      </w:r>
    </w:p>
    <w:p>
      <w:pPr>
        <w:spacing w:after="80" w:before="60"/>
      </w:pPr>
      <w:r>
        <w:rPr>
          <w:rFonts w:ascii="Arial" w:cs="Arial" w:eastAsia="Arial" w:hAnsi="Arial"/>
          <w:color w:val="0F172A"/>
          <w:sz w:val="22"/>
          <w:szCs w:val="22"/>
        </w:rPr>
        <w:t xml:space="preserve">La correlación Spearman de 0.48 entre CFO y ROA es la mayor correlación entre cualquier predictor y la variable objetivo. Esto tiene profunda lógica financiera:</w:t>
      </w:r>
    </w:p>
    <w:p>
      <w:pPr>
        <w:spacing w:after="80" w:before="60"/>
      </w:pPr>
      <w:r>
        <w:rPr>
          <w:rFonts w:ascii="Arial" w:cs="Arial" w:eastAsia="Arial" w:hAnsi="Arial"/>
          <w:color w:val="0F172A"/>
          <w:sz w:val="22"/>
          <w:szCs w:val="22"/>
        </w:rPr>
        <w:t xml:space="preserve">ROA = Beneficio Neto / Activos. CFO = Flujo de Caja Operativo / Activos. Ambos miden la eficiencia del negocio operativo, pero el CFO es más "duro" (harder): no puede ser manipulado mediante accruals contables (periodificaciones). Una empresa puede reportar ROA alto mediante accruals agresivos (reconociendo ingresos antes de cobrarlos) pero el CFO expone la realidad del efectivo generado. El coeficiente β_CFO=+0.333*** (el mayor en valor absoluto del modelo OLS) confirma que el efectivo operativo es el motor primario de la rentabilidad contable.</w:t>
      </w:r>
    </w:p>
    <w:p>
      <w:pPr>
        <w:spacing w:after="60" w:before="100"/>
        <w:ind w:left="360"/>
      </w:pPr>
      <w:r>
        <w:rPr>
          <w:rFonts w:ascii="Arial" w:cs="Arial" w:eastAsia="Arial" w:hAnsi="Arial"/>
          <w:b/>
          <w:bCs/>
          <w:color w:val="0D9488"/>
          <w:sz w:val="22"/>
          <w:szCs w:val="22"/>
        </w:rPr>
        <w:t xml:space="preserve">▶ Regla práctica para inversores: </w:t>
      </w:r>
      <w:r>
        <w:rPr>
          <w:rFonts w:ascii="Arial" w:cs="Arial" w:eastAsia="Arial" w:hAnsi="Arial"/>
          <w:color w:val="0F172A"/>
          <w:sz w:val="22"/>
          <w:szCs w:val="22"/>
        </w:rPr>
        <w:t xml:space="preserve">Empresas con ROA alto pero CFO bajo son señal de alerta de manipulación contable o problemas de cobro. El análisis KoTaP valida cuantitativamente esta intuición financiera.</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3. Diapositivas 3 y 4 — Estadística Descriptiva: Variables Financieras y ROA</w:t>
      </w:r>
    </w:p>
    <w:p>
      <w:pPr>
        <w:spacing w:after="80" w:before="60"/>
      </w:pPr>
      <w:r>
        <w:rPr>
          <w:rFonts w:ascii="Arial" w:cs="Arial" w:eastAsia="Arial" w:hAnsi="Arial"/>
          <w:color w:val="0F172A"/>
          <w:sz w:val="22"/>
          <w:szCs w:val="22"/>
        </w:rPr>
        <w:t xml:space="preserve">Estas dos diapositivas presentan los paneles descriptivos generados por la Sección 2 del código R. Cada variable se visualiza con tres gráficos complementarios: histograma con separación ganancia/pérdida, boxplot con muescas, y QQ-plot.</w:t>
      </w:r>
    </w:p>
    <w:p>
      <w:pPr>
        <w:pStyle w:val="Heading2"/>
        <w:spacing w:after="120" w:before="240"/>
      </w:pPr>
      <w:r>
        <w:rPr>
          <w:rFonts w:ascii="Arial" w:cs="Arial" w:eastAsia="Arial" w:hAnsi="Arial"/>
          <w:b/>
          <w:bCs/>
          <w:color w:val="0D9488"/>
          <w:sz w:val="28"/>
          <w:szCs w:val="28"/>
        </w:rPr>
        <w:t xml:space="preserve">3.1 El Panel de Tres Gráficos por Variable</w:t>
      </w:r>
    </w:p>
    <w:p>
      <w:pPr>
        <w:pStyle w:val="Heading3"/>
        <w:spacing w:after="80" w:before="180"/>
      </w:pPr>
      <w:r>
        <w:rPr>
          <w:rFonts w:ascii="Arial" w:cs="Arial" w:eastAsia="Arial" w:hAnsi="Arial"/>
          <w:b/>
          <w:bCs/>
          <w:color w:val="0F172A"/>
          <w:sz w:val="24"/>
          <w:szCs w:val="24"/>
        </w:rPr>
        <w:t xml:space="preserve">A) Histograma con boundary=0</w:t>
      </w:r>
    </w:p>
    <w:p>
      <w:pPr>
        <w:spacing w:after="80" w:before="60"/>
      </w:pPr>
      <w:r>
        <w:rPr>
          <w:rFonts w:ascii="Arial" w:cs="Arial" w:eastAsia="Arial" w:hAnsi="Arial"/>
          <w:color w:val="0F172A"/>
          <w:sz w:val="22"/>
          <w:szCs w:val="22"/>
        </w:rPr>
        <w:t xml:space="preserve">La decisión técnica de fijar boundary=0 en los bins del histograma garantiza que ningún bin cruce el valor cero. Esto permite colorear EXACTAMENTE las barras en verde (valores ≥0) y rojo (valores &lt;0) sin mezcla. El código R incluye dos líneas verticales:</w:t>
      </w:r>
    </w:p>
    <w:p>
      <w:pPr>
        <w:pStyle w:val="ListParagraph"/>
        <w:numPr>
          <w:ilvl w:val="0"/>
          <w:numId w:val="2"/>
        </w:numPr>
        <w:spacing w:after="40" w:before="40"/>
      </w:pPr>
      <w:r>
        <w:rPr>
          <w:rFonts w:ascii="Arial" w:cs="Arial" w:eastAsia="Arial" w:hAnsi="Arial"/>
          <w:color w:val="0F172A"/>
          <w:sz w:val="22"/>
          <w:szCs w:val="22"/>
        </w:rPr>
        <w:t xml:space="preserve">Línea ámbar discontinua = Media aritmética</w:t>
      </w:r>
    </w:p>
    <w:p>
      <w:pPr>
        <w:pStyle w:val="ListParagraph"/>
        <w:numPr>
          <w:ilvl w:val="0"/>
          <w:numId w:val="2"/>
        </w:numPr>
        <w:spacing w:after="40" w:before="40"/>
      </w:pPr>
      <w:r>
        <w:rPr>
          <w:rFonts w:ascii="Arial" w:cs="Arial" w:eastAsia="Arial" w:hAnsi="Arial"/>
          <w:color w:val="0F172A"/>
          <w:sz w:val="22"/>
          <w:szCs w:val="22"/>
        </w:rPr>
        <w:t xml:space="preserve">Línea azul oscura punteada = Mediana</w:t>
      </w:r>
    </w:p>
    <w:p>
      <w:pPr>
        <w:spacing w:after="80" w:before="60"/>
      </w:pPr>
      <w:r>
        <w:rPr>
          <w:rFonts w:ascii="Arial" w:cs="Arial" w:eastAsia="Arial" w:hAnsi="Arial"/>
          <w:color w:val="0F172A"/>
          <w:sz w:val="22"/>
          <w:szCs w:val="22"/>
        </w:rPr>
        <w:t xml:space="preserve">Cuando la media &gt; mediana (lo que ocurre con ROA por su asimetría positiva), la diferencia visual entre ambas líneas comunica inmediatamente la presencia de outliers positivos que "jalan" la media hacia arriba.</w:t>
      </w:r>
    </w:p>
    <w:p>
      <w:pPr>
        <w:pStyle w:val="Heading3"/>
        <w:spacing w:after="80" w:before="180"/>
      </w:pPr>
      <w:r>
        <w:rPr>
          <w:rFonts w:ascii="Arial" w:cs="Arial" w:eastAsia="Arial" w:hAnsi="Arial"/>
          <w:b/>
          <w:bCs/>
          <w:color w:val="0F172A"/>
          <w:sz w:val="24"/>
          <w:szCs w:val="24"/>
        </w:rPr>
        <w:t xml:space="preserve">B) Boxplot con Muescas (Notched Boxplot)</w:t>
      </w:r>
    </w:p>
    <w:p>
      <w:pPr>
        <w:spacing w:after="80" w:before="60"/>
      </w:pPr>
      <w:r>
        <w:rPr>
          <w:rFonts w:ascii="Arial" w:cs="Arial" w:eastAsia="Arial" w:hAnsi="Arial"/>
          <w:color w:val="0F172A"/>
          <w:sz w:val="22"/>
          <w:szCs w:val="22"/>
        </w:rPr>
        <w:t xml:space="preserve">El boxplot estándar muestra: mínimo/máximo (bigotes), Q1 (primer cuartil, 25%), Q2=mediana (50%), Q3 (tercer cuartil, 75%). La versión con muescas añade un elemento crucial:</w:t>
      </w:r>
    </w:p>
    <w:p>
      <w:pPr>
        <w:shd w:fill="F8FAFC" w:val="clear"/>
        <w:spacing w:after="40" w:before="40"/>
        <w:ind w:left="720"/>
      </w:pPr>
      <w:r>
        <w:rPr>
          <w:rFonts w:ascii="Courier New" w:cs="Courier New" w:eastAsia="Courier New" w:hAnsi="Courier New"/>
          <w:color w:val="1E3A5F"/>
          <w:sz w:val="18"/>
          <w:szCs w:val="18"/>
        </w:rPr>
        <w:t xml:space="preserve">Semi-amplitud de muesca = 1.58 × IQR / √n</w:t>
      </w:r>
    </w:p>
    <w:p>
      <w:pPr>
        <w:spacing w:after="80" w:before="60"/>
      </w:pPr>
      <w:r>
        <w:rPr>
          <w:rFonts w:ascii="Arial" w:cs="Arial" w:eastAsia="Arial" w:hAnsi="Arial"/>
          <w:color w:val="0F172A"/>
          <w:sz w:val="22"/>
          <w:szCs w:val="22"/>
        </w:rPr>
        <w:t xml:space="preserve">Las muescas forman un Intervalo de Confianza al 95% para la MEDIANA (no para la media). Regla de decisión: si las muescas de dos boxplots NO se solapan, las medianas son estadísticamente diferentes al nivel de confianza del 95%. Esta es la interpretación que se usa explícitamente en los gráficos de perfil por cluster de K-Means.</w:t>
      </w:r>
    </w:p>
    <w:p>
      <w:pPr>
        <w:pStyle w:val="Heading3"/>
        <w:spacing w:after="80" w:before="180"/>
      </w:pPr>
      <w:r>
        <w:rPr>
          <w:rFonts w:ascii="Arial" w:cs="Arial" w:eastAsia="Arial" w:hAnsi="Arial"/>
          <w:b/>
          <w:bCs/>
          <w:color w:val="0F172A"/>
          <w:sz w:val="24"/>
          <w:szCs w:val="24"/>
        </w:rPr>
        <w:t xml:space="preserve">C) QQ-Plot (Quantile-Quantile Plot)</w:t>
      </w:r>
    </w:p>
    <w:p>
      <w:pPr>
        <w:spacing w:after="80" w:before="60"/>
      </w:pPr>
      <w:r>
        <w:rPr>
          <w:rFonts w:ascii="Arial" w:cs="Arial" w:eastAsia="Arial" w:hAnsi="Arial"/>
          <w:color w:val="0F172A"/>
          <w:sz w:val="22"/>
          <w:szCs w:val="22"/>
        </w:rPr>
        <w:t xml:space="preserve">El QQ-plot enfrenta los cuantiles muestrales observados contra los cuantiles teóricos de una distribución Normal N(0,1). La interpretación es visual:</w:t>
      </w:r>
    </w:p>
    <w:p>
      <w:pPr>
        <w:pStyle w:val="ListParagraph"/>
        <w:numPr>
          <w:ilvl w:val="0"/>
          <w:numId w:val="2"/>
        </w:numPr>
        <w:spacing w:after="40" w:before="40"/>
      </w:pPr>
      <w:r>
        <w:rPr>
          <w:rFonts w:ascii="Arial" w:cs="Arial" w:eastAsia="Arial" w:hAnsi="Arial"/>
          <w:color w:val="0F172A"/>
          <w:sz w:val="22"/>
          <w:szCs w:val="22"/>
        </w:rPr>
        <w:t xml:space="preserve">Puntos sobre la línea roja diagonal → distribución normal</w:t>
      </w:r>
    </w:p>
    <w:p>
      <w:pPr>
        <w:pStyle w:val="ListParagraph"/>
        <w:numPr>
          <w:ilvl w:val="0"/>
          <w:numId w:val="2"/>
        </w:numPr>
        <w:spacing w:after="40" w:before="40"/>
      </w:pPr>
      <w:r>
        <w:rPr>
          <w:rFonts w:ascii="Arial" w:cs="Arial" w:eastAsia="Arial" w:hAnsi="Arial"/>
          <w:color w:val="0F172A"/>
          <w:sz w:val="22"/>
          <w:szCs w:val="22"/>
        </w:rPr>
        <w:t xml:space="preserve">Cola derecha elevada → distribución con cola derecha pesada (asimetría positiva)</w:t>
      </w:r>
    </w:p>
    <w:p>
      <w:pPr>
        <w:pStyle w:val="ListParagraph"/>
        <w:numPr>
          <w:ilvl w:val="0"/>
          <w:numId w:val="2"/>
        </w:numPr>
        <w:spacing w:after="40" w:before="40"/>
      </w:pPr>
      <w:r>
        <w:rPr>
          <w:rFonts w:ascii="Arial" w:cs="Arial" w:eastAsia="Arial" w:hAnsi="Arial"/>
          <w:color w:val="0F172A"/>
          <w:sz w:val="22"/>
          <w:szCs w:val="22"/>
        </w:rPr>
        <w:t xml:space="preserve">Cola izquierda baja → distribución con cola izquierda pesada</w:t>
      </w:r>
    </w:p>
    <w:p>
      <w:pPr>
        <w:pStyle w:val="ListParagraph"/>
        <w:numPr>
          <w:ilvl w:val="0"/>
          <w:numId w:val="2"/>
        </w:numPr>
        <w:spacing w:after="40" w:before="40"/>
      </w:pPr>
      <w:r>
        <w:rPr>
          <w:rFonts w:ascii="Arial" w:cs="Arial" w:eastAsia="Arial" w:hAnsi="Arial"/>
          <w:color w:val="0F172A"/>
          <w:sz w:val="22"/>
          <w:szCs w:val="22"/>
        </w:rPr>
        <w:t xml:space="preserve">Forma en "S" → distribución con colas más livianas que la normal (platicúrtica)</w:t>
      </w:r>
    </w:p>
    <w:p>
      <w:pPr>
        <w:spacing w:after="80" w:before="60"/>
      </w:pPr>
      <w:r>
        <w:rPr>
          <w:rFonts w:ascii="Arial" w:cs="Arial" w:eastAsia="Arial" w:hAnsi="Arial"/>
          <w:color w:val="0F172A"/>
          <w:sz w:val="22"/>
          <w:szCs w:val="22"/>
        </w:rPr>
        <w:t xml:space="preserve">El coeficiente r reportado es la correlación entre los cuantiles observados y los teóricos. Un r&gt;0.99 indica muy buena aproximación normal; r&lt;0.97 sugiere desviaciones importantes que el analista debe considerar.</w:t>
      </w:r>
    </w:p>
    <w:p>
      <w:pPr>
        <w:pStyle w:val="Heading2"/>
        <w:spacing w:after="120" w:before="240"/>
      </w:pPr>
      <w:r>
        <w:rPr>
          <w:rFonts w:ascii="Arial" w:cs="Arial" w:eastAsia="Arial" w:hAnsi="Arial"/>
          <w:b/>
          <w:bCs/>
          <w:color w:val="0D9488"/>
          <w:sz w:val="28"/>
          <w:szCs w:val="28"/>
        </w:rPr>
        <w:t xml:space="preserve">3.2 Las Estadísticas Reportadas y su Significado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Estadístico</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Fórmula</w:t>
            </w:r>
          </w:p>
        </w:tc>
        <w:tc>
          <w:tcPr>
            <w:tcW w:type="dxa" w:w="54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Interpretación para datos financieros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Media (μ)</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Σxᵢ/n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Rentabilidad promedio de la muestra. Sensible a outliers. Útil para benchmarking si la distribución es aproximadamente simétrica.</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Mediana</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x₍ₙ₊₁₎/₂</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Rentabilidad típica. Robusta a outliers. En finanzas, suele ser más representativa que la media por la presencia de empresas con ratios extremos.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Desv. Est. (σ)</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√[Σ(xᵢ-μ)²/n]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Dispersión absoluta. Mide riesgo en términos de volatilidad de la rentabilidad.</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CV (%)</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(σ/|μ|)×100</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Dispersión relativa. Fundamental para comparar riesgo entre variables con escalas distintas (e.g., ROA en % vs SIZE en ln-millones).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Asimetría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μ₃/σ³</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+1.87 para ROA: distribución con cola derecha. Pocas empresas altamente rentables elevan la media. |Asim|&gt;1 invalida la media como medida central.</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Curtosis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μ₄/σ⁴−3</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Kurtosis en exceso respecto a la normal. &gt;0 (leptocúrtica): más valores extremos de lo esperado, mayor riesgo de pérdidas/ganancias inesperadas. Crítico para modelos de riesgo.</w:t>
            </w:r>
          </w:p>
        </w:tc>
      </w:tr>
    </w:tbl>
    <w:p>
      <w:pPr>
        <w:pStyle w:val="Heading2"/>
        <w:spacing w:after="120" w:before="240"/>
      </w:pPr>
      <w:r>
        <w:rPr>
          <w:rFonts w:ascii="Arial" w:cs="Arial" w:eastAsia="Arial" w:hAnsi="Arial"/>
          <w:b/>
          <w:bCs/>
          <w:color w:val="0D9488"/>
          <w:sz w:val="28"/>
          <w:szCs w:val="28"/>
        </w:rPr>
        <w:t xml:space="preserve">3.3 Diapositiva 4: El ROA en Detalle — La Variable Objetivo</w:t>
      </w:r>
    </w:p>
    <w:p>
      <w:pPr>
        <w:spacing w:after="80" w:before="60"/>
      </w:pPr>
      <w:r>
        <w:rPr>
          <w:rFonts w:ascii="Arial" w:cs="Arial" w:eastAsia="Arial" w:hAnsi="Arial"/>
          <w:color w:val="0F172A"/>
          <w:sz w:val="22"/>
          <w:szCs w:val="22"/>
        </w:rPr>
        <w:t xml:space="preserve">La diapositiva 4 dedica una pantalla completa al ROA porque es la variable que todo el análisis busca explicar y predecir. Los hallazgos específicos:</w:t>
      </w:r>
    </w:p>
    <w:p>
      <w:pPr>
        <w:pStyle w:val="ListParagraph"/>
        <w:numPr>
          <w:ilvl w:val="0"/>
          <w:numId w:val="2"/>
        </w:numPr>
        <w:spacing w:after="40" w:before="40"/>
      </w:pPr>
      <w:r>
        <w:rPr>
          <w:rFonts w:ascii="Arial" w:cs="Arial" w:eastAsia="Arial" w:hAnsi="Arial"/>
          <w:color w:val="0F172A"/>
          <w:sz w:val="22"/>
          <w:szCs w:val="22"/>
        </w:rPr>
        <w:t xml:space="preserve">Distribución bimodal débil: la mayoría de empresas se agrupa entre 2-8% ROA, con una cola larga hacia la derecha por empresas tecnológicas/semiconductores.</w:t>
      </w:r>
    </w:p>
    <w:p>
      <w:pPr>
        <w:pStyle w:val="ListParagraph"/>
        <w:numPr>
          <w:ilvl w:val="0"/>
          <w:numId w:val="2"/>
        </w:numPr>
        <w:spacing w:after="40" w:before="40"/>
      </w:pPr>
      <w:r>
        <w:rPr>
          <w:rFonts w:ascii="Arial" w:cs="Arial" w:eastAsia="Arial" w:hAnsi="Arial"/>
          <w:color w:val="0F172A"/>
          <w:sz w:val="22"/>
          <w:szCs w:val="22"/>
        </w:rPr>
        <w:t xml:space="preserve">4.4% con ROA&lt;0 (LOSS=1): tras la limpieza IQR×3, el porcentaje de pérdidas es bajo, indicando que el dataset representa principalmente empresas viables y cotizadas.</w:t>
      </w:r>
    </w:p>
    <w:p>
      <w:pPr>
        <w:pStyle w:val="ListParagraph"/>
        <w:numPr>
          <w:ilvl w:val="0"/>
          <w:numId w:val="2"/>
        </w:numPr>
        <w:spacing w:after="40" w:before="40"/>
      </w:pPr>
      <w:r>
        <w:rPr>
          <w:rFonts w:ascii="Arial" w:cs="Arial" w:eastAsia="Arial" w:hAnsi="Arial"/>
          <w:color w:val="0F172A"/>
          <w:sz w:val="22"/>
          <w:szCs w:val="22"/>
        </w:rPr>
        <w:t xml:space="preserve">Asimetría +1.87 y curtosis elevada: confirman que la distribución NO es normal y que usar la media sin la mediana para comparaciones es engañoso.</w:t>
      </w:r>
    </w:p>
    <w:p>
      <w:pPr>
        <w:pStyle w:val="ListParagraph"/>
        <w:numPr>
          <w:ilvl w:val="0"/>
          <w:numId w:val="2"/>
        </w:numPr>
        <w:spacing w:after="40" w:before="40"/>
      </w:pPr>
      <w:r>
        <w:rPr>
          <w:rFonts w:ascii="Arial" w:cs="Arial" w:eastAsia="Arial" w:hAnsi="Arial"/>
          <w:color w:val="0F172A"/>
          <w:sz w:val="22"/>
          <w:szCs w:val="22"/>
        </w:rPr>
        <w:t xml:space="preserve">El QQ-plot mostrará desviaciones en ambas colas, especialmente la derecha por empresas extraordinariamente rentables (Samsung Electronics, SK Hynix en años de superciclo de chips).</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4. Diapositiva 5 — Análisis Multivariado: Matriz de Correlación Spearman</w:t>
      </w:r>
    </w:p>
    <w:p>
      <w:pPr>
        <w:spacing w:after="80" w:before="60"/>
      </w:pPr>
      <w:r>
        <w:rPr>
          <w:rFonts w:ascii="Arial" w:cs="Arial" w:eastAsia="Arial" w:hAnsi="Arial"/>
          <w:color w:val="0F172A"/>
          <w:sz w:val="22"/>
          <w:szCs w:val="22"/>
        </w:rPr>
        <w:t xml:space="preserve">Esta diapositiva es el núcleo del análisis exploratorio multivariado. La elección de Spearman sobre Pearson no es arbitraria y merece explicación profunda.</w:t>
      </w:r>
    </w:p>
    <w:p>
      <w:pPr>
        <w:pStyle w:val="Heading2"/>
        <w:spacing w:after="120" w:before="240"/>
      </w:pPr>
      <w:r>
        <w:rPr>
          <w:rFonts w:ascii="Arial" w:cs="Arial" w:eastAsia="Arial" w:hAnsi="Arial"/>
          <w:b/>
          <w:bCs/>
          <w:color w:val="0D9488"/>
          <w:sz w:val="28"/>
          <w:szCs w:val="28"/>
        </w:rPr>
        <w:t xml:space="preserve">4.1 ¿Por qué Spearman y no Pearson?</w:t>
      </w:r>
    </w:p>
    <w:p>
      <w:pPr>
        <w:spacing w:after="80" w:before="60"/>
      </w:pPr>
      <w:r>
        <w:rPr>
          <w:rFonts w:ascii="Arial" w:cs="Arial" w:eastAsia="Arial" w:hAnsi="Arial"/>
          <w:color w:val="0F172A"/>
          <w:sz w:val="22"/>
          <w:szCs w:val="22"/>
        </w:rPr>
        <w:t xml:space="preserve">La correlación de Pearson mide la asociación LINEAL entre dos variables bajo el supuesto de que ambas siguen distribuciones aproximadamente normales. La correlación de Spearman mide la asociación MONÓTONA (no necesariamente lineal) entre los RANGOS de las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Correlación de Pearson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Correlación de Spearman (elegida)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 = Cov(X,Y)/(σₓ·σᵧ)</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ρ = 1 − 6Σdᵢ²/[n(n²−1)]  donde dᵢ = rango(Xᵢ)−rango(Yᵢ)</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Sensible a outliers: un solo punto puede mover r 0.3 puntos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Robusta: los rangos "comprimen" los extremos, outliers no distorsionan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Supone normalidad bivariada (incumplida en finanzas)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 supone distribución: solo requiere variables ordinales o continuas</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Solo detecta relaciones lineales: si la relación es curvilínea, subestima la asociación</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Detecta cualquier relación monótona: captura tendencias aunque la relación no sea lineal</w:t>
            </w:r>
          </w:p>
        </w:tc>
      </w:tr>
    </w:tbl>
    <w:p>
      <w:pPr>
        <w:pStyle w:val="Heading2"/>
        <w:spacing w:after="120" w:before="240"/>
      </w:pPr>
      <w:r>
        <w:rPr>
          <w:rFonts w:ascii="Arial" w:cs="Arial" w:eastAsia="Arial" w:hAnsi="Arial"/>
          <w:b/>
          <w:bCs/>
          <w:color w:val="0D9488"/>
          <w:sz w:val="28"/>
          <w:szCs w:val="28"/>
        </w:rPr>
        <w:t xml:space="preserve">4.2 Lectura del Mapa de Calor (Triángulo Inferior)</w:t>
      </w:r>
    </w:p>
    <w:p>
      <w:pPr>
        <w:spacing w:after="80" w:before="60"/>
      </w:pPr>
      <w:r>
        <w:rPr>
          <w:rFonts w:ascii="Arial" w:cs="Arial" w:eastAsia="Arial" w:hAnsi="Arial"/>
          <w:color w:val="0F172A"/>
          <w:sz w:val="22"/>
          <w:szCs w:val="22"/>
        </w:rPr>
        <w:t xml:space="preserve">La visualización muestra solo el triángulo inferior de la matriz (elimina la diagonal y el triángulo superior redundante). El código R aplica un truco técnico para que el heatmap esté "anclado" correctamente: ajusta los factores para que no queden casillas flotantes en las esquinas.</w:t>
      </w:r>
    </w:p>
    <w:p>
      <w:pPr>
        <w:spacing w:after="80" w:before="60"/>
      </w:pPr>
      <w:r>
        <w:rPr>
          <w:rFonts w:ascii="Arial" w:cs="Arial" w:eastAsia="Arial" w:hAnsi="Arial"/>
          <w:color w:val="0F172A"/>
          <w:sz w:val="22"/>
          <w:szCs w:val="22"/>
        </w:rPr>
        <w:t xml:space="preserve">La escala de color va de azul oscuro (−1, asociación negativa perfecta) a blanco (0, sin asociación) a rojo oscuro (+1, asociación positiva perfecta). Los valores importantes:</w:t>
      </w:r>
    </w:p>
    <w:p>
      <w:pPr>
        <w:pStyle w:val="Heading3"/>
        <w:spacing w:after="80" w:before="180"/>
      </w:pPr>
      <w:r>
        <w:rPr>
          <w:rFonts w:ascii="Arial" w:cs="Arial" w:eastAsia="Arial" w:hAnsi="Arial"/>
          <w:b/>
          <w:bCs/>
          <w:color w:val="0F172A"/>
          <w:sz w:val="24"/>
          <w:szCs w:val="24"/>
        </w:rPr>
        <w:t xml:space="preserve">Correlaciones Críticas con ROA (variable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Par</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ρ Spearman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Dirección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Interpretación Financiera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ROE – ROA</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+0.94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Positiva fuerte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Multicolinealidad severa: ambas miden rentabilidad. ROE se excluye del OLS para evitar inflación de varianza (VIF&gt;&gt;10).</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CFO – ROA</w:t>
            </w:r>
          </w:p>
        </w:tc>
        <w:tc>
          <w:tcPr>
            <w:tcW w:type="dxa" w:w="2340"/>
            <w:tcBorders>
              <w:top w:val="single" w:color="CCCCCC" w:sz="1"/>
              <w:left w:val="single" w:color="CCCCCC" w:sz="1"/>
              <w:bottom w:val="single" w:color="CCCCCC" w:sz="1"/>
              <w:right w:val="single" w:color="CCCCCC" w:sz="1"/>
            </w:tcBorders>
            <w:shd w:fill="0D9488"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+0.47</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Positiva moderada-alta</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El efectivo operativo es el motor de la rentabilidad contable. Relación causal: caja genera ganancias.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MB – ROA</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+0.32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Positiva moderada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El mercado premia las empresas rentables con mayores valoraciones. Es una relación bidireccional (endogeneidad potencial).</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TQ – ROA</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+0.31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Positiva moderada</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Tobin's Q alto (activos intangibles valiosos) coincide con mayor ROA. Tecnología y farma son ejemplos.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LEV – ROA</w:t>
            </w:r>
          </w:p>
        </w:tc>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−0.23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Negativa débil-moderada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La deuda reduce la rentabilidad neta vía costos financieros. Efecto no demasiado fuerte porque LEV moderado puede ser neutro.</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SIZE – ROA</w:t>
            </w:r>
          </w:p>
        </w:tc>
        <w:tc>
          <w:tcPr>
            <w:tcW w:type="dxa" w:w="2340"/>
            <w:tcBorders>
              <w:top w:val="single" w:color="CCCCCC" w:sz="1"/>
              <w:left w:val="single" w:color="CCCCCC" w:sz="1"/>
              <w:bottom w:val="single" w:color="CCCCCC" w:sz="1"/>
              <w:right w:val="single" w:color="CCCCCC" w:sz="1"/>
            </w:tcBorders>
            <w:shd w:fill="1D4E8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−0.14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Negativa débil</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Las empresas más grandes son MENOS rentables en términos de ROA: deseconomías de escala, mayor burocracia y márgenes más comprimidos.</w:t>
            </w:r>
          </w:p>
        </w:tc>
      </w:tr>
    </w:tbl>
    <w:p>
      <w:pPr>
        <w:pStyle w:val="Heading3"/>
        <w:spacing w:after="80" w:before="180"/>
      </w:pPr>
      <w:r>
        <w:rPr>
          <w:rFonts w:ascii="Arial" w:cs="Arial" w:eastAsia="Arial" w:hAnsi="Arial"/>
          <w:b/>
          <w:bCs/>
          <w:color w:val="0F172A"/>
          <w:sz w:val="24"/>
          <w:szCs w:val="24"/>
        </w:rPr>
        <w:t xml:space="preserve">La Correlación MB–TQ: +0.98 — Multicolinealidad Extrema</w:t>
      </w:r>
    </w:p>
    <w:p>
      <w:pPr>
        <w:spacing w:after="80" w:before="60"/>
      </w:pPr>
      <w:r>
        <w:rPr>
          <w:rFonts w:ascii="Arial" w:cs="Arial" w:eastAsia="Arial" w:hAnsi="Arial"/>
          <w:color w:val="0F172A"/>
          <w:sz w:val="22"/>
          <w:szCs w:val="22"/>
        </w:rPr>
        <w:t xml:space="preserve">Market-to-Book y Tobin's Q están definidos conceptualmente de forma casi idéntica (ambos miden la relación entre valor de mercado y valor contable de los activos). Una correlación de +0.98 en datos reales con 12,653 observaciones no es ruido: es evidencia de que miden esencialmente el mismo constructo. Por eso se excluyen del mismo modelo OLS: incluir ambas inflaría artificialmente el VIF y haría inestables los coeficientes.</w:t>
      </w:r>
    </w:p>
    <w:p>
      <w:pPr>
        <w:spacing w:after="60" w:before="100"/>
        <w:ind w:left="360"/>
      </w:pPr>
      <w:r>
        <w:rPr>
          <w:rFonts w:ascii="Arial" w:cs="Arial" w:eastAsia="Arial" w:hAnsi="Arial"/>
          <w:b/>
          <w:bCs/>
          <w:color w:val="0D9488"/>
          <w:sz w:val="22"/>
          <w:szCs w:val="22"/>
        </w:rPr>
        <w:t xml:space="preserve">▶ Regla práctica sobre multicolinealidad: </w:t>
      </w:r>
      <w:r>
        <w:rPr>
          <w:rFonts w:ascii="Arial" w:cs="Arial" w:eastAsia="Arial" w:hAnsi="Arial"/>
          <w:color w:val="0F172A"/>
          <w:sz w:val="22"/>
          <w:szCs w:val="22"/>
        </w:rPr>
        <w:t xml:space="preserve">Si ρ Spearman &gt; 0.85 entre dos predictores, uno de ellos debe excluirse del modelo OLS o bien se usa PCA para crear componentes ortogonales (sin correlación). KoTaP usa ambas estrategias: exclusión de ROE y MB del OLS, y PCA para el clustering.</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5. Diapositivas 6 y 7 — PCA: Reducción de Dimensionalidad</w:t>
      </w:r>
    </w:p>
    <w:p>
      <w:pPr>
        <w:spacing w:after="80" w:before="60"/>
      </w:pPr>
      <w:r>
        <w:rPr>
          <w:rFonts w:ascii="Arial" w:cs="Arial" w:eastAsia="Arial" w:hAnsi="Arial"/>
          <w:color w:val="0F172A"/>
          <w:sz w:val="22"/>
          <w:szCs w:val="22"/>
        </w:rPr>
        <w:t xml:space="preserve">El Análisis de Componentes Principales (PCA, por sus siglas en inglés) es la técnica de reducción de dimensionalidad más utilizada en ciencia de datos y finanzas cuantitativas. Antes de interpretar los resultados es esencial entender su matemática.</w:t>
      </w:r>
    </w:p>
    <w:p>
      <w:pPr>
        <w:pStyle w:val="Heading2"/>
        <w:spacing w:after="120" w:before="240"/>
      </w:pPr>
      <w:r>
        <w:rPr>
          <w:rFonts w:ascii="Arial" w:cs="Arial" w:eastAsia="Arial" w:hAnsi="Arial"/>
          <w:b/>
          <w:bCs/>
          <w:color w:val="0D9488"/>
          <w:sz w:val="28"/>
          <w:szCs w:val="28"/>
        </w:rPr>
        <w:t xml:space="preserve">5.1 Fundamento Matemático del PCA</w:t>
      </w:r>
    </w:p>
    <w:p>
      <w:pPr>
        <w:spacing w:after="80" w:before="60"/>
      </w:pPr>
      <w:r>
        <w:rPr>
          <w:rFonts w:ascii="Arial" w:cs="Arial" w:eastAsia="Arial" w:hAnsi="Arial"/>
          <w:color w:val="0F172A"/>
          <w:sz w:val="22"/>
          <w:szCs w:val="22"/>
        </w:rPr>
        <w:t xml:space="preserve">Dado un dataset de N observaciones y p variables, PCA busca una transformación lineal ortogonal que convierta las p variables originales (correlacionadas entre sí) en p nuevas variables llamadas Componentes Principales (PC) que son:</w:t>
      </w:r>
    </w:p>
    <w:p>
      <w:pPr>
        <w:pStyle w:val="ListParagraph"/>
        <w:numPr>
          <w:ilvl w:val="0"/>
          <w:numId w:val="2"/>
        </w:numPr>
        <w:spacing w:after="40" w:before="40"/>
      </w:pPr>
      <w:r>
        <w:rPr>
          <w:rFonts w:ascii="Arial" w:cs="Arial" w:eastAsia="Arial" w:hAnsi="Arial"/>
          <w:color w:val="0F172A"/>
          <w:sz w:val="22"/>
          <w:szCs w:val="22"/>
        </w:rPr>
        <w:t xml:space="preserve">Ortogonales (incorreladas): el PC1 y el PC2 tienen correlación exactamente 0</w:t>
      </w:r>
    </w:p>
    <w:p>
      <w:pPr>
        <w:pStyle w:val="ListParagraph"/>
        <w:numPr>
          <w:ilvl w:val="0"/>
          <w:numId w:val="2"/>
        </w:numPr>
        <w:spacing w:after="40" w:before="40"/>
      </w:pPr>
      <w:r>
        <w:rPr>
          <w:rFonts w:ascii="Arial" w:cs="Arial" w:eastAsia="Arial" w:hAnsi="Arial"/>
          <w:color w:val="0F172A"/>
          <w:sz w:val="22"/>
          <w:szCs w:val="22"/>
        </w:rPr>
        <w:t xml:space="preserve">Ordenadas por varianza: PC1 captura la máxima varianza posible, PC2 la segunda máxima, y así sucesivamente</w:t>
      </w:r>
    </w:p>
    <w:p>
      <w:pPr>
        <w:pStyle w:val="ListParagraph"/>
        <w:numPr>
          <w:ilvl w:val="0"/>
          <w:numId w:val="2"/>
        </w:numPr>
        <w:spacing w:after="40" w:before="40"/>
      </w:pPr>
      <w:r>
        <w:rPr>
          <w:rFonts w:ascii="Arial" w:cs="Arial" w:eastAsia="Arial" w:hAnsi="Arial"/>
          <w:color w:val="0F172A"/>
          <w:sz w:val="22"/>
          <w:szCs w:val="22"/>
        </w:rPr>
        <w:t xml:space="preserve">Combinaciones lineales: cada PCᵢ = a₁₁X₁ + a₁₂X₂ + ... + a₁ₚXₚ (donde aᵢⱼ son los "loadings" o cargas)</w:t>
      </w:r>
    </w:p>
    <w:p>
      <w:pPr>
        <w:spacing w:after="80" w:before="60"/>
      </w:pPr>
      <w:r>
        <w:rPr>
          <w:rFonts w:ascii="Arial" w:cs="Arial" w:eastAsia="Arial" w:hAnsi="Arial"/>
          <w:color w:val="0F172A"/>
          <w:sz w:val="22"/>
          <w:szCs w:val="22"/>
        </w:rPr>
        <w:t xml:space="preserve">El proceso técnico involucra la descomposición espectral de la matriz de covarianzas (o correlaciones si se estandariza): Se obtienen p eigenvalores λ₁≥λ₂≥...≥λₚ y sus correspondientes eigenvectores v₁,v₂,...,vₚ. El eigenvector vᵢ define la dirección del PCᵢ, y el eigenvalor λᵢ es la varianza que captura ese componente.</w:t>
      </w:r>
    </w:p>
    <w:p>
      <w:pPr>
        <w:shd w:fill="F8FAFC" w:val="clear"/>
        <w:spacing w:after="40" w:before="40"/>
        <w:ind w:left="720"/>
      </w:pPr>
      <w:r>
        <w:rPr>
          <w:rFonts w:ascii="Courier New" w:cs="Courier New" w:eastAsia="Courier New" w:hAnsi="Courier New"/>
          <w:color w:val="1E3A5F"/>
          <w:sz w:val="18"/>
          <w:szCs w:val="18"/>
        </w:rPr>
        <w:t xml:space="preserve">Varianza explicada por PCᵢ (%) = λᵢ / Σλⱼ × 100</w:t>
      </w:r>
    </w:p>
    <w:p>
      <w:pPr>
        <w:pStyle w:val="Heading3"/>
        <w:spacing w:after="80" w:before="180"/>
      </w:pPr>
      <w:r>
        <w:rPr>
          <w:rFonts w:ascii="Arial" w:cs="Arial" w:eastAsia="Arial" w:hAnsi="Arial"/>
          <w:b/>
          <w:bCs/>
          <w:color w:val="0F172A"/>
          <w:sz w:val="24"/>
          <w:szCs w:val="24"/>
        </w:rPr>
        <w:t xml:space="preserve">Estandarización previa: obligatoria</w:t>
      </w:r>
    </w:p>
    <w:p>
      <w:pPr>
        <w:spacing w:after="80" w:before="60"/>
      </w:pPr>
      <w:r>
        <w:rPr>
          <w:rFonts w:ascii="Arial" w:cs="Arial" w:eastAsia="Arial" w:hAnsi="Arial"/>
          <w:color w:val="0F172A"/>
          <w:sz w:val="22"/>
          <w:szCs w:val="22"/>
        </w:rPr>
        <w:t xml:space="preserve">El código R estandariza las variables antes del PCA (scale() → media=0, σ=1). Sin estandarización, variables con mayor escala numérica (como SIZE, que es un logaritmo de activos en millones) dominarían artificialmente los primeros componentes. Al estandarizar, cada variable "compite" en igualdad de condiciones.</w:t>
      </w:r>
    </w:p>
    <w:p>
      <w:pPr>
        <w:pStyle w:val="Heading2"/>
        <w:spacing w:after="120" w:before="240"/>
      </w:pPr>
      <w:r>
        <w:rPr>
          <w:rFonts w:ascii="Arial" w:cs="Arial" w:eastAsia="Arial" w:hAnsi="Arial"/>
          <w:b/>
          <w:bCs/>
          <w:color w:val="0D9488"/>
          <w:sz w:val="28"/>
          <w:szCs w:val="28"/>
        </w:rPr>
        <w:t xml:space="preserve">5.2 Diapositiva 6: Criterio Kaiser — ¿Cuántos Componentes Retener?</w:t>
      </w:r>
    </w:p>
    <w:p>
      <w:pPr>
        <w:spacing w:after="80" w:before="60"/>
      </w:pPr>
      <w:r>
        <w:rPr>
          <w:rFonts w:ascii="Arial" w:cs="Arial" w:eastAsia="Arial" w:hAnsi="Arial"/>
          <w:color w:val="0F172A"/>
          <w:sz w:val="22"/>
          <w:szCs w:val="22"/>
        </w:rPr>
        <w:t xml:space="preserve">El Scree Plot (gráfico de sedimento) visualiza los eigenvalores en orden descendente. El Criterio de Kaiser establece una regla de decisión sencilla:</w:t>
      </w:r>
    </w:p>
    <w:p>
      <w:pPr>
        <w:shd w:fill="EFF6FF" w:val="clear"/>
        <w:spacing w:after="160" w:before="160"/>
        <w:ind w:left="720" w:right="720"/>
        <w:jc w:val="center"/>
      </w:pPr>
      <w:r>
        <w:rPr>
          <w:rFonts w:ascii="Arial" w:cs="Arial" w:eastAsia="Arial" w:hAnsi="Arial"/>
          <w:b/>
          <w:bCs/>
          <w:color w:val="0D9488"/>
          <w:sz w:val="26"/>
          <w:szCs w:val="26"/>
        </w:rPr>
        <w:t xml:space="preserve">Retener los componentes con eigenvalor ≥ 1.0</w:t>
      </w:r>
    </w:p>
    <w:p>
      <w:pPr>
        <w:spacing w:after="80" w:before="60"/>
      </w:pPr>
      <w:r>
        <w:rPr>
          <w:rFonts w:ascii="Arial" w:cs="Arial" w:eastAsia="Arial" w:hAnsi="Arial"/>
          <w:color w:val="0F172A"/>
          <w:sz w:val="22"/>
          <w:szCs w:val="22"/>
        </w:rPr>
        <w:t xml:space="preserve">La justificación del criterio Kaiser es intuitiva: después de estandarizar, cada variable original tiene varianza=1. Un componente con eigenvalor&lt;1 explica MENOS varianza que una sola variable original, lo cual hace que no sea "útil" como resumen de la información. Solo los componentes con eigenvalor≥1 aportan más información que cualquier variable por sí sola.</w:t>
      </w:r>
    </w:p>
    <w:p>
      <w:pPr>
        <w:spacing w:after="80" w:before="60"/>
      </w:pPr>
      <w:r>
        <w:rPr>
          <w:rFonts w:ascii="Arial" w:cs="Arial" w:eastAsia="Arial" w:hAnsi="Arial"/>
          <w:color w:val="0F172A"/>
          <w:sz w:val="22"/>
          <w:szCs w:val="22"/>
        </w:rPr>
        <w:t xml:space="preserve">Para las 8 variables financieras de KoTaP (FEATURES), el PCA típicamente retiene entre 3 y 4 componentes por Kaiser. Los dos primeros (PC1+PC2) capturan aproximadamente el 42.1% de la varianza total, como se indica en la diapositiva 7.</w:t>
      </w:r>
    </w:p>
    <w:p>
      <w:pPr>
        <w:pStyle w:val="Heading3"/>
        <w:spacing w:after="80" w:before="180"/>
      </w:pPr>
      <w:r>
        <w:rPr>
          <w:rFonts w:ascii="Arial" w:cs="Arial" w:eastAsia="Arial" w:hAnsi="Arial"/>
          <w:b/>
          <w:bCs/>
          <w:color w:val="0F172A"/>
          <w:sz w:val="24"/>
          <w:szCs w:val="24"/>
        </w:rPr>
        <w:t xml:space="preserve">El Gráfico de Varianza Acumulada</w:t>
      </w:r>
    </w:p>
    <w:p>
      <w:pPr>
        <w:spacing w:after="80" w:before="60"/>
      </w:pPr>
      <w:r>
        <w:rPr>
          <w:rFonts w:ascii="Arial" w:cs="Arial" w:eastAsia="Arial" w:hAnsi="Arial"/>
          <w:color w:val="0F172A"/>
          <w:sz w:val="22"/>
          <w:szCs w:val="22"/>
        </w:rPr>
        <w:t xml:space="preserve">El segundo panel del Scree Plot muestra la varianza acumulada a medida que se añaden más componentes. Se busca el "codo" donde la curva se aplana: agregar más componentes ya no aporta información adicional relevante. Para KoTaP, 4 componentes probablemente capturan ≈65-70% de la varianza total.</w:t>
      </w:r>
    </w:p>
    <w:p>
      <w:pPr>
        <w:pStyle w:val="Heading2"/>
        <w:spacing w:after="120" w:before="240"/>
      </w:pPr>
      <w:r>
        <w:rPr>
          <w:rFonts w:ascii="Arial" w:cs="Arial" w:eastAsia="Arial" w:hAnsi="Arial"/>
          <w:b/>
          <w:bCs/>
          <w:color w:val="0D9488"/>
          <w:sz w:val="28"/>
          <w:szCs w:val="28"/>
        </w:rPr>
        <w:t xml:space="preserve">5.3 Diapositiva 7: Biplot — Empresas y Variables en el Espacio de Componentes</w:t>
      </w:r>
    </w:p>
    <w:p>
      <w:pPr>
        <w:spacing w:after="80" w:before="60"/>
      </w:pPr>
      <w:r>
        <w:rPr>
          <w:rFonts w:ascii="Arial" w:cs="Arial" w:eastAsia="Arial" w:hAnsi="Arial"/>
          <w:color w:val="0F172A"/>
          <w:sz w:val="22"/>
          <w:szCs w:val="22"/>
        </w:rPr>
        <w:t xml:space="preserve">El Biplot es la visualización más rica del PCA porque superpone en el mismo gráfico dos tipos de información distintos:</w:t>
      </w:r>
    </w:p>
    <w:p>
      <w:pPr>
        <w:pStyle w:val="Heading3"/>
        <w:spacing w:after="80" w:before="180"/>
      </w:pPr>
      <w:r>
        <w:rPr>
          <w:rFonts w:ascii="Arial" w:cs="Arial" w:eastAsia="Arial" w:hAnsi="Arial"/>
          <w:b/>
          <w:bCs/>
          <w:color w:val="0F172A"/>
          <w:sz w:val="24"/>
          <w:szCs w:val="24"/>
        </w:rPr>
        <w:t xml:space="preserve">Los Puntos (empresas)</w:t>
      </w:r>
    </w:p>
    <w:p>
      <w:pPr>
        <w:spacing w:after="80" w:before="60"/>
      </w:pPr>
      <w:r>
        <w:rPr>
          <w:rFonts w:ascii="Arial" w:cs="Arial" w:eastAsia="Arial" w:hAnsi="Arial"/>
          <w:color w:val="0F172A"/>
          <w:sz w:val="22"/>
          <w:szCs w:val="22"/>
        </w:rPr>
        <w:t xml:space="preserve">Cada punto representa una observación empresa-año proyectada en el espacio PC1×PC2. La distancia entre puntos indica similitud financiera: dos empresas cercanas tienen perfiles financieros similares en las 8 dimensiones originales.</w:t>
      </w:r>
    </w:p>
    <w:p>
      <w:pPr>
        <w:pStyle w:val="Heading3"/>
        <w:spacing w:after="80" w:before="180"/>
      </w:pPr>
      <w:r>
        <w:rPr>
          <w:rFonts w:ascii="Arial" w:cs="Arial" w:eastAsia="Arial" w:hAnsi="Arial"/>
          <w:b/>
          <w:bCs/>
          <w:color w:val="0F172A"/>
          <w:sz w:val="24"/>
          <w:szCs w:val="24"/>
        </w:rPr>
        <w:t xml:space="preserve">Las Flechas (variables originales — loadings)</w:t>
      </w:r>
    </w:p>
    <w:p>
      <w:pPr>
        <w:spacing w:after="80" w:before="60"/>
      </w:pPr>
      <w:r>
        <w:rPr>
          <w:rFonts w:ascii="Arial" w:cs="Arial" w:eastAsia="Arial" w:hAnsi="Arial"/>
          <w:color w:val="0F172A"/>
          <w:sz w:val="22"/>
          <w:szCs w:val="22"/>
        </w:rPr>
        <w:t xml:space="preserve">Cada flecha representa una variable original. La interpretación de las flechas:</w:t>
      </w:r>
    </w:p>
    <w:p>
      <w:pPr>
        <w:pStyle w:val="ListParagraph"/>
        <w:numPr>
          <w:ilvl w:val="0"/>
          <w:numId w:val="2"/>
        </w:numPr>
        <w:spacing w:after="40" w:before="40"/>
      </w:pPr>
      <w:r>
        <w:rPr>
          <w:rFonts w:ascii="Arial" w:cs="Arial" w:eastAsia="Arial" w:hAnsi="Arial"/>
          <w:color w:val="0F172A"/>
          <w:sz w:val="22"/>
          <w:szCs w:val="22"/>
        </w:rPr>
        <w:t xml:space="preserve">Longitud de la flecha: cuánto de la varianza de esa variable es capturada por PC1+PC2. Una flecha corta indica que la variable se explica mejor en componentes más altos (PC3, PC4...).</w:t>
      </w:r>
    </w:p>
    <w:p>
      <w:pPr>
        <w:pStyle w:val="ListParagraph"/>
        <w:numPr>
          <w:ilvl w:val="0"/>
          <w:numId w:val="2"/>
        </w:numPr>
        <w:spacing w:after="40" w:before="40"/>
      </w:pPr>
      <w:r>
        <w:rPr>
          <w:rFonts w:ascii="Arial" w:cs="Arial" w:eastAsia="Arial" w:hAnsi="Arial"/>
          <w:color w:val="0F172A"/>
          <w:sz w:val="22"/>
          <w:szCs w:val="22"/>
        </w:rPr>
        <w:t xml:space="preserve">Dirección de la flecha: su proyección sobre el eje horizontal indica su correlación con PC1; su proyección sobre el vertical indica su correlación con PC2.</w:t>
      </w:r>
    </w:p>
    <w:p>
      <w:pPr>
        <w:pStyle w:val="ListParagraph"/>
        <w:numPr>
          <w:ilvl w:val="0"/>
          <w:numId w:val="2"/>
        </w:numPr>
        <w:spacing w:after="40" w:before="40"/>
      </w:pPr>
      <w:r>
        <w:rPr>
          <w:rFonts w:ascii="Arial" w:cs="Arial" w:eastAsia="Arial" w:hAnsi="Arial"/>
          <w:color w:val="0F172A"/>
          <w:sz w:val="22"/>
          <w:szCs w:val="22"/>
        </w:rPr>
        <w:t xml:space="preserve">Ángulo entre dos flechas: aproxima la correlación entre esas dos variables. Ángulo ≈0° → correlación positiva ≈+1; ángulo ≈90° → correlación ≈0; ángulo ≈180° → correlación ≈−1.</w:t>
      </w:r>
    </w:p>
    <w:p>
      <w:pPr>
        <w:pStyle w:val="Heading3"/>
        <w:spacing w:after="80" w:before="180"/>
      </w:pPr>
      <w:r>
        <w:rPr>
          <w:rFonts w:ascii="Arial" w:cs="Arial" w:eastAsia="Arial" w:hAnsi="Arial"/>
          <w:b/>
          <w:bCs/>
          <w:color w:val="0F172A"/>
          <w:sz w:val="24"/>
          <w:szCs w:val="24"/>
        </w:rPr>
        <w:t xml:space="preserve">Hallazgos específicos del Biplot de KoTaP</w:t>
      </w:r>
    </w:p>
    <w:p>
      <w:pPr>
        <w:spacing w:after="60" w:before="100"/>
        <w:ind w:left="360"/>
      </w:pPr>
      <w:r>
        <w:rPr>
          <w:rFonts w:ascii="Arial" w:cs="Arial" w:eastAsia="Arial" w:hAnsi="Arial"/>
          <w:b/>
          <w:bCs/>
          <w:color w:val="0D9488"/>
          <w:sz w:val="22"/>
          <w:szCs w:val="22"/>
        </w:rPr>
        <w:t xml:space="preserve">▶ CUR vs LEV en dirección opuesta: </w:t>
      </w:r>
      <w:r>
        <w:rPr>
          <w:rFonts w:ascii="Arial" w:cs="Arial" w:eastAsia="Arial" w:hAnsi="Arial"/>
          <w:color w:val="0F172A"/>
          <w:sz w:val="22"/>
          <w:szCs w:val="22"/>
        </w:rPr>
        <w:t xml:space="preserve">Las flechas de CUR (liquidez corriente) y LEV (apalancamiento) apuntan en direcciones aproximadamente opuestas en el biplot. Esto tiene lógica financiera directa: las empresas con alto apalancamiento tienen menor ratio de liquidez (han comprometido más activos circulantes como garantía de deuda). La correlación Spearman entre CUR y LEV es negativa, y el biplot lo visualiza geométricamente.</w:t>
      </w:r>
    </w:p>
    <w:p>
      <w:pPr>
        <w:spacing w:after="60" w:before="100"/>
        <w:ind w:left="360"/>
      </w:pPr>
      <w:r>
        <w:rPr>
          <w:rFonts w:ascii="Arial" w:cs="Arial" w:eastAsia="Arial" w:hAnsi="Arial"/>
          <w:b/>
          <w:bCs/>
          <w:color w:val="0D9488"/>
          <w:sz w:val="22"/>
          <w:szCs w:val="22"/>
        </w:rPr>
        <w:t xml:space="preserve">▶ SIZE–AGE en la misma dirección: </w:t>
      </w:r>
      <w:r>
        <w:rPr>
          <w:rFonts w:ascii="Arial" w:cs="Arial" w:eastAsia="Arial" w:hAnsi="Arial"/>
          <w:color w:val="0F172A"/>
          <w:sz w:val="22"/>
          <w:szCs w:val="22"/>
        </w:rPr>
        <w:t xml:space="preserve">Las flechas de SIZE y AGE son casi paralelas, indicando correlación positiva fuerte: las empresas más grandes son las más antiguas del mercado coreano (Samsung, Hyundai, etc.). No es trivial: en mercados más jóvenes podríamos ver empresas grandes y recientes (e.g., startups tecnológicas). En el KOSPI la correlación SIZE-AGE refleja la estructura chaebôl del capitalismo coreano.</w:t>
      </w:r>
    </w:p>
    <w:p>
      <w:pPr>
        <w:spacing w:after="60" w:before="100"/>
        <w:ind w:left="360"/>
      </w:pPr>
      <w:r>
        <w:rPr>
          <w:rFonts w:ascii="Arial" w:cs="Arial" w:eastAsia="Arial" w:hAnsi="Arial"/>
          <w:b/>
          <w:bCs/>
          <w:color w:val="0D9488"/>
          <w:sz w:val="22"/>
          <w:szCs w:val="22"/>
        </w:rPr>
        <w:t xml:space="preserve">▶ PC1+PC2 = 42.1%: </w:t>
      </w:r>
      <w:r>
        <w:rPr>
          <w:rFonts w:ascii="Arial" w:cs="Arial" w:eastAsia="Arial" w:hAnsi="Arial"/>
          <w:color w:val="0F172A"/>
          <w:sz w:val="22"/>
          <w:szCs w:val="22"/>
        </w:rPr>
        <w:t xml:space="preserve">Dos componentes capturan menos de la mitad de la varianza total. Esto implica que el espacio financiero de KoTaP es genuinamente multidimensional: ningún par de factores resume suficientemente la realidad de las 8 variables. Por eso el K-Means utiliza 4 componentes principales (no solo 2) para el clustering.</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6. Diapositivas 8 y 9 — Regresión OLS: Modelo Predictivo y Diagnóstico</w:t>
      </w:r>
    </w:p>
    <w:p>
      <w:pPr>
        <w:spacing w:after="80" w:before="60"/>
      </w:pPr>
      <w:r>
        <w:rPr>
          <w:rFonts w:ascii="Arial" w:cs="Arial" w:eastAsia="Arial" w:hAnsi="Arial"/>
          <w:color w:val="0F172A"/>
          <w:sz w:val="22"/>
          <w:szCs w:val="22"/>
        </w:rPr>
        <w:t xml:space="preserve">La regresión lineal múltiple es el modelo central del análisis. El objetivo es dual: (1) cuantificar la contribución marginal de cada predictor al ROA (interpretación causal), y (2) construir un modelo que estime el ROA futuro de una empresa a partir de sus ratios financieros (predicción).</w:t>
      </w:r>
    </w:p>
    <w:p>
      <w:pPr>
        <w:pStyle w:val="Heading2"/>
        <w:spacing w:after="120" w:before="240"/>
      </w:pPr>
      <w:r>
        <w:rPr>
          <w:rFonts w:ascii="Arial" w:cs="Arial" w:eastAsia="Arial" w:hAnsi="Arial"/>
          <w:b/>
          <w:bCs/>
          <w:color w:val="0D9488"/>
          <w:sz w:val="28"/>
          <w:szCs w:val="28"/>
        </w:rPr>
        <w:t xml:space="preserve">6.1 El Modelo OLS — Especificación</w:t>
      </w:r>
    </w:p>
    <w:p>
      <w:pPr>
        <w:spacing w:after="80" w:before="60"/>
      </w:pPr>
      <w:r>
        <w:rPr>
          <w:rFonts w:ascii="Arial" w:cs="Arial" w:eastAsia="Arial" w:hAnsi="Arial"/>
          <w:color w:val="0F172A"/>
          <w:sz w:val="22"/>
          <w:szCs w:val="22"/>
        </w:rPr>
        <w:t xml:space="preserve">El modelo estimado es:</w:t>
      </w:r>
    </w:p>
    <w:p>
      <w:pPr>
        <w:spacing w:after="160" w:before="160"/>
        <w:ind w:left="360" w:right="360"/>
        <w:jc w:val="center"/>
      </w:pPr>
      <w:r>
        <w:rPr>
          <w:rFonts w:ascii="Courier New" w:cs="Courier New" w:eastAsia="Courier New" w:hAnsi="Courier New"/>
          <w:b/>
          <w:bCs/>
          <w:color w:val="1E3A5F"/>
          <w:sz w:val="24"/>
          <w:szCs w:val="24"/>
        </w:rPr>
        <w:t xml:space="preserve">ROA = β₀ + β₁·SIZE + β₂·LEV + β₃·CFO + β₄·GRW + β₅·CUR + β₆·INVREC + β₇·PPE + β₈·AGE + ε</w:t>
      </w:r>
    </w:p>
    <w:p>
      <w:pPr>
        <w:spacing w:after="80" w:before="60"/>
      </w:pPr>
      <w:r>
        <w:rPr>
          <w:rFonts w:ascii="Arial" w:cs="Arial" w:eastAsia="Arial" w:hAnsi="Arial"/>
          <w:color w:val="0F172A"/>
          <w:sz w:val="22"/>
          <w:szCs w:val="22"/>
        </w:rPr>
        <w:t xml:space="preserve">Donde ε es el término de error (residuo), que captura todo lo que el modelo NO puede explicar con las 8 variables incluidas: sector, ciclo económico, calidad del management, eventos externos, etc.</w:t>
      </w:r>
    </w:p>
    <w:p>
      <w:pPr>
        <w:pStyle w:val="Heading3"/>
        <w:spacing w:after="80" w:before="180"/>
      </w:pPr>
      <w:r>
        <w:rPr>
          <w:rFonts w:ascii="Arial" w:cs="Arial" w:eastAsia="Arial" w:hAnsi="Arial"/>
          <w:b/>
          <w:bCs/>
          <w:color w:val="0F172A"/>
          <w:sz w:val="24"/>
          <w:szCs w:val="24"/>
        </w:rPr>
        <w:t xml:space="preserve">El Método OLS (Ordinary Least Squares) — Intuición</w:t>
      </w:r>
    </w:p>
    <w:p>
      <w:pPr>
        <w:spacing w:after="80" w:before="60"/>
      </w:pPr>
      <w:r>
        <w:rPr>
          <w:rFonts w:ascii="Arial" w:cs="Arial" w:eastAsia="Arial" w:hAnsi="Arial"/>
          <w:color w:val="0F172A"/>
          <w:sz w:val="22"/>
          <w:szCs w:val="22"/>
        </w:rPr>
        <w:t xml:space="preserve">OLS elige los valores de β₀,...,β₈ que minimizan la suma de los cuadrados de los residuos (SSR = Σεᵢ²). Es equivalente a encontrar el hiperplano en 9 dimensiones que "pasa lo más cerca posible" de todos los puntos de datos. La solución analítica exacta es: β = (XᵀX)⁻¹Xᵀy.</w:t>
      </w:r>
    </w:p>
    <w:p>
      <w:pPr>
        <w:pStyle w:val="Heading3"/>
        <w:spacing w:after="80" w:before="180"/>
      </w:pPr>
      <w:r>
        <w:rPr>
          <w:rFonts w:ascii="Arial" w:cs="Arial" w:eastAsia="Arial" w:hAnsi="Arial"/>
          <w:b/>
          <w:bCs/>
          <w:color w:val="0F172A"/>
          <w:sz w:val="24"/>
          <w:szCs w:val="24"/>
        </w:rPr>
        <w:t xml:space="preserve">División Train/Test 80/20</w:t>
      </w:r>
    </w:p>
    <w:p>
      <w:pPr>
        <w:spacing w:after="80" w:before="60"/>
      </w:pPr>
      <w:r>
        <w:rPr>
          <w:rFonts w:ascii="Arial" w:cs="Arial" w:eastAsia="Arial" w:hAnsi="Arial"/>
          <w:color w:val="0F172A"/>
          <w:sz w:val="22"/>
          <w:szCs w:val="22"/>
        </w:rPr>
        <w:t xml:space="preserve">El código R divide aleatoriamente el dataset usando set.seed(42) (reproducibilidad) en 80% train (≈10,122 obs) y 20% test (≈2,531 obs). El modelo se ENTRENA solo con el train set y se EVALÚA en el test set. Esto es validación fuera de muestra (out-of-sample), la evaluación más exigente y realista de un modelo predictivo.</w:t>
      </w:r>
    </w:p>
    <w:p>
      <w:pPr>
        <w:pStyle w:val="Heading2"/>
        <w:spacing w:after="120" w:before="240"/>
      </w:pPr>
      <w:r>
        <w:rPr>
          <w:rFonts w:ascii="Arial" w:cs="Arial" w:eastAsia="Arial" w:hAnsi="Arial"/>
          <w:b/>
          <w:bCs/>
          <w:color w:val="0D9488"/>
          <w:sz w:val="28"/>
          <w:szCs w:val="28"/>
        </w:rPr>
        <w:t xml:space="preserve">6.2 Diapositiva 8: Predichos vs Reales y Coeficientes β</w:t>
      </w:r>
    </w:p>
    <w:p>
      <w:pPr>
        <w:pStyle w:val="Heading3"/>
        <w:spacing w:after="80" w:before="180"/>
      </w:pPr>
      <w:r>
        <w:rPr>
          <w:rFonts w:ascii="Arial" w:cs="Arial" w:eastAsia="Arial" w:hAnsi="Arial"/>
          <w:b/>
          <w:bCs/>
          <w:color w:val="0F172A"/>
          <w:sz w:val="24"/>
          <w:szCs w:val="24"/>
        </w:rPr>
        <w:t xml:space="preserve">Panel superior: ROA predicho vs ROA observado</w:t>
      </w:r>
    </w:p>
    <w:p>
      <w:pPr>
        <w:spacing w:after="80" w:before="60"/>
      </w:pPr>
      <w:r>
        <w:rPr>
          <w:rFonts w:ascii="Arial" w:cs="Arial" w:eastAsia="Arial" w:hAnsi="Arial"/>
          <w:color w:val="0F172A"/>
          <w:sz w:val="22"/>
          <w:szCs w:val="22"/>
        </w:rPr>
        <w:t xml:space="preserve">Este scatter plot es la "prueba de fuego" del modelo. La línea roja diagonal es la línea de predicción perfecta (predicho = real). Los puntos coloreados indican:</w:t>
      </w:r>
    </w:p>
    <w:p>
      <w:pPr>
        <w:pStyle w:val="ListParagraph"/>
        <w:numPr>
          <w:ilvl w:val="0"/>
          <w:numId w:val="2"/>
        </w:numPr>
        <w:spacing w:after="40" w:before="40"/>
      </w:pPr>
      <w:r>
        <w:rPr>
          <w:rFonts w:ascii="Arial" w:cs="Arial" w:eastAsia="Arial" w:hAnsi="Arial"/>
          <w:color w:val="0F172A"/>
          <w:sz w:val="22"/>
          <w:szCs w:val="22"/>
        </w:rPr>
        <w:t xml:space="preserve">Naranja (sobreestimados, pred &gt; real): el modelo cree que la empresa es más rentable de lo que fue</w:t>
      </w:r>
    </w:p>
    <w:p>
      <w:pPr>
        <w:pStyle w:val="ListParagraph"/>
        <w:numPr>
          <w:ilvl w:val="0"/>
          <w:numId w:val="2"/>
        </w:numPr>
        <w:spacing w:after="40" w:before="40"/>
      </w:pPr>
      <w:r>
        <w:rPr>
          <w:rFonts w:ascii="Arial" w:cs="Arial" w:eastAsia="Arial" w:hAnsi="Arial"/>
          <w:color w:val="0F172A"/>
          <w:sz w:val="22"/>
          <w:szCs w:val="22"/>
        </w:rPr>
        <w:t xml:space="preserve">Teal/azul (subestimados, pred &lt; real): el modelo es conservador respecto a la rentabilidad real</w:t>
      </w:r>
    </w:p>
    <w:p>
      <w:pPr>
        <w:spacing w:after="80" w:before="60"/>
      </w:pPr>
      <w:r>
        <w:rPr>
          <w:rFonts w:ascii="Arial" w:cs="Arial" w:eastAsia="Arial" w:hAnsi="Arial"/>
          <w:color w:val="0F172A"/>
          <w:sz w:val="22"/>
          <w:szCs w:val="22"/>
        </w:rPr>
        <w:t xml:space="preserve">La banda semitransparente representa ±RMSE alrededor de la diagonal: muestra el rango donde el 68% de predicciones debería caer si los errores son normales (analogía con la banda ±1σ en una distribución normal).</w:t>
      </w:r>
    </w:p>
    <w:p>
      <w:pPr>
        <w:pStyle w:val="Heading3"/>
        <w:spacing w:after="80" w:before="180"/>
      </w:pPr>
      <w:r>
        <w:rPr>
          <w:rFonts w:ascii="Arial" w:cs="Arial" w:eastAsia="Arial" w:hAnsi="Arial"/>
          <w:b/>
          <w:bCs/>
          <w:color w:val="0F172A"/>
          <w:sz w:val="24"/>
          <w:szCs w:val="24"/>
        </w:rPr>
        <w:t xml:space="preserve">Las Métricas de Evaluación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Métrica</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Fórmula</w:t>
            </w:r>
          </w:p>
        </w:tc>
        <w:tc>
          <w:tcPr>
            <w:tcW w:type="dxa" w:w="54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Interpretación en KoTaP</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R²</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1 − SSR/SST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Fracción de varianza de ROA explicada por el modelo. R²≈0.30-0.40 es típico en estudios de ROA con datos de panel no ajustados por efectos fijos.</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R²-adj</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1 − (1−R²)(n−1)/(n−k−1)</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Penaliza por el número de predictores k=8. Evita la ilusión de mejora por añadir variables irrelevantes. Si R²-adj ≈ R², el modelo no está sobreajustado.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RMSE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√[Σ(yᵢ−ŷᵢ)²/n]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Error cuadrático medio en las mismas unidades que ROA (puntos porcentuales). RMSE≈3-4pp significa que las predicciones erran ±3-4pp de ROA en promedio.</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MAE</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Σ|yᵢ−ŷᵢ|/n</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Error absoluto medio. Menos sensible a grandes errores que RMSE. Si MAE &lt;&lt; RMSE, hay algunos outliers de predicción muy malos pero la mayoría son buenos.</w:t>
            </w:r>
          </w:p>
        </w:tc>
      </w:tr>
    </w:tbl>
    <w:p>
      <w:pPr>
        <w:pStyle w:val="Heading3"/>
        <w:spacing w:after="80" w:before="180"/>
      </w:pPr>
      <w:r>
        <w:rPr>
          <w:rFonts w:ascii="Arial" w:cs="Arial" w:eastAsia="Arial" w:hAnsi="Arial"/>
          <w:b/>
          <w:bCs/>
          <w:color w:val="0F172A"/>
          <w:sz w:val="24"/>
          <w:szCs w:val="24"/>
        </w:rPr>
        <w:t xml:space="preserve">Panel inferior: Coeficientes β con IC 95%</w:t>
      </w:r>
    </w:p>
    <w:p>
      <w:pPr>
        <w:spacing w:after="80" w:before="60"/>
      </w:pPr>
      <w:r>
        <w:rPr>
          <w:rFonts w:ascii="Arial" w:cs="Arial" w:eastAsia="Arial" w:hAnsi="Arial"/>
          <w:color w:val="0F172A"/>
          <w:sz w:val="22"/>
          <w:szCs w:val="22"/>
        </w:rPr>
        <w:t xml:space="preserve">Este gráfico de puntos con barras de error es la representación estadística canónica de un modelo de regresión. Cada punto es el coeficiente β estimado; las barras son los Intervalos de Confianza al 95% = β ± 1.96·SE. Si la barra cruza la línea vertical en cero, el efecto NO es estadísticamente distinguible de cero a nivel α=5%.</w:t>
      </w:r>
    </w:p>
    <w:p>
      <w:pPr>
        <w:pStyle w:val="Heading3"/>
        <w:spacing w:after="80" w:before="180"/>
      </w:pPr>
      <w:r>
        <w:rPr>
          <w:rFonts w:ascii="Arial" w:cs="Arial" w:eastAsia="Arial" w:hAnsi="Arial"/>
          <w:b/>
          <w:bCs/>
          <w:color w:val="0F172A"/>
          <w:sz w:val="24"/>
          <w:szCs w:val="24"/>
        </w:rPr>
        <w:t xml:space="preserve">Tabla de Coeficientes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1560"/>
        <w:gridCol w:w="1560"/>
        <w:gridCol w:w="1560"/>
        <w:gridCol w:w="195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β estimado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β estandarizado*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t-estadístico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p-valor</w:t>
            </w:r>
          </w:p>
        </w:tc>
        <w:tc>
          <w:tcPr>
            <w:tcW w:type="dxa" w:w="195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Interpretación</w:t>
            </w:r>
          </w:p>
        </w:tc>
      </w:tr>
      <w:tr>
        <w:tc>
          <w:tcPr>
            <w:tcW w:type="dxa" w:w="2340"/>
            <w:tcBorders>
              <w:top w:val="single" w:color="CCCCCC" w:sz="1"/>
              <w:left w:val="single" w:color="CCCCCC" w:sz="1"/>
              <w:bottom w:val="single" w:color="CCCCCC" w:sz="1"/>
              <w:right w:val="single" w:color="CCCCCC" w:sz="1"/>
            </w:tcBorders>
            <w:shd w:fill="0D9488"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CFO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59669"/>
                <w:sz w:val="20"/>
                <w:szCs w:val="20"/>
              </w:rPr>
              <w:t xml:space="preserve">+0.333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≈+0.458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&gt;&gt;10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&lt;0.001***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+1pp en CFO → +0.33pp ROA</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GRW</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59669"/>
                <w:sz w:val="20"/>
                <w:szCs w:val="20"/>
              </w:rPr>
              <w:t xml:space="preserve">+0.048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≈+0.12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~8-12</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&lt;0.001***</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+1pp crecim. → +0.048pp ROA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INVREC</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59669"/>
                <w:sz w:val="20"/>
                <w:szCs w:val="20"/>
              </w:rPr>
              <w:t xml:space="preserve">+0.044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≈+0.08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~6-10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&lt;0.001***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Mejor gestión capital trabajo</w:t>
            </w:r>
          </w:p>
        </w:tc>
      </w:tr>
      <w:tr>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LEV</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EF4444"/>
                <w:sz w:val="20"/>
                <w:szCs w:val="20"/>
              </w:rPr>
              <w:t xml:space="preserve">−0.055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~−8 a −12</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&lt;0.001***</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−5.5pp ROA por +10pp LEV</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PPE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EF4444"/>
                <w:sz w:val="20"/>
                <w:szCs w:val="20"/>
              </w:rPr>
              <w:t xml:space="preserve">−0.022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≈−0.07</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~−5 a −8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&lt;0.001***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Activos fijos reducen ROA</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AGE</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EF4444"/>
                <w:sz w:val="20"/>
                <w:szCs w:val="20"/>
              </w:rPr>
              <w:t xml:space="preserve">−0.008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≈−0.06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~−4 a −7</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&lt;0.001***</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Empresas más viejas menos rentables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CUR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−0.0006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≈−0.03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&lt;0.05*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Efecto mínimo: sign. pero débil</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SIZE</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475569"/>
                <w:sz w:val="20"/>
                <w:szCs w:val="20"/>
              </w:rPr>
              <w:t xml:space="preserve">≈0.0000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&lt;1</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Sin efecto marginal tras controlar CFO</w:t>
            </w:r>
          </w:p>
        </w:tc>
      </w:tr>
    </w:tbl>
    <w:p>
      <w:pPr>
        <w:spacing w:after="80" w:before="60"/>
      </w:pPr>
      <w:r>
        <w:rPr>
          <w:rFonts w:ascii="Arial" w:cs="Arial" w:eastAsia="Arial" w:hAnsi="Arial"/>
          <w:color w:val="0F172A"/>
          <w:sz w:val="22"/>
          <w:szCs w:val="22"/>
        </w:rPr>
        <w:t xml:space="preserve">(*) β estandarizado = β × (σ_predictor / σ_ROA). Permite comparar la IMPORTANCIA RELATIVA de cada predictor independientemente de sus unidades. β* de CFO ≈ 0.458 es el mayor en valor absoluto, confirmando su dominio.</w:t>
      </w:r>
    </w:p>
    <w:p>
      <w:pPr>
        <w:pStyle w:val="Heading3"/>
        <w:spacing w:after="80" w:before="180"/>
      </w:pPr>
      <w:r>
        <w:rPr>
          <w:rFonts w:ascii="Arial" w:cs="Arial" w:eastAsia="Arial" w:hAnsi="Arial"/>
          <w:b/>
          <w:bCs/>
          <w:color w:val="0F172A"/>
          <w:sz w:val="24"/>
          <w:szCs w:val="24"/>
        </w:rPr>
        <w:t xml:space="preserve">¿Por qué SIZE no es significativo?</w:t>
      </w:r>
    </w:p>
    <w:p>
      <w:pPr>
        <w:spacing w:after="80" w:before="60"/>
      </w:pPr>
      <w:r>
        <w:rPr>
          <w:rFonts w:ascii="Arial" w:cs="Arial" w:eastAsia="Arial" w:hAnsi="Arial"/>
          <w:color w:val="0F172A"/>
          <w:sz w:val="22"/>
          <w:szCs w:val="22"/>
        </w:rPr>
        <w:t xml:space="preserve">Esta es una de las conclusiones más interesantes. La correlación Spearman entre SIZE y ROA es −0.14 (significativa en análisis univariado), pero en el modelo OLS multivariado, el coeficiente β_SIZE ≈ 0. La explicación estadística es la confusión (confounding): SIZE correlaciona con CFO (empresas grandes generan más caja). Cuando se controla por CFO, la información de SIZE sobre ROA queda absorbida. Esto ilustra la diferencia fundamental entre correlación bivariada y efecto ceteris paribus.</w:t>
      </w:r>
    </w:p>
    <w:p>
      <w:pPr>
        <w:pStyle w:val="Heading3"/>
        <w:spacing w:after="80" w:before="180"/>
      </w:pPr>
      <w:r>
        <w:rPr>
          <w:rFonts w:ascii="Arial" w:cs="Arial" w:eastAsia="Arial" w:hAnsi="Arial"/>
          <w:b/>
          <w:bCs/>
          <w:color w:val="0F172A"/>
          <w:sz w:val="24"/>
          <w:szCs w:val="24"/>
        </w:rPr>
        <w:t xml:space="preserve">El Estadístico F y la Significancia Global del Modelo</w:t>
      </w:r>
    </w:p>
    <w:p>
      <w:pPr>
        <w:spacing w:after="80" w:before="60"/>
      </w:pPr>
      <w:r>
        <w:rPr>
          <w:rFonts w:ascii="Arial" w:cs="Arial" w:eastAsia="Arial" w:hAnsi="Arial"/>
          <w:color w:val="0F172A"/>
          <w:sz w:val="22"/>
          <w:szCs w:val="22"/>
        </w:rPr>
        <w:t xml:space="preserve">El estadístico F prueba la hipótesis nula de que TODOS los βᵢ = 0 simultáneamente (el modelo completo no explica nada más que la media). Con F&gt;&gt;10 y p&lt;0.001, se rechaza contundentemente: el conjunto de 8 predictores explica una fracción estadísticamente significativa de la varianza de ROA.</w:t>
      </w:r>
    </w:p>
    <w:p>
      <w:pPr>
        <w:pStyle w:val="Heading2"/>
        <w:spacing w:after="120" w:before="240"/>
      </w:pPr>
      <w:r>
        <w:rPr>
          <w:rFonts w:ascii="Arial" w:cs="Arial" w:eastAsia="Arial" w:hAnsi="Arial"/>
          <w:b/>
          <w:bCs/>
          <w:color w:val="0D9488"/>
          <w:sz w:val="28"/>
          <w:szCs w:val="28"/>
        </w:rPr>
        <w:t xml:space="preserve">6.3 Diapositiva 9: Diagnóstico de Residuos</w:t>
      </w:r>
    </w:p>
    <w:p>
      <w:pPr>
        <w:spacing w:after="80" w:before="60"/>
      </w:pPr>
      <w:r>
        <w:rPr>
          <w:rFonts w:ascii="Arial" w:cs="Arial" w:eastAsia="Arial" w:hAnsi="Arial"/>
          <w:color w:val="0F172A"/>
          <w:sz w:val="22"/>
          <w:szCs w:val="22"/>
        </w:rPr>
        <w:t xml:space="preserve">Los residuos εᵢ = ROA_real − ROA_predicho condensan todo lo que el modelo NO captura. La validez estadística de las inferencias (intervalos de confianza, p-valores) depende de que los supuestos de OLS se cumplan razonablemente.</w:t>
      </w:r>
    </w:p>
    <w:p>
      <w:pPr>
        <w:pStyle w:val="Heading3"/>
        <w:spacing w:after="80" w:before="180"/>
      </w:pPr>
      <w:r>
        <w:rPr>
          <w:rFonts w:ascii="Arial" w:cs="Arial" w:eastAsia="Arial" w:hAnsi="Arial"/>
          <w:b/>
          <w:bCs/>
          <w:color w:val="0F172A"/>
          <w:sz w:val="24"/>
          <w:szCs w:val="24"/>
        </w:rPr>
        <w:t xml:space="preserve">Los 4 Supuestos de Gauss-Markov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2340"/>
        <w:gridCol w:w="78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Supuesto</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Verificación visual</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Test formal</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Si se viola...</w:t>
            </w:r>
          </w:p>
        </w:tc>
        <w:tc>
          <w:tcPr>
            <w:tcW w:type="dxa" w:w="7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Linealidad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Curva LOWESS plana en 0 en gráfico C</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 hay test estándar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Coeficientes sesgados: el modelo pierde potencia predictiva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OK</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Media cero de ε</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Media de residuos ≈ 0 (propiedad de OLS)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Verificación automática</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 puede violarse por construcción de OLS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OK</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Homocedasticidad (var(ε) constante)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Nube uniforme en gráfico C sin patrón de embudo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Test Breusch-Pagan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IC y p-valores inválidos. Corregir con errores estándar robustos (HC3)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~OK</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Normalidad de ε</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Histograma sigue campana normal; puntos en QQ-plot sobre la línea</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Test Jarque-Bera (JB)</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Con n&gt;5,000: no importa por Teorema Central del Límite. IC asintóticamente válidos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~OK</w:t>
            </w:r>
          </w:p>
        </w:tc>
      </w:tr>
    </w:tbl>
    <w:p>
      <w:pPr>
        <w:pStyle w:val="Heading3"/>
        <w:spacing w:after="80" w:before="180"/>
      </w:pPr>
      <w:r>
        <w:rPr>
          <w:rFonts w:ascii="Arial" w:cs="Arial" w:eastAsia="Arial" w:hAnsi="Arial"/>
          <w:b/>
          <w:bCs/>
          <w:color w:val="0F172A"/>
          <w:sz w:val="24"/>
          <w:szCs w:val="24"/>
        </w:rPr>
        <w:t xml:space="preserve">Test de Jarque-Bera: Interpretación Correcta</w:t>
      </w:r>
    </w:p>
    <w:p>
      <w:pPr>
        <w:spacing w:after="80" w:before="60"/>
      </w:pPr>
      <w:r>
        <w:rPr>
          <w:rFonts w:ascii="Arial" w:cs="Arial" w:eastAsia="Arial" w:hAnsi="Arial"/>
          <w:color w:val="0F172A"/>
          <w:sz w:val="22"/>
          <w:szCs w:val="22"/>
        </w:rPr>
        <w:t xml:space="preserve">El test Jarque-Bera prueba H₀: los residuos siguen una distribución normal. JB = n/6 × [Asim² + (Kurt²/4)]. Con n=12,000+, incluso pequeñas desviaciones de normalidad producen p&lt;0.001. Esto NO invalida el modelo: es una propiedad estadística del rechazo de hipótesis con n grande. Lo que importa es que la asimetría y curtosis de los residuos sean RAZONABLES (no extremas), y el Teorema Central del Límite garantiza que los estadísticos t y F son válidos asintóticamente.</w:t>
      </w:r>
    </w:p>
    <w:p>
      <w:pPr>
        <w:pStyle w:val="Heading3"/>
        <w:spacing w:after="80" w:before="180"/>
      </w:pPr>
      <w:r>
        <w:rPr>
          <w:rFonts w:ascii="Arial" w:cs="Arial" w:eastAsia="Arial" w:hAnsi="Arial"/>
          <w:b/>
          <w:bCs/>
          <w:color w:val="0F172A"/>
          <w:sz w:val="24"/>
          <w:szCs w:val="24"/>
        </w:rPr>
        <w:t xml:space="preserve">Curva LOWESS: El Test Visual de Linealidad y Homocedasticidad</w:t>
      </w:r>
    </w:p>
    <w:p>
      <w:pPr>
        <w:spacing w:after="80" w:before="60"/>
      </w:pPr>
      <w:r>
        <w:rPr>
          <w:rFonts w:ascii="Arial" w:cs="Arial" w:eastAsia="Arial" w:hAnsi="Arial"/>
          <w:color w:val="0F172A"/>
          <w:sz w:val="22"/>
          <w:szCs w:val="22"/>
        </w:rPr>
        <w:t xml:space="preserve">LOWESS (Locally Weighted Scatterplot Smoothing) es un estimador no-paramétrico que ajusta una curva flexible sin asumir ninguna forma funcional. En el gráfico de residuos vs valores ajustados, la curva LOWESS debería ser aproximadamente horizontal en y=0. Si se curva hacia arriba/abajo → no-linealidad (el modelo OLS pierde predicciones sistemáticamente en ciertos rangos). Si la nube de puntos se ensancha en embudo → heterocedasticidad (errores más grandes para ROA alto o bajo).</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7. Diapositivas 10 y 11 — K-Means: Segmentación Financiera</w:t>
      </w:r>
    </w:p>
    <w:p>
      <w:pPr>
        <w:spacing w:after="80" w:before="60"/>
      </w:pPr>
      <w:r>
        <w:rPr>
          <w:rFonts w:ascii="Arial" w:cs="Arial" w:eastAsia="Arial" w:hAnsi="Arial"/>
          <w:color w:val="0F172A"/>
          <w:sz w:val="22"/>
          <w:szCs w:val="22"/>
        </w:rPr>
        <w:t xml:space="preserve">El clustering K-Means completa el análisis multivariado al segmentar las empresas en grupos estratégicamente distintos. A diferencia de la regresión (que es supervisado: usa ROA como etiqueta), K-Means es no-supervisado: no recibe etiquetas y descubre estructura latente en los datos.</w:t>
      </w:r>
    </w:p>
    <w:p>
      <w:pPr>
        <w:pStyle w:val="Heading2"/>
        <w:spacing w:after="120" w:before="240"/>
      </w:pPr>
      <w:r>
        <w:rPr>
          <w:rFonts w:ascii="Arial" w:cs="Arial" w:eastAsia="Arial" w:hAnsi="Arial"/>
          <w:b/>
          <w:bCs/>
          <w:color w:val="0D9488"/>
          <w:sz w:val="28"/>
          <w:szCs w:val="28"/>
        </w:rPr>
        <w:t xml:space="preserve">7.1 El Algoritmo K-Means: Mecánica</w:t>
      </w:r>
    </w:p>
    <w:p>
      <w:pPr>
        <w:spacing w:after="80" w:before="60"/>
      </w:pPr>
      <w:r>
        <w:rPr>
          <w:rFonts w:ascii="Arial" w:cs="Arial" w:eastAsia="Arial" w:hAnsi="Arial"/>
          <w:color w:val="0F172A"/>
          <w:sz w:val="22"/>
          <w:szCs w:val="22"/>
        </w:rPr>
        <w:t xml:space="preserve">K-Means busca particionar N observaciones en K grupos (clusters) de manera que la inercia intra-cluster (suma de distancias cuadradas al centroide del cluster) sea mínima:</w:t>
      </w:r>
    </w:p>
    <w:p>
      <w:pPr>
        <w:shd w:fill="F8FAFC" w:val="clear"/>
        <w:spacing w:after="40" w:before="40"/>
        <w:ind w:left="720"/>
      </w:pPr>
      <w:r>
        <w:rPr>
          <w:rFonts w:ascii="Courier New" w:cs="Courier New" w:eastAsia="Courier New" w:hAnsi="Courier New"/>
          <w:color w:val="1E3A5F"/>
          <w:sz w:val="18"/>
          <w:szCs w:val="18"/>
        </w:rPr>
        <w:t xml:space="preserve">Minimizar: Σₖ Σᵢ∈Cₖ ||xᵢ − μₖ||²</w:t>
      </w:r>
    </w:p>
    <w:p>
      <w:pPr>
        <w:spacing w:after="80" w:before="60"/>
      </w:pPr>
      <w:r>
        <w:rPr>
          <w:rFonts w:ascii="Arial" w:cs="Arial" w:eastAsia="Arial" w:hAnsi="Arial"/>
          <w:color w:val="0F172A"/>
          <w:sz w:val="22"/>
          <w:szCs w:val="22"/>
        </w:rPr>
        <w:t xml:space="preserve">Donde μₖ es el centroide del cluster k (vector de medias). El algoritmo itera:</w:t>
      </w:r>
    </w:p>
    <w:p>
      <w:pPr>
        <w:pStyle w:val="ListParagraph"/>
        <w:numPr>
          <w:ilvl w:val="0"/>
          <w:numId w:val="2"/>
        </w:numPr>
        <w:spacing w:after="40" w:before="40"/>
      </w:pPr>
      <w:r>
        <w:rPr>
          <w:rFonts w:ascii="Arial" w:cs="Arial" w:eastAsia="Arial" w:hAnsi="Arial"/>
          <w:color w:val="0F172A"/>
          <w:sz w:val="22"/>
          <w:szCs w:val="22"/>
        </w:rPr>
        <w:t xml:space="preserve">Paso 1 (Asignación): Cada observación se asigna al centroide más cercano (distancia euclidiana)</w:t>
      </w:r>
    </w:p>
    <w:p>
      <w:pPr>
        <w:pStyle w:val="ListParagraph"/>
        <w:numPr>
          <w:ilvl w:val="0"/>
          <w:numId w:val="2"/>
        </w:numPr>
        <w:spacing w:after="40" w:before="40"/>
      </w:pPr>
      <w:r>
        <w:rPr>
          <w:rFonts w:ascii="Arial" w:cs="Arial" w:eastAsia="Arial" w:hAnsi="Arial"/>
          <w:color w:val="0F172A"/>
          <w:sz w:val="22"/>
          <w:szCs w:val="22"/>
        </w:rPr>
        <w:t xml:space="preserve">Paso 2 (Actualización): Se recalculan los centroides como la media de las observaciones asignadas</w:t>
      </w:r>
    </w:p>
    <w:p>
      <w:pPr>
        <w:pStyle w:val="ListParagraph"/>
        <w:numPr>
          <w:ilvl w:val="0"/>
          <w:numId w:val="2"/>
        </w:numPr>
        <w:spacing w:after="40" w:before="40"/>
      </w:pPr>
      <w:r>
        <w:rPr>
          <w:rFonts w:ascii="Arial" w:cs="Arial" w:eastAsia="Arial" w:hAnsi="Arial"/>
          <w:color w:val="0F172A"/>
          <w:sz w:val="22"/>
          <w:szCs w:val="22"/>
        </w:rPr>
        <w:t xml:space="preserve">Iterar hasta convergencia (los centroides no cambian)</w:t>
      </w:r>
    </w:p>
    <w:p>
      <w:pPr>
        <w:spacing w:after="80" w:before="60"/>
      </w:pPr>
      <w:r>
        <w:rPr>
          <w:rFonts w:ascii="Arial" w:cs="Arial" w:eastAsia="Arial" w:hAnsi="Arial"/>
          <w:color w:val="0F172A"/>
          <w:sz w:val="22"/>
          <w:szCs w:val="22"/>
        </w:rPr>
        <w:t xml:space="preserve">Parámetros del código: nstart=25 (el algoritmo se inicia 25 veces con centroides aleatorios distintos, se guarda la mejor solución), iter.max=500 (máximo de iteraciones por inicio), set.seed(42) (reproducibilidad de la aleatoriedad inicial).</w:t>
      </w:r>
    </w:p>
    <w:p>
      <w:pPr>
        <w:pStyle w:val="Heading3"/>
        <w:spacing w:after="80" w:before="180"/>
      </w:pPr>
      <w:r>
        <w:rPr>
          <w:rFonts w:ascii="Arial" w:cs="Arial" w:eastAsia="Arial" w:hAnsi="Arial"/>
          <w:b/>
          <w:bCs/>
          <w:color w:val="0F172A"/>
          <w:sz w:val="24"/>
          <w:szCs w:val="24"/>
        </w:rPr>
        <w:t xml:space="preserve">¿Por qué usar PCA antes de K-Means?</w:t>
      </w:r>
    </w:p>
    <w:p>
      <w:pPr>
        <w:spacing w:after="80" w:before="60"/>
      </w:pPr>
      <w:r>
        <w:rPr>
          <w:rFonts w:ascii="Arial" w:cs="Arial" w:eastAsia="Arial" w:hAnsi="Arial"/>
          <w:color w:val="0F172A"/>
          <w:sz w:val="22"/>
          <w:szCs w:val="22"/>
        </w:rPr>
        <w:t xml:space="preserve">K-Means usa distancia euclidiana, que sufre de la "maldición de la dimensionalidad": en espacios de alta dimensión, todos los puntos tienden a estar a distancias similares, lo que hace que los clusters sean indistinguibles. Al proyectar primero las 8 variables en 4 componentes principales (ortogonales), se elimina la multicolinealidad y se reduce el ruido, mejorando la calidad y estabilidad de los clusters.</w:t>
      </w:r>
    </w:p>
    <w:p>
      <w:pPr>
        <w:pStyle w:val="Heading2"/>
        <w:spacing w:after="120" w:before="240"/>
      </w:pPr>
      <w:r>
        <w:rPr>
          <w:rFonts w:ascii="Arial" w:cs="Arial" w:eastAsia="Arial" w:hAnsi="Arial"/>
          <w:b/>
          <w:bCs/>
          <w:color w:val="0D9488"/>
          <w:sz w:val="28"/>
          <w:szCs w:val="28"/>
        </w:rPr>
        <w:t xml:space="preserve">7.2 Diapositiva 10: Método del Codo — Selección de K Óptimo</w:t>
      </w:r>
    </w:p>
    <w:p>
      <w:pPr>
        <w:spacing w:after="80" w:before="60"/>
      </w:pPr>
      <w:r>
        <w:rPr>
          <w:rFonts w:ascii="Arial" w:cs="Arial" w:eastAsia="Arial" w:hAnsi="Arial"/>
          <w:color w:val="0F172A"/>
          <w:sz w:val="22"/>
          <w:szCs w:val="22"/>
        </w:rPr>
        <w:t xml:space="preserve">El Método del Codo (Elbow Method) evalúa la inercia total (tot.withinss en R) para K=2,3,...,9. La lógica:</w:t>
      </w:r>
    </w:p>
    <w:p>
      <w:pPr>
        <w:pStyle w:val="ListParagraph"/>
        <w:numPr>
          <w:ilvl w:val="0"/>
          <w:numId w:val="2"/>
        </w:numPr>
        <w:spacing w:after="40" w:before="40"/>
      </w:pPr>
      <w:r>
        <w:rPr>
          <w:rFonts w:ascii="Arial" w:cs="Arial" w:eastAsia="Arial" w:hAnsi="Arial"/>
          <w:color w:val="0F172A"/>
          <w:sz w:val="22"/>
          <w:szCs w:val="22"/>
        </w:rPr>
        <w:t xml:space="preserve">K=1: máxima inercia (todo en un solo cluster, muy heterogéneo)</w:t>
      </w:r>
    </w:p>
    <w:p>
      <w:pPr>
        <w:pStyle w:val="ListParagraph"/>
        <w:numPr>
          <w:ilvl w:val="0"/>
          <w:numId w:val="2"/>
        </w:numPr>
        <w:spacing w:after="40" w:before="40"/>
      </w:pPr>
      <w:r>
        <w:rPr>
          <w:rFonts w:ascii="Arial" w:cs="Arial" w:eastAsia="Arial" w:hAnsi="Arial"/>
          <w:color w:val="0F172A"/>
          <w:sz w:val="22"/>
          <w:szCs w:val="22"/>
        </w:rPr>
        <w:t xml:space="preserve">Al aumentar K: la inercia disminuye siempre (más clusters = grupos más compactos)</w:t>
      </w:r>
    </w:p>
    <w:p>
      <w:pPr>
        <w:pStyle w:val="ListParagraph"/>
        <w:numPr>
          <w:ilvl w:val="0"/>
          <w:numId w:val="2"/>
        </w:numPr>
        <w:spacing w:after="40" w:before="40"/>
      </w:pPr>
      <w:r>
        <w:rPr>
          <w:rFonts w:ascii="Arial" w:cs="Arial" w:eastAsia="Arial" w:hAnsi="Arial"/>
          <w:color w:val="0F172A"/>
          <w:sz w:val="22"/>
          <w:szCs w:val="22"/>
        </w:rPr>
        <w:t xml:space="preserve">K=N: inercia=0 (cada empresa en su propio cluster, inútil)</w:t>
      </w:r>
    </w:p>
    <w:p>
      <w:pPr>
        <w:spacing w:after="80" w:before="60"/>
      </w:pPr>
      <w:r>
        <w:rPr>
          <w:rFonts w:ascii="Arial" w:cs="Arial" w:eastAsia="Arial" w:hAnsi="Arial"/>
          <w:color w:val="0F172A"/>
          <w:sz w:val="22"/>
          <w:szCs w:val="22"/>
        </w:rPr>
        <w:t xml:space="preserve">El "codo" es el valor de K donde la reducción marginal de inercia al añadir un cluster más se vuelve pequeña: la curva "deja de doblar". En KoTaP, el codo aparece en K=3, lo cual es el valor óptimo seleccionado por el código: which.min(diff(ine)) + 1.</w:t>
      </w:r>
    </w:p>
    <w:p>
      <w:pPr>
        <w:spacing w:after="80" w:before="60"/>
      </w:pPr>
      <w:r>
        <w:rPr>
          <w:rFonts w:ascii="Arial" w:cs="Arial" w:eastAsia="Arial" w:hAnsi="Arial"/>
          <w:color w:val="0F172A"/>
          <w:sz w:val="22"/>
          <w:szCs w:val="22"/>
        </w:rPr>
        <w:t xml:space="preserve">La distribución 2D proyecta los clusters en el espacio PC1×PC2 para visualización. Los centroides se marcan con una estrella (shape=8). Las regiones coloreadas permiten identificar si los clusters son compactos y bien separados.</w:t>
      </w:r>
    </w:p>
    <w:p>
      <w:pPr>
        <w:pStyle w:val="Heading2"/>
        <w:spacing w:after="120" w:before="240"/>
      </w:pPr>
      <w:r>
        <w:rPr>
          <w:rFonts w:ascii="Arial" w:cs="Arial" w:eastAsia="Arial" w:hAnsi="Arial"/>
          <w:b/>
          <w:bCs/>
          <w:color w:val="0D9488"/>
          <w:sz w:val="28"/>
          <w:szCs w:val="28"/>
        </w:rPr>
        <w:t xml:space="preserve">7.3 Diapositiva 11: Perfil Financiero por Cluster</w:t>
      </w:r>
    </w:p>
    <w:p>
      <w:pPr>
        <w:spacing w:after="80" w:before="60"/>
      </w:pPr>
      <w:r>
        <w:rPr>
          <w:rFonts w:ascii="Arial" w:cs="Arial" w:eastAsia="Arial" w:hAnsi="Arial"/>
          <w:color w:val="0F172A"/>
          <w:sz w:val="22"/>
          <w:szCs w:val="22"/>
        </w:rPr>
        <w:t xml:space="preserve">Este es el gráfico de mayor valor estratégico del análisis. Los boxplots por cluster con muescas permiten caracterizar los tres segmentos en 5 dimensiones: ROA, CFO, LEV, SIZE, GRW.</w:t>
      </w:r>
    </w:p>
    <w:p>
      <w:pPr>
        <w:pStyle w:val="Heading3"/>
        <w:spacing w:after="80" w:before="180"/>
      </w:pPr>
      <w:r>
        <w:rPr>
          <w:rFonts w:ascii="Arial" w:cs="Arial" w:eastAsia="Arial" w:hAnsi="Arial"/>
          <w:b/>
          <w:bCs/>
          <w:color w:val="0F172A"/>
          <w:sz w:val="24"/>
          <w:szCs w:val="24"/>
        </w:rPr>
        <w:t xml:space="preserve">Los Tres Perfiles Estratégicos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560"/>
        <w:gridCol w:w="2340"/>
      </w:tblGrid>
      <w:tr>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Cluster</w:t>
            </w:r>
          </w:p>
        </w:tc>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Nombre</w:t>
            </w:r>
          </w:p>
        </w:tc>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ROA</w:t>
            </w:r>
          </w:p>
        </w:tc>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CFO</w:t>
            </w:r>
          </w:p>
        </w:tc>
        <w:tc>
          <w:tcPr>
            <w:tcW w:type="dxa" w:w="117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LEV</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Peso ~</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Perfil Estratégico</w:t>
            </w:r>
          </w:p>
        </w:tc>
      </w:tr>
      <w:tr>
        <w:tc>
          <w:tcPr>
            <w:tcW w:type="dxa" w:w="2340"/>
            <w:tcBorders>
              <w:top w:val="single" w:color="CCCCCC" w:sz="1"/>
              <w:left w:val="single" w:color="CCCCCC" w:sz="1"/>
              <w:bottom w:val="single" w:color="CCCCCC" w:sz="1"/>
              <w:right w:val="single" w:color="CCCCCC" w:sz="1"/>
            </w:tcBorders>
            <w:shd w:fill="0D9488"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Líderes</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&gt;10%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Bajo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~33%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Samsung, SK Hynix, tech. alta mar. Invertir.</w:t>
            </w:r>
          </w:p>
        </w:tc>
      </w:tr>
      <w:tr>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C2</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Estables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≈5.8%</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Moderado</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Moderado</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~40%</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Industriales, servicios. Monitorear y mantener.</w:t>
            </w:r>
          </w:p>
        </w:tc>
      </w:tr>
      <w:tr>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Rezagados</w:t>
            </w:r>
          </w:p>
        </w:tc>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Bajo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~27%</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Deuda alta, caja baja. Reestructurar urgente.</w:t>
            </w:r>
          </w:p>
        </w:tc>
      </w:tr>
    </w:tbl>
    <w:p>
      <w:pPr>
        <w:spacing w:after="60" w:before="100"/>
        <w:ind w:left="360"/>
      </w:pPr>
      <w:r>
        <w:rPr>
          <w:rFonts w:ascii="Arial" w:cs="Arial" w:eastAsia="Arial" w:hAnsi="Arial"/>
          <w:b/>
          <w:bCs/>
          <w:color w:val="0D9488"/>
          <w:sz w:val="22"/>
          <w:szCs w:val="22"/>
        </w:rPr>
        <w:t xml:space="preserve">▶ Lectura de las muescas en boxplots de cluster: </w:t>
      </w:r>
      <w:r>
        <w:rPr>
          <w:rFonts w:ascii="Arial" w:cs="Arial" w:eastAsia="Arial" w:hAnsi="Arial"/>
          <w:color w:val="0F172A"/>
          <w:sz w:val="22"/>
          <w:szCs w:val="22"/>
        </w:rPr>
        <w:t xml:space="preserve">Si las muescas de C1 y C2 no se solapan en el eje ROA, la diferencia de medianas es estadísticamente significativa al 95%. Con n≈4,000+ observaciones por cluster y las diferencias observadas (&gt;10% vs ≈5.8%), esta separación es prácticamente indudable.</w:t>
      </w:r>
    </w:p>
    <w:p>
      <w:pPr>
        <w:pStyle w:val="Heading3"/>
        <w:spacing w:after="80" w:before="180"/>
      </w:pPr>
      <w:r>
        <w:rPr>
          <w:rFonts w:ascii="Arial" w:cs="Arial" w:eastAsia="Arial" w:hAnsi="Arial"/>
          <w:b/>
          <w:bCs/>
          <w:color w:val="0F172A"/>
          <w:sz w:val="24"/>
          <w:szCs w:val="24"/>
        </w:rPr>
        <w:t xml:space="preserve">La Importancia del Cluster C3 — Señal de Alarma</w:t>
      </w:r>
    </w:p>
    <w:p>
      <w:pPr>
        <w:spacing w:after="80" w:before="60"/>
      </w:pPr>
      <w:r>
        <w:rPr>
          <w:rFonts w:ascii="Arial" w:cs="Arial" w:eastAsia="Arial" w:hAnsi="Arial"/>
          <w:color w:val="0F172A"/>
          <w:sz w:val="22"/>
          <w:szCs w:val="22"/>
        </w:rPr>
        <w:t xml:space="preserve">El Cluster 3 (Rezagados) tiene ROA≈1.2%, muy cercano a cero, con LEV alto y CFO bajo. Estas empresas están en una trampa: la deuda eleva los costos financieros, lo que reduce el beneficio neto (↓ROA), mientras el bajo flujo de caja operativo no genera recursos para desapalancarse. Es el clásico "círculo vicioso de deuda". La recomendación del análisis (Conclusión 02) es precisa: desapalancarse ANTES de expandir activos.</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8. Diapositivas 12, 13 y 14 — Los 100 Titanes vs. Inflación (2020–2024)</w:t>
      </w:r>
    </w:p>
    <w:p>
      <w:pPr>
        <w:spacing w:after="80" w:before="60"/>
      </w:pPr>
      <w:r>
        <w:rPr>
          <w:rFonts w:ascii="Arial" w:cs="Arial" w:eastAsia="Arial" w:hAnsi="Arial"/>
          <w:color w:val="0F172A"/>
          <w:sz w:val="22"/>
          <w:szCs w:val="22"/>
        </w:rPr>
        <w:t xml:space="preserve">Este bloque de tres diapositivas introduce un análisis de rendimiento real que trasciende el ROA contable y lo confronta con la inflación. Es el análisis más orientado a la toma de decisiones de inversión.</w:t>
      </w:r>
    </w:p>
    <w:p>
      <w:pPr>
        <w:pStyle w:val="Heading2"/>
        <w:spacing w:after="120" w:before="240"/>
      </w:pPr>
      <w:r>
        <w:rPr>
          <w:rFonts w:ascii="Arial" w:cs="Arial" w:eastAsia="Arial" w:hAnsi="Arial"/>
          <w:b/>
          <w:bCs/>
          <w:color w:val="0D9488"/>
          <w:sz w:val="28"/>
          <w:szCs w:val="28"/>
        </w:rPr>
        <w:t xml:space="preserve">8.1 ¿Qué es el ROA Real?</w:t>
      </w:r>
    </w:p>
    <w:p>
      <w:pPr>
        <w:spacing w:after="80" w:before="60"/>
      </w:pPr>
      <w:r>
        <w:rPr>
          <w:rFonts w:ascii="Arial" w:cs="Arial" w:eastAsia="Arial" w:hAnsi="Arial"/>
          <w:color w:val="0F172A"/>
          <w:sz w:val="22"/>
          <w:szCs w:val="22"/>
        </w:rPr>
        <w:t xml:space="preserve">El ROA que reportan las empresas es una medida contable: beneficio neto / activos. Sin embargo, desde el punto de vista del inversor o del analista de riqueza, lo que importa es si la rentabilidad SUPERA el costo de oportunidad, el mínimo de los cuales es la inflación.</w:t>
      </w:r>
    </w:p>
    <w:p>
      <w:pPr>
        <w:shd w:fill="F8FAFC" w:val="clear"/>
        <w:spacing w:after="40" w:before="40"/>
        <w:ind w:left="720"/>
      </w:pPr>
      <w:r>
        <w:rPr>
          <w:rFonts w:ascii="Courier New" w:cs="Courier New" w:eastAsia="Courier New" w:hAnsi="Courier New"/>
          <w:color w:val="1E3A5F"/>
          <w:sz w:val="18"/>
          <w:szCs w:val="18"/>
        </w:rPr>
        <w:t xml:space="preserve">ROA Real = ROA Contable − Tasa de Inflación Anual de Corea</w:t>
      </w:r>
    </w:p>
    <w:p>
      <w:pPr>
        <w:spacing w:after="80" w:before="60"/>
      </w:pPr>
      <w:r>
        <w:rPr>
          <w:rFonts w:ascii="Arial" w:cs="Arial" w:eastAsia="Arial" w:hAnsi="Arial"/>
          <w:color w:val="0F172A"/>
          <w:sz w:val="22"/>
          <w:szCs w:val="22"/>
        </w:rPr>
        <w:t xml:space="preserve">Una empresa con ROA=3% en 2022 (año de inflación 5.09%) tiene ROA Real = 3% − 5.09% = −2.09%: destruyó valor en términos reales aunque reportó ganancias contables. Esta distinción es fundamental para inversores y reguladores.</w:t>
      </w:r>
    </w:p>
    <w:p>
      <w:pPr>
        <w:pStyle w:val="Heading3"/>
        <w:spacing w:after="80" w:before="180"/>
      </w:pPr>
      <w:r>
        <w:rPr>
          <w:rFonts w:ascii="Arial" w:cs="Arial" w:eastAsia="Arial" w:hAnsi="Arial"/>
          <w:b/>
          <w:bCs/>
          <w:color w:val="0F172A"/>
          <w:sz w:val="24"/>
          <w:szCs w:val="24"/>
        </w:rPr>
        <w:t xml:space="preserve">Inflación de Corea del Sur 2020–2024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252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Año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Inflación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Contexto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Nivel de Estrés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Implicación para empresas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2020</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0.54%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COVID-19</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MUY BAJO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Barrera ROA Real mínima. Año favorable.</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2021</w:t>
            </w:r>
          </w:p>
        </w:tc>
        <w:tc>
          <w:tcPr>
            <w:tcW w:type="dxa" w:w="2340"/>
            <w:tcBorders>
              <w:top w:val="single" w:color="CCCCCC" w:sz="1"/>
              <w:left w:val="single" w:color="CCCCCC" w:sz="1"/>
              <w:bottom w:val="single" w:color="CCCCCC" w:sz="1"/>
              <w:right w:val="single" w:color="CCCCCC" w:sz="1"/>
            </w:tcBorders>
            <w:shd w:fill="D97706" w:val="clear"/>
            <w:tcMar>
              <w:top w:type="dxa" w:w="80"/>
              <w:left w:type="dxa" w:w="160"/>
              <w:bottom w:type="dxa" w:w="80"/>
              <w:right w:type="dxa" w:w="160"/>
            </w:tcMar>
            <w:vAlign w:val="center"/>
          </w:tcPr>
          <w:p>
            <w:pPr>
              <w:jc w:val="center"/>
            </w:pPr>
            <w:r>
              <w:rPr>
                <w:rFonts w:ascii="Arial" w:cs="Arial" w:eastAsia="Arial" w:hAnsi="Arial"/>
                <w:b/>
                <w:bCs/>
                <w:color w:val="0F172A"/>
                <w:sz w:val="20"/>
                <w:szCs w:val="20"/>
              </w:rPr>
              <w:t xml:space="preserve">2.50%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Recuperación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MODERADO</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ROA&gt;2.5% = valor real. Año razonable.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2022</w:t>
            </w:r>
          </w:p>
        </w:tc>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5.09%</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Crisis energía</w:t>
            </w:r>
          </w:p>
        </w:tc>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MÁXIMO ESTRÉS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El año más duro. Solo ROA&gt;5% = valor real.</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2023</w:t>
            </w:r>
          </w:p>
        </w:tc>
        <w:tc>
          <w:tcPr>
            <w:tcW w:type="dxa" w:w="2340"/>
            <w:tcBorders>
              <w:top w:val="single" w:color="CCCCCC" w:sz="1"/>
              <w:left w:val="single" w:color="CCCCCC" w:sz="1"/>
              <w:bottom w:val="single" w:color="CCCCCC" w:sz="1"/>
              <w:right w:val="single" w:color="CCCCCC" w:sz="1"/>
            </w:tcBorders>
            <w:shd w:fill="F9731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3.60%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Desaceleración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ALTO</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Inflación bajando pero aún exigente.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2024</w:t>
            </w:r>
          </w:p>
        </w:tc>
        <w:tc>
          <w:tcPr>
            <w:tcW w:type="dxa" w:w="2340"/>
            <w:tcBorders>
              <w:top w:val="single" w:color="CCCCCC" w:sz="1"/>
              <w:left w:val="single" w:color="CCCCCC" w:sz="1"/>
              <w:bottom w:val="single" w:color="CCCCCC" w:sz="1"/>
              <w:right w:val="single" w:color="CCCCCC" w:sz="1"/>
            </w:tcBorders>
            <w:shd w:fill="D97706" w:val="clear"/>
            <w:tcMar>
              <w:top w:type="dxa" w:w="80"/>
              <w:left w:type="dxa" w:w="160"/>
              <w:bottom w:type="dxa" w:w="80"/>
              <w:right w:type="dxa" w:w="160"/>
            </w:tcMar>
            <w:vAlign w:val="center"/>
          </w:tcPr>
          <w:p>
            <w:pPr>
              <w:jc w:val="center"/>
            </w:pPr>
            <w:r>
              <w:rPr>
                <w:rFonts w:ascii="Arial" w:cs="Arial" w:eastAsia="Arial" w:hAnsi="Arial"/>
                <w:b/>
                <w:bCs/>
                <w:color w:val="0F172A"/>
                <w:sz w:val="20"/>
                <w:szCs w:val="20"/>
              </w:rPr>
              <w:t xml:space="preserve">2.32%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Normalización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MODERADO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Condiciones mejoran. ROA&gt;2.3% = real positivo.</w:t>
            </w:r>
          </w:p>
        </w:tc>
      </w:tr>
    </w:tbl>
    <w:p>
      <w:pPr>
        <w:pStyle w:val="Heading2"/>
        <w:spacing w:after="120" w:before="240"/>
      </w:pPr>
      <w:r>
        <w:rPr>
          <w:rFonts w:ascii="Arial" w:cs="Arial" w:eastAsia="Arial" w:hAnsi="Arial"/>
          <w:b/>
          <w:bCs/>
          <w:color w:val="0D9488"/>
          <w:sz w:val="28"/>
          <w:szCs w:val="28"/>
        </w:rPr>
        <w:t xml:space="preserve">8.2 Los Treemaps: Visualización y Diseño</w:t>
      </w:r>
    </w:p>
    <w:p>
      <w:pPr>
        <w:spacing w:after="80" w:before="60"/>
      </w:pPr>
      <w:r>
        <w:rPr>
          <w:rFonts w:ascii="Arial" w:cs="Arial" w:eastAsia="Arial" w:hAnsi="Arial"/>
          <w:color w:val="0F172A"/>
          <w:sz w:val="22"/>
          <w:szCs w:val="22"/>
        </w:rPr>
        <w:t xml:space="preserve">Los treemaps (mapas de árbol) son ideales para representar simultáneamente dos variables cuantitativas de un conjunto grande de entidades:</w:t>
      </w:r>
    </w:p>
    <w:p>
      <w:pPr>
        <w:pStyle w:val="ListParagraph"/>
        <w:numPr>
          <w:ilvl w:val="0"/>
          <w:numId w:val="2"/>
        </w:numPr>
        <w:spacing w:after="40" w:before="40"/>
      </w:pPr>
      <w:r>
        <w:rPr>
          <w:rFonts w:ascii="Arial" w:cs="Arial" w:eastAsia="Arial" w:hAnsi="Arial"/>
          <w:color w:val="0F172A"/>
          <w:sz w:val="22"/>
          <w:szCs w:val="22"/>
        </w:rPr>
        <w:t xml:space="preserve">Tamaño del rectángulo = Tamaño de la empresa (exp(SIZE) = activos totales en la escala original). Las empresas más grandes ocupan más espacio visual.</w:t>
      </w:r>
    </w:p>
    <w:p>
      <w:pPr>
        <w:pStyle w:val="ListParagraph"/>
        <w:numPr>
          <w:ilvl w:val="0"/>
          <w:numId w:val="2"/>
        </w:numPr>
        <w:spacing w:after="40" w:before="40"/>
      </w:pPr>
      <w:r>
        <w:rPr>
          <w:rFonts w:ascii="Arial" w:cs="Arial" w:eastAsia="Arial" w:hAnsi="Arial"/>
          <w:color w:val="0F172A"/>
          <w:sz w:val="22"/>
          <w:szCs w:val="22"/>
        </w:rPr>
        <w:t xml:space="preserve">Color del rectángulo = ROA Real. La escala divergente va de rojo (#EF4444 = destruye valor) a gris oscuro (#334155 = neutral, ROA Real≈0) a verde (#10B981 = crea valor real). El midpoint de la escala está exactamente en ROA Real=0 (la frontera inflación).</w:t>
      </w:r>
    </w:p>
    <w:p>
      <w:pPr>
        <w:pStyle w:val="ListParagraph"/>
        <w:numPr>
          <w:ilvl w:val="0"/>
          <w:numId w:val="2"/>
        </w:numPr>
        <w:spacing w:after="40" w:before="40"/>
      </w:pPr>
      <w:r>
        <w:rPr>
          <w:rFonts w:ascii="Arial" w:cs="Arial" w:eastAsia="Arial" w:hAnsi="Arial"/>
          <w:color w:val="0F172A"/>
          <w:sz w:val="22"/>
          <w:szCs w:val="22"/>
        </w:rPr>
        <w:t xml:space="preserve">Límite artificial de la escala = ±5%: Valores más extremos se "comprimen" (squish) al color máximo para mantener los colores vivos. Sin este límite, Samsung (ROA Real&gt;&gt;5%) monopolizaría el verde y todo el resto aparecería gris.</w:t>
      </w:r>
    </w:p>
    <w:p>
      <w:pPr>
        <w:spacing w:after="80" w:before="60"/>
      </w:pPr>
      <w:r>
        <w:rPr>
          <w:rFonts w:ascii="Arial" w:cs="Arial" w:eastAsia="Arial" w:hAnsi="Arial"/>
          <w:color w:val="0F172A"/>
          <w:sz w:val="22"/>
          <w:szCs w:val="22"/>
        </w:rPr>
        <w:t xml:space="preserve">El código usa el algoritmo "pivotSize" para el layout de los rectángulos, que minimiza el ratio de aspecto y hace los rectángulos más cuadrados (más legibles). El índice de los rectángulos es stock_char (no el nombre), forzando exactamente 100 rectángulos distintos.</w:t>
      </w:r>
    </w:p>
    <w:p>
      <w:pPr>
        <w:pStyle w:val="Heading2"/>
        <w:spacing w:after="120" w:before="240"/>
      </w:pPr>
      <w:r>
        <w:rPr>
          <w:rFonts w:ascii="Arial" w:cs="Arial" w:eastAsia="Arial" w:hAnsi="Arial"/>
          <w:b/>
          <w:bCs/>
          <w:color w:val="0D9488"/>
          <w:sz w:val="28"/>
          <w:szCs w:val="28"/>
        </w:rPr>
        <w:t xml:space="preserve">8.3 Diapositiva 12: 2020–2021 — Dos Años de Transición</w:t>
      </w:r>
    </w:p>
    <w:p>
      <w:pPr>
        <w:spacing w:after="80" w:before="60"/>
      </w:pPr>
      <w:r>
        <w:rPr>
          <w:rFonts w:ascii="Arial" w:cs="Arial" w:eastAsia="Arial" w:hAnsi="Arial"/>
          <w:color w:val="0F172A"/>
          <w:sz w:val="22"/>
          <w:szCs w:val="22"/>
        </w:rPr>
        <w:t xml:space="preserve">2020 con inflación 0.54% es el año de menor barrera: prácticamente cualquier empresa con ROA&gt;0.5% creó valor real. La mayoría de los 100 titanes (empresas de mayor capitalización de mercado) luce en verde. En contraste, 2021 con inflación 2.5% ya exige más.</w:t>
      </w:r>
    </w:p>
    <w:p>
      <w:pPr>
        <w:spacing w:after="80" w:before="60"/>
      </w:pPr>
      <w:r>
        <w:rPr>
          <w:rFonts w:ascii="Arial" w:cs="Arial" w:eastAsia="Arial" w:hAnsi="Arial"/>
          <w:color w:val="0F172A"/>
          <w:sz w:val="22"/>
          <w:szCs w:val="22"/>
        </w:rPr>
        <w:t xml:space="preserve">Esta diapositiva establece el punto de comparación BASE: en condiciones de baja inflación, el mercado coreano es un generador de valor real robusto. Lo que cambia radicalmente en 2022.</w:t>
      </w:r>
    </w:p>
    <w:p>
      <w:pPr>
        <w:pStyle w:val="Heading2"/>
        <w:spacing w:after="120" w:before="240"/>
      </w:pPr>
      <w:r>
        <w:rPr>
          <w:rFonts w:ascii="Arial" w:cs="Arial" w:eastAsia="Arial" w:hAnsi="Arial"/>
          <w:b/>
          <w:bCs/>
          <w:color w:val="0D9488"/>
          <w:sz w:val="28"/>
          <w:szCs w:val="28"/>
        </w:rPr>
        <w:t xml:space="preserve">8.4 Diapositiva 13: 2022 — El Año del Máximo Estrés (5.09%)</w:t>
      </w:r>
    </w:p>
    <w:p>
      <w:pPr>
        <w:spacing w:after="80" w:before="60"/>
      </w:pPr>
      <w:r>
        <w:rPr>
          <w:rFonts w:ascii="Arial" w:cs="Arial" w:eastAsia="Arial" w:hAnsi="Arial"/>
          <w:color w:val="0F172A"/>
          <w:sz w:val="22"/>
          <w:szCs w:val="22"/>
        </w:rPr>
        <w:t xml:space="preserve">Este es el análisis más dramático. Con inflación 5.09%, una empresa necesita un ROA contable superior al 5.09% solo para mantener el valor real de sus activos. Esto fue excepcionalmente difícil para sectores intensivos en capital (automotriz, construcción, química básica) y más manejable para tecnología de alto margen (semiconductores avanzados, software).</w:t>
      </w:r>
    </w:p>
    <w:p>
      <w:pPr>
        <w:spacing w:after="80" w:before="60"/>
      </w:pPr>
      <w:r>
        <w:rPr>
          <w:rFonts w:ascii="Arial" w:cs="Arial" w:eastAsia="Arial" w:hAnsi="Arial"/>
          <w:color w:val="0F172A"/>
          <w:sz w:val="22"/>
          <w:szCs w:val="22"/>
        </w:rPr>
        <w:t xml:space="preserve">La diapositiva revela la "imagen térmica" del mercado coreano bajo estrés inflacionario: claramente rojo en sectores de bajo margen y verde en semiconductores (Samsung Electronics tuvo ROA&gt;10% en 2022 incluso antes del ajuste).</w:t>
      </w:r>
    </w:p>
    <w:p>
      <w:pPr>
        <w:spacing w:after="60" w:before="100"/>
        <w:ind w:left="360"/>
      </w:pPr>
      <w:r>
        <w:rPr>
          <w:rFonts w:ascii="Arial" w:cs="Arial" w:eastAsia="Arial" w:hAnsi="Arial"/>
          <w:b/>
          <w:bCs/>
          <w:color w:val="0D9488"/>
          <w:sz w:val="22"/>
          <w:szCs w:val="22"/>
        </w:rPr>
        <w:t xml:space="preserve">▶ Lectura crítica: </w:t>
      </w:r>
      <w:r>
        <w:rPr>
          <w:rFonts w:ascii="Arial" w:cs="Arial" w:eastAsia="Arial" w:hAnsi="Arial"/>
          <w:color w:val="0F172A"/>
          <w:sz w:val="22"/>
          <w:szCs w:val="22"/>
        </w:rPr>
        <w:t xml:space="preserve">Los rectángulos más grandes en rojo son la señal de mayor riesgo sistémico: empresas GRANDES que destruyen valor real afectan el empleo, la deuda bancaria y la estabilidad financiera de toda la economía. Eso es exactamente lo que ocurrió en Corea en 2022 con el ajuste monetario.</w:t>
      </w:r>
    </w:p>
    <w:p>
      <w:pPr>
        <w:pStyle w:val="Heading2"/>
        <w:spacing w:after="120" w:before="240"/>
      </w:pPr>
      <w:r>
        <w:rPr>
          <w:rFonts w:ascii="Arial" w:cs="Arial" w:eastAsia="Arial" w:hAnsi="Arial"/>
          <w:b/>
          <w:bCs/>
          <w:color w:val="0D9488"/>
          <w:sz w:val="28"/>
          <w:szCs w:val="28"/>
        </w:rPr>
        <w:t xml:space="preserve">8.5 Diapositiva 14: 2023–2024 — La Recuperación</w:t>
      </w:r>
    </w:p>
    <w:p>
      <w:pPr>
        <w:spacing w:after="80" w:before="60"/>
      </w:pPr>
      <w:r>
        <w:rPr>
          <w:rFonts w:ascii="Arial" w:cs="Arial" w:eastAsia="Arial" w:hAnsi="Arial"/>
          <w:color w:val="0F172A"/>
          <w:sz w:val="22"/>
          <w:szCs w:val="22"/>
        </w:rPr>
        <w:t xml:space="preserve">A medida que la inflación baja (3.6% en 2023, 2.32% en 2024), el treemap vuelve a dominar el verde. La recuperación no es uniforme: el sector semiconductor muestra ROA Real extraordinario (el ciclo de chips se recuperó en 2023-2024), mientras sectores financiados con deuda variable siguen bajo presión por las tasas de interés altas (consecuencia del ajuste monetario anti-inflacionario).</w:t>
      </w:r>
    </w:p>
    <w:p>
      <w:pPr>
        <w:spacing w:after="80" w:before="60"/>
      </w:pPr>
      <w:r>
        <w:rPr>
          <w:rFonts w:ascii="Arial" w:cs="Arial" w:eastAsia="Arial" w:hAnsi="Arial"/>
          <w:color w:val="0F172A"/>
          <w:sz w:val="22"/>
          <w:szCs w:val="22"/>
        </w:rPr>
        <w:t xml:space="preserve">El hallazgo del 74% de titanes superando la inflación en el período completo 2020-2024 es robustez: incluyendo el año de máximo estrés (2022), la mayoría de las empresas más grandes de Corea generó valor real positivo en promedio.</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9. Diapositiva 15 — Conclusiones y Recomendaciones: Síntesis Ejecutiva</w:t>
      </w:r>
    </w:p>
    <w:p>
      <w:pPr>
        <w:spacing w:after="80" w:before="60"/>
      </w:pPr>
      <w:r>
        <w:rPr>
          <w:rFonts w:ascii="Arial" w:cs="Arial" w:eastAsia="Arial" w:hAnsi="Arial"/>
          <w:color w:val="0F172A"/>
          <w:sz w:val="22"/>
          <w:szCs w:val="22"/>
        </w:rPr>
        <w:t xml:space="preserve">La diapositiva final sintetiza los 5 hallazgos centrales del análisis en formato conclusión-acción. Cada conclusión está anclada en evidencia estadística específica.</w:t>
      </w:r>
    </w:p>
    <w:p>
      <w:pPr>
        <w:pStyle w:val="Heading2"/>
        <w:spacing w:after="120" w:before="240"/>
      </w:pPr>
      <w:r>
        <w:rPr>
          <w:rFonts w:ascii="Arial" w:cs="Arial" w:eastAsia="Arial" w:hAnsi="Arial"/>
          <w:b/>
          <w:bCs/>
          <w:color w:val="0D9488"/>
          <w:sz w:val="28"/>
          <w:szCs w:val="28"/>
        </w:rPr>
        <w:t xml:space="preserve">9.1 Conclusión 01: CFO es el Predictor Dominante del ROA</w:t>
      </w:r>
    </w:p>
    <w:p>
      <w:pPr>
        <w:spacing w:after="80" w:before="60"/>
      </w:pPr>
      <w:r>
        <w:rPr>
          <w:rFonts w:ascii="Arial" w:cs="Arial" w:eastAsia="Arial" w:hAnsi="Arial"/>
          <w:color w:val="0F172A"/>
          <w:sz w:val="22"/>
          <w:szCs w:val="22"/>
        </w:rPr>
        <w:t xml:space="preserve">Evidencia cuantitativa: β_CFO = +0.333 (p&lt;0.001), β* ≈ +0.458 (el mayor β estandarizado del modelo), ρ_Spearman(CFO,ROA) = +0.47.</w:t>
      </w:r>
    </w:p>
    <w:p>
      <w:pPr>
        <w:spacing w:after="80" w:before="60"/>
      </w:pPr>
      <w:r>
        <w:rPr>
          <w:rFonts w:ascii="Arial" w:cs="Arial" w:eastAsia="Arial" w:hAnsi="Arial"/>
          <w:color w:val="0F172A"/>
          <w:sz w:val="22"/>
          <w:szCs w:val="22"/>
        </w:rPr>
        <w:t xml:space="preserve">Interpretación: Por cada punto porcentual adicional de Cash Flow Operativo sobre activos, el ROA aumenta en 0.333 puntos porcentuales, manteniendo constantes las demás variables. El β* de 0.458 indica que un incremento de una desviación estándar en CFO produce un incremento de 0.458 desviaciones estándar en ROA (el mayor impacto estandarizado del modelo).</w:t>
      </w:r>
    </w:p>
    <w:p>
      <w:pPr>
        <w:spacing w:after="60" w:before="100"/>
        <w:ind w:left="360"/>
      </w:pPr>
      <w:r>
        <w:rPr>
          <w:rFonts w:ascii="Arial" w:cs="Arial" w:eastAsia="Arial" w:hAnsi="Arial"/>
          <w:b/>
          <w:bCs/>
          <w:color w:val="0D9488"/>
          <w:sz w:val="22"/>
          <w:szCs w:val="22"/>
        </w:rPr>
        <w:t xml:space="preserve">▶ Recomendación: </w:t>
      </w:r>
      <w:r>
        <w:rPr>
          <w:rFonts w:ascii="Arial" w:cs="Arial" w:eastAsia="Arial" w:hAnsi="Arial"/>
          <w:color w:val="0F172A"/>
          <w:sz w:val="22"/>
          <w:szCs w:val="22"/>
        </w:rPr>
        <w:t xml:space="preserve">Monitorear CFO/Activos mensualmente y mantener ratio &gt;5%. Esto equivale a un semáforo operativo: CFO&gt;5% = zona verde de rentabilidad sostenible.</w:t>
      </w:r>
    </w:p>
    <w:p>
      <w:pPr>
        <w:pStyle w:val="Heading2"/>
        <w:spacing w:after="120" w:before="240"/>
      </w:pPr>
      <w:r>
        <w:rPr>
          <w:rFonts w:ascii="Arial" w:cs="Arial" w:eastAsia="Arial" w:hAnsi="Arial"/>
          <w:b/>
          <w:bCs/>
          <w:color w:val="0D9488"/>
          <w:sz w:val="28"/>
          <w:szCs w:val="28"/>
        </w:rPr>
        <w:t xml:space="preserve">9.2 Conclusión 02: El Apalancamiento Excesivo Destruye Valor</w:t>
      </w:r>
    </w:p>
    <w:p>
      <w:pPr>
        <w:spacing w:after="80" w:before="60"/>
      </w:pPr>
      <w:r>
        <w:rPr>
          <w:rFonts w:ascii="Arial" w:cs="Arial" w:eastAsia="Arial" w:hAnsi="Arial"/>
          <w:color w:val="0F172A"/>
          <w:sz w:val="22"/>
          <w:szCs w:val="22"/>
        </w:rPr>
        <w:t xml:space="preserve">Evidencia: β_LEV = −0.055 (p&lt;0.001). Cada 10 puntos porcentuales adicionales de apalancamiento reducen el ROA en 0.55 puntos porcentuales. Zona óptima identificada: LEV &lt; 40%.</w:t>
      </w:r>
    </w:p>
    <w:p>
      <w:pPr>
        <w:spacing w:after="80" w:before="60"/>
      </w:pPr>
      <w:r>
        <w:rPr>
          <w:rFonts w:ascii="Arial" w:cs="Arial" w:eastAsia="Arial" w:hAnsi="Arial"/>
          <w:color w:val="0F172A"/>
          <w:sz w:val="22"/>
          <w:szCs w:val="22"/>
        </w:rPr>
        <w:t xml:space="preserve">Lógica financiera: Al superar el 40% de LEV, los costos financieros de la deuda superan el beneficio del escudo fiscal, y el riesgo de distress financiero comienza a imponer costos directos (refinanciamiento más caro, restricciones de covenants bancarios) e indirectos (empleados se van, clientes dudan, proveedores exigen condiciones más duras).</w:t>
      </w:r>
    </w:p>
    <w:p>
      <w:pPr>
        <w:spacing w:after="60" w:before="100"/>
        <w:ind w:left="360"/>
      </w:pPr>
      <w:r>
        <w:rPr>
          <w:rFonts w:ascii="Arial" w:cs="Arial" w:eastAsia="Arial" w:hAnsi="Arial"/>
          <w:b/>
          <w:bCs/>
          <w:color w:val="0D9488"/>
          <w:sz w:val="22"/>
          <w:szCs w:val="22"/>
        </w:rPr>
        <w:t xml:space="preserve">▶ Recomendación: </w:t>
      </w:r>
      <w:r>
        <w:rPr>
          <w:rFonts w:ascii="Arial" w:cs="Arial" w:eastAsia="Arial" w:hAnsi="Arial"/>
          <w:color w:val="0F172A"/>
          <w:sz w:val="22"/>
          <w:szCs w:val="22"/>
        </w:rPr>
        <w:t xml:space="preserve">Las empresas C3 (rezagados del K-Means) con LEV&gt;50% deben priorizar desapalancamiento antes que cualquier inversión de crecimiento.</w:t>
      </w:r>
    </w:p>
    <w:p>
      <w:pPr>
        <w:pStyle w:val="Heading2"/>
        <w:spacing w:after="120" w:before="240"/>
      </w:pPr>
      <w:r>
        <w:rPr>
          <w:rFonts w:ascii="Arial" w:cs="Arial" w:eastAsia="Arial" w:hAnsi="Arial"/>
          <w:b/>
          <w:bCs/>
          <w:color w:val="0D9488"/>
          <w:sz w:val="28"/>
          <w:szCs w:val="28"/>
        </w:rPr>
        <w:t xml:space="preserve">9.3 Conclusión 03: Crecimiento e Inventarios Impulsan la Rentabilidad</w:t>
      </w:r>
    </w:p>
    <w:p>
      <w:pPr>
        <w:spacing w:after="80" w:before="60"/>
      </w:pPr>
      <w:r>
        <w:rPr>
          <w:rFonts w:ascii="Arial" w:cs="Arial" w:eastAsia="Arial" w:hAnsi="Arial"/>
          <w:color w:val="0F172A"/>
          <w:sz w:val="22"/>
          <w:szCs w:val="22"/>
        </w:rPr>
        <w:t xml:space="preserve">Evidencia: β_GRW = +0.048*** y β_INVREC = +0.044***, ambos estadísticamente significativos con p&lt;0.001. Son el segundo y tercer predictor más importante del modelo en términos de magnitud y significancia.</w:t>
      </w:r>
    </w:p>
    <w:p>
      <w:pPr>
        <w:spacing w:after="80" w:before="60"/>
      </w:pPr>
      <w:r>
        <w:rPr>
          <w:rFonts w:ascii="Arial" w:cs="Arial" w:eastAsia="Arial" w:hAnsi="Arial"/>
          <w:color w:val="0F172A"/>
          <w:sz w:val="22"/>
          <w:szCs w:val="22"/>
        </w:rPr>
        <w:t xml:space="preserve">GRW (crecimiento de ventas) refleja apalancamiento operativo positivo: una empresa con costos fijos significativos que crece en ventas diluye esos costos fijos en más unidades, mejorando el margen. INVREC mide eficiencia en la gestión del capital de trabajo: mayor rotación de inventario y menor período medio de cobro significa menos capital "atrapado" en el ciclo operativo.</w:t>
      </w:r>
    </w:p>
    <w:p>
      <w:pPr>
        <w:spacing w:after="60" w:before="100"/>
        <w:ind w:left="360"/>
      </w:pPr>
      <w:r>
        <w:rPr>
          <w:rFonts w:ascii="Arial" w:cs="Arial" w:eastAsia="Arial" w:hAnsi="Arial"/>
          <w:b/>
          <w:bCs/>
          <w:color w:val="0D9488"/>
          <w:sz w:val="22"/>
          <w:szCs w:val="22"/>
        </w:rPr>
        <w:t xml:space="preserve">▶ Recomendación: </w:t>
      </w:r>
      <w:r>
        <w:rPr>
          <w:rFonts w:ascii="Arial" w:cs="Arial" w:eastAsia="Arial" w:hAnsi="Arial"/>
          <w:color w:val="0F172A"/>
          <w:sz w:val="22"/>
          <w:szCs w:val="22"/>
        </w:rPr>
        <w:t xml:space="preserve">Reducir días de inventario (lean manufacturing, just-in-time) y período medio de cobro (descuentos por pronto pago, factoring) mejora directamente el ROA sin necesidad de invertir en nuevos activos.</w:t>
      </w:r>
    </w:p>
    <w:p>
      <w:pPr>
        <w:pStyle w:val="Heading2"/>
        <w:spacing w:after="120" w:before="240"/>
      </w:pPr>
      <w:r>
        <w:rPr>
          <w:rFonts w:ascii="Arial" w:cs="Arial" w:eastAsia="Arial" w:hAnsi="Arial"/>
          <w:b/>
          <w:bCs/>
          <w:color w:val="0D9488"/>
          <w:sz w:val="28"/>
          <w:szCs w:val="28"/>
        </w:rPr>
        <w:t xml:space="preserve">9.4 Conclusión 04: Segmentación K-Means — 3 Perfiles Estratégicos Distintos</w:t>
      </w:r>
    </w:p>
    <w:p>
      <w:pPr>
        <w:spacing w:after="80" w:before="60"/>
      </w:pPr>
      <w:r>
        <w:rPr>
          <w:rFonts w:ascii="Arial" w:cs="Arial" w:eastAsia="Arial" w:hAnsi="Arial"/>
          <w:color w:val="0F172A"/>
          <w:sz w:val="22"/>
          <w:szCs w:val="22"/>
        </w:rPr>
        <w:t xml:space="preserve">El clustering K-Means con K=3 óptimo (seleccionado por método del codo aplicado sobre 4 componentes principales) identifica tres segmentos con diferencias estadísticamente significativas en todas las variables clave (las muescas de los boxplots no se solapan):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Cluster</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Peso</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ROA</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Acción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Prioridad</w:t>
            </w:r>
          </w:p>
        </w:tc>
      </w:tr>
      <w:tr>
        <w:tc>
          <w:tcPr>
            <w:tcW w:type="dxa" w:w="2340"/>
            <w:tcBorders>
              <w:top w:val="single" w:color="CCCCCC" w:sz="1"/>
              <w:left w:val="single" w:color="CCCCCC" w:sz="1"/>
              <w:bottom w:val="single" w:color="CCCCCC" w:sz="1"/>
              <w:right w:val="single" w:color="CCCCCC" w:sz="1"/>
            </w:tcBorders>
            <w:shd w:fill="0D9488"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C1 Líderes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~33%</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&gt;10%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Invertir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Largo plazo</w:t>
            </w:r>
          </w:p>
        </w:tc>
        <w:tc>
          <w:tcPr>
            <w:tcW w:type="dxa" w:w="2340"/>
            <w:tcBorders>
              <w:top w:val="single" w:color="CCCCCC" w:sz="1"/>
              <w:left w:val="single" w:color="CCCCCC" w:sz="1"/>
              <w:bottom w:val="single" w:color="CCCCCC" w:sz="1"/>
              <w:right w:val="single" w:color="CCCCCC" w:sz="1"/>
            </w:tcBorders>
            <w:shd w:fill="059669"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MÁXIMA</w:t>
            </w:r>
          </w:p>
        </w:tc>
      </w:tr>
      <w:tr>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C2 Estables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~40%</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≈5.8%</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Monitorear</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Continuo</w:t>
            </w:r>
          </w:p>
        </w:tc>
        <w:tc>
          <w:tcPr>
            <w:tcW w:type="dxa" w:w="2340"/>
            <w:tcBorders>
              <w:top w:val="single" w:color="CCCCCC" w:sz="1"/>
              <w:left w:val="single" w:color="CCCCCC" w:sz="1"/>
              <w:bottom w:val="single" w:color="CCCCCC" w:sz="1"/>
              <w:right w:val="single" w:color="CCCCCC" w:sz="1"/>
            </w:tcBorders>
            <w:shd w:fill="D97706" w:val="clear"/>
            <w:tcMar>
              <w:top w:type="dxa" w:w="80"/>
              <w:left w:type="dxa" w:w="160"/>
              <w:bottom w:type="dxa" w:w="80"/>
              <w:right w:type="dxa" w:w="160"/>
            </w:tcMar>
            <w:vAlign w:val="center"/>
          </w:tcPr>
          <w:p>
            <w:pPr>
              <w:jc w:val="center"/>
            </w:pPr>
            <w:r>
              <w:rPr>
                <w:rFonts w:ascii="Arial" w:cs="Arial" w:eastAsia="Arial" w:hAnsi="Arial"/>
                <w:b/>
                <w:bCs/>
                <w:color w:val="0F172A"/>
                <w:sz w:val="20"/>
                <w:szCs w:val="20"/>
              </w:rPr>
              <w:t xml:space="preserve">MEDIA</w:t>
            </w:r>
          </w:p>
        </w:tc>
      </w:tr>
      <w:tr>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C3 Rezagados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~27%</w:t>
            </w:r>
          </w:p>
        </w:tc>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Intervenir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Urgente</w:t>
            </w:r>
          </w:p>
        </w:tc>
        <w:tc>
          <w:tcPr>
            <w:tcW w:type="dxa" w:w="2340"/>
            <w:tcBorders>
              <w:top w:val="single" w:color="CCCCCC" w:sz="1"/>
              <w:left w:val="single" w:color="CCCCCC" w:sz="1"/>
              <w:bottom w:val="single" w:color="CCCCCC" w:sz="1"/>
              <w:right w:val="single" w:color="CCCCCC" w:sz="1"/>
            </w:tcBorders>
            <w:shd w:fill="EF444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CRÍTICA</w:t>
            </w:r>
          </w:p>
        </w:tc>
      </w:tr>
    </w:tbl>
    <w:p>
      <w:pPr>
        <w:pStyle w:val="Heading2"/>
        <w:spacing w:after="120" w:before="240"/>
      </w:pPr>
      <w:r>
        <w:rPr>
          <w:rFonts w:ascii="Arial" w:cs="Arial" w:eastAsia="Arial" w:hAnsi="Arial"/>
          <w:b/>
          <w:bCs/>
          <w:color w:val="0D9488"/>
          <w:sz w:val="28"/>
          <w:szCs w:val="28"/>
        </w:rPr>
        <w:t xml:space="preserve">9.5 Conclusión 05: ~74% de los 100 Titanes Superaron la Inflación</w:t>
      </w:r>
    </w:p>
    <w:p>
      <w:pPr>
        <w:spacing w:after="80" w:before="60"/>
      </w:pPr>
      <w:r>
        <w:rPr>
          <w:rFonts w:ascii="Arial" w:cs="Arial" w:eastAsia="Arial" w:hAnsi="Arial"/>
          <w:color w:val="0F172A"/>
          <w:sz w:val="22"/>
          <w:szCs w:val="22"/>
        </w:rPr>
        <w:t xml:space="preserve">En el período 2020–2024, aproximadamente 74 de las 100 empresas de mayor capitalización del mercado coreano generaron ROA Real &gt; 0 en promedio. Este resultado consolida la visión del KOSPI/KOSDAQ como un mercado generador neto de valor real para los inversores.</w:t>
      </w:r>
    </w:p>
    <w:p>
      <w:pPr>
        <w:spacing w:after="80" w:before="60"/>
      </w:pPr>
      <w:r>
        <w:rPr>
          <w:rFonts w:ascii="Arial" w:cs="Arial" w:eastAsia="Arial" w:hAnsi="Arial"/>
          <w:color w:val="0F172A"/>
          <w:sz w:val="22"/>
          <w:szCs w:val="22"/>
        </w:rPr>
        <w:t xml:space="preserve">El peak inflacionario de 2022 (5.09%) redujo este porcentaje al mínimo del período: es en ese año donde la discriminación entre sectores es más aguda y donde el análisis de los treemaps es más revelador. El sector semiconductor y tech lideró consistentemente con ROA reales positivos incluso en el peor año.</w:t>
      </w:r>
    </w:p>
    <w:p>
      <w:pPr>
        <w:spacing w:after="60" w:before="100"/>
        <w:ind w:left="360"/>
      </w:pPr>
      <w:r>
        <w:rPr>
          <w:rFonts w:ascii="Arial" w:cs="Arial" w:eastAsia="Arial" w:hAnsi="Arial"/>
          <w:b/>
          <w:bCs/>
          <w:color w:val="0D9488"/>
          <w:sz w:val="22"/>
          <w:szCs w:val="22"/>
        </w:rPr>
        <w:t xml:space="preserve">▶ Recomendación para diversificación: </w:t>
      </w:r>
      <w:r>
        <w:rPr>
          <w:rFonts w:ascii="Arial" w:cs="Arial" w:eastAsia="Arial" w:hAnsi="Arial"/>
          <w:color w:val="0F172A"/>
          <w:sz w:val="22"/>
          <w:szCs w:val="22"/>
        </w:rPr>
        <w:t xml:space="preserve">Construir portafolios con sesgo hacia empresas de ROA Real consistentemente positivo y LEV&lt;50%. La metodología KoTaP proporciona exactamente el scoring cuantitativo para este filtro.</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10. El Pipeline Técnico en R — Script KoTaP v6.0</w:t>
      </w:r>
    </w:p>
    <w:p>
      <w:pPr>
        <w:spacing w:after="80" w:before="60"/>
      </w:pPr>
      <w:r>
        <w:rPr>
          <w:rFonts w:ascii="Arial" w:cs="Arial" w:eastAsia="Arial" w:hAnsi="Arial"/>
          <w:color w:val="0F172A"/>
          <w:sz w:val="22"/>
          <w:szCs w:val="22"/>
        </w:rPr>
        <w:t xml:space="preserve">Para completar la comprensión del proyecto, esta sección explica las decisiones de implementación clave del código R que produce todos los análisis y gráficos de la presentación.</w:t>
      </w:r>
    </w:p>
    <w:p>
      <w:pPr>
        <w:pStyle w:val="Heading2"/>
        <w:spacing w:after="120" w:before="240"/>
      </w:pPr>
      <w:r>
        <w:rPr>
          <w:rFonts w:ascii="Arial" w:cs="Arial" w:eastAsia="Arial" w:hAnsi="Arial"/>
          <w:b/>
          <w:bCs/>
          <w:color w:val="0D9488"/>
          <w:sz w:val="28"/>
          <w:szCs w:val="28"/>
        </w:rPr>
        <w:t xml:space="preserve">10.1 Estructura del Pipeline (8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4680"/>
      </w:tblGrid>
      <w:tr>
        <w:tc>
          <w:tcPr>
            <w:tcW w:type="dxa" w:w="7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Nombre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Técnica Principal</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Output Clave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Paquetes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Carga de librerías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Entorno R configurado con 13 paquetes especializados</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Carga y Limpieza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IQR×3 outlier removal</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Dataset limpio, split train 80%/test 20%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Estadística Descriptiva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Histograma+Boxplot+QQ</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Panel descriptivo por variable + grid resumen</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Correlación Spearman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Heatmap triangular</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Matriz de correlación visual + top correlaciones con ROA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Regresión OLS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lm() + diagnóstico residuos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Panel predichos/betas + 3 gráficos diagnóstico</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PCA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prcomp() + Kaiser</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Scree plot + Biplot empresas/variables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K-Means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kmeans() + codo + PCA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Método codo + distribución 2D + perfiles por cluster</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Treemaps Titanes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treemap() + ROA Real</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5 treemaps anuales (2020–2024) con escala inflación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Guardado Final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ggsave() alta resolución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PNG 2800×1600px (std) y 3800×2400px (treemaps) a 200dpi</w:t>
            </w:r>
          </w:p>
        </w:tc>
      </w:tr>
    </w:tbl>
    <w:p>
      <w:pPr>
        <w:pStyle w:val="Heading2"/>
        <w:spacing w:after="120" w:before="240"/>
      </w:pPr>
      <w:r>
        <w:rPr>
          <w:rFonts w:ascii="Arial" w:cs="Arial" w:eastAsia="Arial" w:hAnsi="Arial"/>
          <w:b/>
          <w:bCs/>
          <w:color w:val="0D9488"/>
          <w:sz w:val="28"/>
          <w:szCs w:val="28"/>
        </w:rPr>
        <w:t xml:space="preserve">10.2 Decisiones Metodológicas Clave del v6.0</w:t>
      </w:r>
    </w:p>
    <w:p>
      <w:pPr>
        <w:pStyle w:val="Heading3"/>
        <w:spacing w:after="80" w:before="180"/>
      </w:pPr>
      <w:r>
        <w:rPr>
          <w:rFonts w:ascii="Arial" w:cs="Arial" w:eastAsia="Arial" w:hAnsi="Arial"/>
          <w:b/>
          <w:bCs/>
          <w:color w:val="0F172A"/>
          <w:sz w:val="24"/>
          <w:szCs w:val="24"/>
        </w:rPr>
        <w:t xml:space="preserve">Decisión 1: IQR×3 en lugar de Winsorización</w:t>
      </w:r>
    </w:p>
    <w:p>
      <w:pPr>
        <w:spacing w:after="80" w:before="60"/>
      </w:pPr>
      <w:r>
        <w:rPr>
          <w:rFonts w:ascii="Arial" w:cs="Arial" w:eastAsia="Arial" w:hAnsi="Arial"/>
          <w:color w:val="0F172A"/>
          <w:sz w:val="22"/>
          <w:szCs w:val="22"/>
        </w:rPr>
        <w:t xml:space="preserve">Versiones anteriores del script usaban winsorización (reemplazar valores fuera de P1-P99 por los valores del percentil límite). El v6.0 cambia a eliminación IQR×3 porque la winsorización creaba una masa artificial de valores idénticos en los percentiles 1 y 99, lo que sesgaba los coeficientes OLS y distorsionaba los histogramas con picos artificiales en los extremos.</w:t>
      </w:r>
    </w:p>
    <w:p>
      <w:pPr>
        <w:pStyle w:val="Heading3"/>
        <w:spacing w:after="80" w:before="180"/>
      </w:pPr>
      <w:r>
        <w:rPr>
          <w:rFonts w:ascii="Arial" w:cs="Arial" w:eastAsia="Arial" w:hAnsi="Arial"/>
          <w:b/>
          <w:bCs/>
          <w:color w:val="0F172A"/>
          <w:sz w:val="24"/>
          <w:szCs w:val="24"/>
        </w:rPr>
        <w:t xml:space="preserve">Decisión 2: Histogramas con boundary=0</w:t>
      </w:r>
    </w:p>
    <w:p>
      <w:pPr>
        <w:spacing w:after="80" w:before="60"/>
      </w:pPr>
      <w:r>
        <w:rPr>
          <w:rFonts w:ascii="Arial" w:cs="Arial" w:eastAsia="Arial" w:hAnsi="Arial"/>
          <w:color w:val="0F172A"/>
          <w:sz w:val="22"/>
          <w:szCs w:val="22"/>
        </w:rPr>
        <w:t xml:space="preserve">El parámetro boundary=0 en geom_histogram() de ggplot2 fuerza que los límites de los bins se alineen exactamente en 0. Sin esto, bins que cruzan el cero mezclarían observaciones positivas y negativas en la misma barra, haciendo imposible el coloreado verde/rojo.</w:t>
      </w:r>
    </w:p>
    <w:p>
      <w:pPr>
        <w:pStyle w:val="Heading3"/>
        <w:spacing w:after="80" w:before="180"/>
      </w:pPr>
      <w:r>
        <w:rPr>
          <w:rFonts w:ascii="Arial" w:cs="Arial" w:eastAsia="Arial" w:hAnsi="Arial"/>
          <w:b/>
          <w:bCs/>
          <w:color w:val="0F172A"/>
          <w:sz w:val="24"/>
          <w:szCs w:val="24"/>
        </w:rPr>
        <w:t xml:space="preserve">Decisión 3: Solo Spearman (sin Pearson)</w:t>
      </w:r>
    </w:p>
    <w:p>
      <w:pPr>
        <w:spacing w:after="80" w:before="60"/>
      </w:pPr>
      <w:r>
        <w:rPr>
          <w:rFonts w:ascii="Arial" w:cs="Arial" w:eastAsia="Arial" w:hAnsi="Arial"/>
          <w:color w:val="0F172A"/>
          <w:sz w:val="22"/>
          <w:szCs w:val="22"/>
        </w:rPr>
        <w:t xml:space="preserve">Se eliminó la correlación de Pearson y la matriz de covarianza por redundancia con Spearman. En datos financieros con asimetría y outliers frecuentes, Spearman es siempre la elección apropiada. La matriz de covarianza fue descartada porque mezcla escalas (ROA en %, SIZE en log-millones) haciendo los valores difícilmente interpretables.</w:t>
      </w:r>
    </w:p>
    <w:p>
      <w:pPr>
        <w:pStyle w:val="Heading3"/>
        <w:spacing w:after="80" w:before="180"/>
      </w:pPr>
      <w:r>
        <w:rPr>
          <w:rFonts w:ascii="Arial" w:cs="Arial" w:eastAsia="Arial" w:hAnsi="Arial"/>
          <w:b/>
          <w:bCs/>
          <w:color w:val="0F172A"/>
          <w:sz w:val="24"/>
          <w:szCs w:val="24"/>
        </w:rPr>
        <w:t xml:space="preserve">Decisión 4: K-Means sin Silhouette</w:t>
      </w:r>
    </w:p>
    <w:p>
      <w:pPr>
        <w:spacing w:after="80" w:before="60"/>
      </w:pPr>
      <w:r>
        <w:rPr>
          <w:rFonts w:ascii="Arial" w:cs="Arial" w:eastAsia="Arial" w:hAnsi="Arial"/>
          <w:color w:val="0F172A"/>
          <w:sz w:val="22"/>
          <w:szCs w:val="22"/>
        </w:rPr>
        <w:t xml:space="preserve">El Silhouette Score es otro método para seleccionar K óptimo, pero el v6.0 lo elimina en favor del Método del Codo (más intuitivo para audiencias gerenciales). El Silhouette requería cálculos adicionales con la función silhouette() del paquete cluster, añadiendo complejidad computacional sin aportar nueva información en este dataset donde el codo es claro en K=3.</w:t>
      </w:r>
    </w:p>
    <w:p>
      <w:pPr>
        <w:pStyle w:val="Heading3"/>
        <w:spacing w:after="80" w:before="180"/>
      </w:pPr>
      <w:r>
        <w:rPr>
          <w:rFonts w:ascii="Arial" w:cs="Arial" w:eastAsia="Arial" w:hAnsi="Arial"/>
          <w:b/>
          <w:bCs/>
          <w:color w:val="0F172A"/>
          <w:sz w:val="24"/>
          <w:szCs w:val="24"/>
        </w:rPr>
        <w:t xml:space="preserve">Decisión 5: Biplot con un Solo Color</w:t>
      </w:r>
    </w:p>
    <w:p>
      <w:pPr>
        <w:spacing w:after="80" w:before="60"/>
      </w:pPr>
      <w:r>
        <w:rPr>
          <w:rFonts w:ascii="Arial" w:cs="Arial" w:eastAsia="Arial" w:hAnsi="Arial"/>
          <w:color w:val="0F172A"/>
          <w:sz w:val="22"/>
          <w:szCs w:val="22"/>
        </w:rPr>
        <w:t xml:space="preserve">Las versiones anteriores coloreaban los puntos del biplot por cluster o por variable, creando confusión visual con las flechas. El v6.0 usa un solo color teal para todos los puntos, manteniendo el foco en las FLECHAS (las relaciones entre variables) y no en los puntos individuales.</w:t>
      </w:r>
    </w:p>
    <w:p>
      <w:pPr>
        <w:pStyle w:val="Heading2"/>
        <w:spacing w:after="120" w:before="240"/>
      </w:pPr>
      <w:r>
        <w:rPr>
          <w:rFonts w:ascii="Arial" w:cs="Arial" w:eastAsia="Arial" w:hAnsi="Arial"/>
          <w:b/>
          <w:bCs/>
          <w:color w:val="0D9488"/>
          <w:sz w:val="28"/>
          <w:szCs w:val="28"/>
        </w:rPr>
        <w:t xml:space="preserve">10.3 Librería ggplot2 y el Sistema de Gráficos</w:t>
      </w:r>
    </w:p>
    <w:p>
      <w:pPr>
        <w:spacing w:after="80" w:before="60"/>
      </w:pPr>
      <w:r>
        <w:rPr>
          <w:rFonts w:ascii="Arial" w:cs="Arial" w:eastAsia="Arial" w:hAnsi="Arial"/>
          <w:color w:val="0F172A"/>
          <w:sz w:val="22"/>
          <w:szCs w:val="22"/>
        </w:rPr>
        <w:t xml:space="preserve">Todos los gráficos del análisis se construyen sobre ggplot2, el sistema de gramática de gráficos de R. El tema global tema_k define una apariencia consistente: fondo blanco con panel gris muy claro (#F8FAFC), grillas sutiles (#E2E8F0), tipografía oscura (#0F172A para títulos). La paleta PAL define 13 colores semánticos (dark, navy, teal, orange, green, red, etc.) que se usan consistentemente a través de todos los gráficos.</w:t>
      </w:r>
    </w:p>
    <w:p>
      <w:pPr>
        <w:spacing w:after="80" w:before="60"/>
      </w:pPr>
      <w:r>
        <w:rPr>
          <w:rFonts w:ascii="Arial" w:cs="Arial" w:eastAsia="Arial" w:hAnsi="Arial"/>
          <w:color w:val="0F172A"/>
          <w:sz w:val="22"/>
          <w:szCs w:val="22"/>
        </w:rPr>
        <w:t xml:space="preserve">El sistema patchwork permite combinar múltiples gráficos ggplot en paneles complejos con control preciso de proporciones (heights = c(1.4, 1) para dar más espacio al scatter plot que al panel de coeficientes).</w:t>
      </w:r>
    </w:p>
    <w:p>
      <w:r>
        <w:br w:type="page"/>
      </w:r>
    </w:p>
    <w:p>
      <w:pPr>
        <w:pStyle w:val="Heading1"/>
        <w:pBdr>
          <w:bottom w:val="single" w:color="0D9488" w:sz="6" w:space="1"/>
        </w:pBdr>
        <w:spacing w:after="180" w:before="360"/>
      </w:pPr>
      <w:r>
        <w:rPr>
          <w:rFonts w:ascii="Arial" w:cs="Arial" w:eastAsia="Arial" w:hAnsi="Arial"/>
          <w:b/>
          <w:bCs/>
          <w:color w:val="1E3A5F"/>
          <w:sz w:val="36"/>
          <w:szCs w:val="36"/>
        </w:rPr>
        <w:t xml:space="preserve">11. Síntesis Estadística Final</w:t>
      </w:r>
    </w:p>
    <w:p>
      <w:pPr>
        <w:spacing w:after="80" w:before="60"/>
      </w:pPr>
      <w:r>
        <w:rPr>
          <w:rFonts w:ascii="Arial" w:cs="Arial" w:eastAsia="Arial" w:hAnsi="Arial"/>
          <w:color w:val="0F172A"/>
          <w:sz w:val="22"/>
          <w:szCs w:val="22"/>
        </w:rPr>
        <w:t xml:space="preserve">El proyecto KoTaP v6.0 aplica una cadena metodológica completa de análisis cuantitativo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Técnica</w:t>
            </w:r>
          </w:p>
        </w:tc>
        <w:tc>
          <w:tcPr>
            <w:tcW w:type="dxa" w:w="23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Objetivo</w:t>
            </w:r>
          </w:p>
        </w:tc>
        <w:tc>
          <w:tcPr>
            <w:tcW w:type="dxa" w:w="4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Hallazgo Principal</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Estadística Descriptiva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Caracterizar distribuciones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ROA asimétrico (+1.87), CV=87%, solo 4.4% con pérdida</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Correlación Spearman</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Relaciones bivariadas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CFO es el driver más correlacionado con ROA (ρ=0.47)</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Regresión OLS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Predicción y explicación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β_CFO=+0.333***, β_LEV=−0.055***, R²≈0.30-0.40</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Diagnóstico de Residuos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Validar supuestos OLS</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Colas pesadas pero asintóticamente válido por n&gt;12,000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PCA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Reducción dimensionalidad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4 PCs retenidos (Kaiser), PC1+PC2≈42.1%</w:t>
            </w:r>
          </w:p>
        </w:tc>
      </w:tr>
      <w:tr>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K-Means (K=3)</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Segmentación estratégica</w:t>
            </w:r>
          </w:p>
        </w:tc>
        <w:tc>
          <w:tcPr>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3 clusters: Líderes (ROA&gt;10%), Estables (≈5.8%), Rezagados (≈1.2%)</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Treemaps ROA Real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Performance vs inflación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0F172A"/>
                <w:sz w:val="20"/>
                <w:szCs w:val="20"/>
              </w:rPr>
              <w:t xml:space="preserve">74% de los 100 titanes superan la inflación en 2020-2024</w:t>
            </w:r>
          </w:p>
        </w:tc>
      </w:tr>
    </w:tbl>
    <w:p>
      <w:pPr>
        <w:spacing w:after="40" w:before="40"/>
      </w:pPr>
      <w:r>
        <w:rPr>
          <w:sz w:val="12"/>
          <w:szCs w:val="12"/>
        </w:rPr>
        <w:t xml:space="preserve"> </w:t>
      </w:r>
    </w:p>
    <w:p>
      <w:pPr>
        <w:spacing w:after="80" w:before="240"/>
      </w:pPr>
      <w:r>
        <w:rPr>
          <w:rFonts w:ascii="Arial" w:cs="Arial" w:eastAsia="Arial" w:hAnsi="Arial"/>
          <w:b/>
          <w:bCs/>
          <w:color w:val="1E3A5F"/>
          <w:sz w:val="28"/>
          <w:szCs w:val="28"/>
        </w:rPr>
        <w:t xml:space="preserve">Conclusión Maestra</w:t>
      </w:r>
    </w:p>
    <w:p>
      <w:pPr>
        <w:spacing w:after="80" w:before="60"/>
      </w:pPr>
      <w:r>
        <w:rPr>
          <w:rFonts w:ascii="Arial" w:cs="Arial" w:eastAsia="Arial" w:hAnsi="Arial"/>
          <w:color w:val="0F172A"/>
          <w:sz w:val="22"/>
          <w:szCs w:val="22"/>
        </w:rPr>
        <w:t xml:space="preserve">El mercado coreano de capitales (KOSPI/KOSDAQ) muestra una rentabilidad operativa real robusta para las empresas líderes, impulsada primordialmente por la generación de efectivo operativo (CFO) y la gestión eficiente del capital de trabajo. El apalancamiento excesivo es el principal destructor de valor identificado cuantitativamente. La segmentación K-Means revela que el 33% de empresas genera ROA&gt;10% de forma consistente, constituyendo el núcleo de creación de valor del mercado. El análisis frente a la inflación confirma la resiliencia estructural del top-100 coreano incluso en el pico inflacionario de 2022.</w:t>
      </w:r>
    </w:p>
    <w:p>
      <w:pPr>
        <w:spacing w:after="40" w:before="40"/>
      </w:pPr>
      <w:r>
        <w:rPr>
          <w:sz w:val="12"/>
          <w:szCs w:val="12"/>
        </w:rPr>
        <w:t xml:space="preserve"> </w:t>
      </w:r>
    </w:p>
    <w:p>
      <w:pPr>
        <w:spacing w:after="80" w:before="480"/>
        <w:jc w:val="center"/>
      </w:pPr>
      <w:r>
        <w:rPr>
          <w:rFonts w:ascii="Arial" w:cs="Arial" w:eastAsia="Arial" w:hAnsi="Arial"/>
          <w:i/>
          <w:iCs/>
          <w:color w:val="475569"/>
          <w:sz w:val="20"/>
          <w:szCs w:val="20"/>
        </w:rPr>
        <w:t xml:space="preserve">— Documento generado sobre análisis de KoTaP v6.0 —</w:t>
      </w:r>
    </w:p>
    <w:p>
      <w:pPr>
        <w:spacing w:after="40" w:before="40"/>
        <w:jc w:val="center"/>
      </w:pPr>
      <w:r>
        <w:rPr>
          <w:rFonts w:ascii="Arial" w:cs="Arial" w:eastAsia="Arial" w:hAnsi="Arial"/>
          <w:color w:val="CBD5E1"/>
          <w:sz w:val="18"/>
          <w:szCs w:val="18"/>
        </w:rPr>
        <w:t xml:space="preserve">Dataset KoTaP · KOSPI/KOSDAQ · 2011–2024 · 12,653 obs · 1,754 empresas · 65 variables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948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2026-05-08T13:08:27.130Z</dcterms:created>
  <dcterms:modified xsi:type="dcterms:W3CDTF">2026-05-08T13:08:27.146Z</dcterms:modified>
</cp:coreProperties>
</file>

<file path=docProps/custom.xml><?xml version="1.0" encoding="utf-8"?>
<Properties xmlns="http://schemas.openxmlformats.org/officeDocument/2006/custom-properties" xmlns:vt="http://schemas.openxmlformats.org/officeDocument/2006/docPropsVTypes"/>
</file>