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6727C" w14:textId="77777777" w:rsidR="0039485A" w:rsidRPr="0039485A" w:rsidRDefault="0039485A" w:rsidP="0039485A">
      <w:r w:rsidRPr="0039485A">
        <w:pict w14:anchorId="68501A63">
          <v:rect id="_x0000_i1073" style="width:0;height:1.5pt" o:hralign="center" o:hrstd="t" o:hr="t" fillcolor="#a0a0a0" stroked="f"/>
        </w:pict>
      </w:r>
    </w:p>
    <w:p w14:paraId="7F82C4F4" w14:textId="77777777" w:rsidR="0039485A" w:rsidRPr="0039485A" w:rsidRDefault="0039485A" w:rsidP="0039485A">
      <w:pPr>
        <w:rPr>
          <w:b/>
          <w:bCs/>
        </w:rPr>
      </w:pPr>
      <w:r w:rsidRPr="0039485A">
        <w:rPr>
          <w:rFonts w:ascii="Segoe UI Emoji" w:hAnsi="Segoe UI Emoji" w:cs="Segoe UI Emoji"/>
          <w:b/>
          <w:bCs/>
        </w:rPr>
        <w:t>🎤</w:t>
      </w:r>
      <w:r w:rsidRPr="0039485A">
        <w:rPr>
          <w:b/>
          <w:bCs/>
        </w:rPr>
        <w:t xml:space="preserve"> Guión Profundizado — Diapositivas 6 a 11 + 13</w:t>
      </w:r>
    </w:p>
    <w:p w14:paraId="56CAB089" w14:textId="77777777" w:rsidR="0039485A" w:rsidRPr="0039485A" w:rsidRDefault="0039485A" w:rsidP="0039485A">
      <w:r w:rsidRPr="0039485A">
        <w:rPr>
          <w:b/>
          <w:bCs/>
        </w:rPr>
        <w:t>Duración estimada: ~10–11 minutos</w:t>
      </w:r>
    </w:p>
    <w:p w14:paraId="38E36730" w14:textId="77777777" w:rsidR="0039485A" w:rsidRPr="0039485A" w:rsidRDefault="0039485A" w:rsidP="0039485A">
      <w:r w:rsidRPr="0039485A">
        <w:pict w14:anchorId="64112493">
          <v:rect id="_x0000_i1074" style="width:0;height:1.5pt" o:hralign="center" o:hrstd="t" o:hr="t" fillcolor="#a0a0a0" stroked="f"/>
        </w:pict>
      </w:r>
    </w:p>
    <w:p w14:paraId="06FA7A1A" w14:textId="77777777" w:rsidR="0039485A" w:rsidRPr="0039485A" w:rsidRDefault="0039485A" w:rsidP="0039485A">
      <w:pPr>
        <w:rPr>
          <w:b/>
          <w:bCs/>
        </w:rPr>
      </w:pPr>
      <w:r w:rsidRPr="0039485A">
        <w:rPr>
          <w:b/>
          <w:bCs/>
        </w:rPr>
        <w:t xml:space="preserve">Diapositiva 6 — PCA: Selección de Componentes (Criterio Kaiser) </w:t>
      </w:r>
      <w:r w:rsidRPr="0039485A">
        <w:rPr>
          <w:b/>
          <w:bCs/>
          <w:i/>
          <w:iCs/>
        </w:rPr>
        <w:t>(1 minuto 30 segundos)</w:t>
      </w:r>
    </w:p>
    <w:p w14:paraId="522AECDE" w14:textId="77777777" w:rsidR="0039485A" w:rsidRPr="0039485A" w:rsidRDefault="0039485A" w:rsidP="0039485A">
      <w:r w:rsidRPr="0039485A">
        <w:rPr>
          <w:i/>
          <w:iCs/>
        </w:rPr>
        <w:t>Señalar primero las barras del Scree Plot, luego la línea roja punteada, luego la curva de varianza acumulada</w:t>
      </w:r>
    </w:p>
    <w:p w14:paraId="53CDEE0B" w14:textId="77777777" w:rsidR="0039485A" w:rsidRPr="0039485A" w:rsidRDefault="0039485A" w:rsidP="0039485A">
      <w:r w:rsidRPr="0039485A">
        <w:t xml:space="preserve">"Una de las decisiones metodológicas más importantes de este análisis fue cómo manejar las </w:t>
      </w:r>
      <w:r w:rsidRPr="0039485A">
        <w:rPr>
          <w:b/>
          <w:bCs/>
        </w:rPr>
        <w:t>65 variables</w:t>
      </w:r>
      <w:r w:rsidRPr="0039485A">
        <w:t xml:space="preserve"> del dataset. Con tantas dimensiones, los modelos se vuelven inestables, los coeficientes pierden interpretabilidad y el riesgo de sobreajuste es alto. La solución: Análisis de Componentes Principales.</w:t>
      </w:r>
    </w:p>
    <w:p w14:paraId="1E31FD55" w14:textId="77777777" w:rsidR="0039485A" w:rsidRPr="0039485A" w:rsidRDefault="0039485A" w:rsidP="0039485A">
      <w:r w:rsidRPr="0039485A">
        <w:t xml:space="preserve">Tenemos dos gráficos. A la izquierda, el </w:t>
      </w:r>
      <w:r w:rsidRPr="0039485A">
        <w:rPr>
          <w:b/>
          <w:bCs/>
        </w:rPr>
        <w:t>Scree Plot</w:t>
      </w:r>
      <w:r w:rsidRPr="0039485A">
        <w:t xml:space="preserve">: cada barra es un componente principal, y su altura indica cuánta varianza explica. La </w:t>
      </w:r>
      <w:r w:rsidRPr="0039485A">
        <w:rPr>
          <w:b/>
          <w:bCs/>
        </w:rPr>
        <w:t>línea roja punteada</w:t>
      </w:r>
      <w:r w:rsidRPr="0039485A">
        <w:t xml:space="preserve"> marca eigenvalor igual a 1 — ese es el umbral del Criterio Kaiser. La lógica es intuitiva: si un componente explica menos varianza que una sola variable original estandarizada, no vale la pena retenerlo.</w:t>
      </w:r>
    </w:p>
    <w:p w14:paraId="7ED0577A" w14:textId="77777777" w:rsidR="0039485A" w:rsidRPr="0039485A" w:rsidRDefault="0039485A" w:rsidP="0039485A">
      <w:r w:rsidRPr="0039485A">
        <w:t xml:space="preserve">A la derecha, la </w:t>
      </w:r>
      <w:r w:rsidRPr="0039485A">
        <w:rPr>
          <w:b/>
          <w:bCs/>
        </w:rPr>
        <w:t>curva de varianza acumulada</w:t>
      </w:r>
      <w:r w:rsidRPr="0039485A">
        <w:t>. Noten cómo la curva sube rápidamente al principio y luego se aplana — ese quiebre es el punto óptimo de corte. Los primeros componentes condensan la mayor parte de la información útil; los siguientes aportan marginal.</w:t>
      </w:r>
    </w:p>
    <w:p w14:paraId="19B8ECF7" w14:textId="77777777" w:rsidR="0039485A" w:rsidRPr="0039485A" w:rsidRDefault="0039485A" w:rsidP="0039485A">
      <w:r w:rsidRPr="0039485A">
        <w:t xml:space="preserve">El resultado: pasamos de 65 variables correlacionadas y redundantes a un conjunto reducido de componentes </w:t>
      </w:r>
      <w:r w:rsidRPr="0039485A">
        <w:rPr>
          <w:b/>
          <w:bCs/>
        </w:rPr>
        <w:t>ortogonales entre sí</w:t>
      </w:r>
      <w:r w:rsidRPr="0039485A">
        <w:t xml:space="preserve"> — sin multicolinealidad, listos para alimentar modelos más robustos."</w:t>
      </w:r>
    </w:p>
    <w:p w14:paraId="66678D21" w14:textId="77777777" w:rsidR="0039485A" w:rsidRPr="0039485A" w:rsidRDefault="0039485A" w:rsidP="0039485A">
      <w:r w:rsidRPr="0039485A">
        <w:pict w14:anchorId="00B508BA">
          <v:rect id="_x0000_i1075" style="width:0;height:1.5pt" o:hralign="center" o:hrstd="t" o:hr="t" fillcolor="#a0a0a0" stroked="f"/>
        </w:pict>
      </w:r>
    </w:p>
    <w:p w14:paraId="2D9E1D2E" w14:textId="77777777" w:rsidR="0039485A" w:rsidRPr="0039485A" w:rsidRDefault="0039485A" w:rsidP="0039485A">
      <w:pPr>
        <w:rPr>
          <w:b/>
          <w:bCs/>
        </w:rPr>
      </w:pPr>
      <w:r w:rsidRPr="0039485A">
        <w:rPr>
          <w:b/>
          <w:bCs/>
        </w:rPr>
        <w:t xml:space="preserve">Diapositiva 7 — PCA: Biplot </w:t>
      </w:r>
      <w:r w:rsidRPr="0039485A">
        <w:rPr>
          <w:b/>
          <w:bCs/>
          <w:i/>
          <w:iCs/>
        </w:rPr>
        <w:t>(2 minutos)</w:t>
      </w:r>
    </w:p>
    <w:p w14:paraId="25D240A9" w14:textId="77777777" w:rsidR="0039485A" w:rsidRPr="0039485A" w:rsidRDefault="0039485A" w:rsidP="0039485A">
      <w:r w:rsidRPr="0039485A">
        <w:rPr>
          <w:i/>
          <w:iCs/>
        </w:rPr>
        <w:t>Dividir la explicación en tres partes: qué es el biplot, los vectores de variables, la nube de empresas</w:t>
      </w:r>
    </w:p>
    <w:p w14:paraId="0E0749CC" w14:textId="77777777" w:rsidR="0039485A" w:rsidRPr="0039485A" w:rsidRDefault="0039485A" w:rsidP="0039485A">
      <w:r w:rsidRPr="0039485A">
        <w:t>"El biplot es probablemente la visualización más densa de toda la presentación — y también una de las más reveladoras. Necesito un minuto para desempaquetarla correctamente.</w:t>
      </w:r>
    </w:p>
    <w:p w14:paraId="48A6C5A4" w14:textId="77777777" w:rsidR="0039485A" w:rsidRPr="0039485A" w:rsidRDefault="0039485A" w:rsidP="0039485A">
      <w:r w:rsidRPr="0039485A">
        <w:rPr>
          <w:b/>
          <w:bCs/>
        </w:rPr>
        <w:t>¿Qué estamos viendo?</w:t>
      </w:r>
      <w:r w:rsidRPr="0039485A">
        <w:t xml:space="preserve"> Dos cosas superpuestas en el mismo espacio: las </w:t>
      </w:r>
      <w:r w:rsidRPr="0039485A">
        <w:rPr>
          <w:b/>
          <w:bCs/>
        </w:rPr>
        <w:t>flechas</w:t>
      </w:r>
      <w:r w:rsidRPr="0039485A">
        <w:t xml:space="preserve"> representan variables financieras y los </w:t>
      </w:r>
      <w:r w:rsidRPr="0039485A">
        <w:rPr>
          <w:b/>
          <w:bCs/>
        </w:rPr>
        <w:t>puntos</w:t>
      </w:r>
      <w:r w:rsidRPr="0039485A">
        <w:t xml:space="preserve"> representan empresas. Ambos están proyectados sobre los dos primeros componentes principales: PC1 en el eje </w:t>
      </w:r>
      <w:r w:rsidRPr="0039485A">
        <w:lastRenderedPageBreak/>
        <w:t xml:space="preserve">horizontal y PC2 en el vertical. Juntos capturan el </w:t>
      </w:r>
      <w:r w:rsidRPr="0039485A">
        <w:rPr>
          <w:b/>
          <w:bCs/>
        </w:rPr>
        <w:t>42.1% de la varianza total</w:t>
      </w:r>
      <w:r w:rsidRPr="0039485A">
        <w:t xml:space="preserve"> — casi la mitad de toda la información del dataset comprimida en un plano.</w:t>
      </w:r>
    </w:p>
    <w:p w14:paraId="40F8F6B3" w14:textId="77777777" w:rsidR="0039485A" w:rsidRPr="0039485A" w:rsidRDefault="0039485A" w:rsidP="0039485A">
      <w:r w:rsidRPr="0039485A">
        <w:rPr>
          <w:b/>
          <w:bCs/>
        </w:rPr>
        <w:t>Sobre las variables — las flechas:</w:t>
      </w:r>
      <w:r w:rsidRPr="0039485A">
        <w:t xml:space="preserve"> La dirección indica con qué componente se asocia cada variable. La longitud indica qué tan bien representada está. Dos variables cuyas flechas apuntan en la misma dirección están correlacionadas positivamente; en direcciones opuestas, correlacionadas negativamente.</w:t>
      </w:r>
    </w:p>
    <w:p w14:paraId="2A1D0DDD" w14:textId="77777777" w:rsidR="0039485A" w:rsidRPr="0039485A" w:rsidRDefault="0039485A" w:rsidP="0039485A">
      <w:r w:rsidRPr="0039485A">
        <w:t xml:space="preserve">Aquí destacan tres patrones: </w:t>
      </w:r>
      <w:r w:rsidRPr="0039485A">
        <w:rPr>
          <w:b/>
          <w:bCs/>
        </w:rPr>
        <w:t>CUR y LEV</w:t>
      </w:r>
      <w:r w:rsidRPr="0039485A">
        <w:t xml:space="preserve"> van en sentidos casi contrarios sobre el eje PC2 — las empresas líquidas tienden a ser poco endeudadas, confirmando lo que ya veíamos en la matriz de correlaciones. </w:t>
      </w:r>
      <w:r w:rsidRPr="0039485A">
        <w:rPr>
          <w:b/>
          <w:bCs/>
        </w:rPr>
        <w:t>SIZE y AGE</w:t>
      </w:r>
      <w:r w:rsidRPr="0039485A">
        <w:t xml:space="preserve"> comparten dirección y longitud similar — las empresas grandes son sistemáticamente más antiguas, lo que tiene sentido en mercados maduros. Y las variables de rentabilidad — ROA, CFO — se agrupan en la misma región del espacio, reforzando su coherencia.</w:t>
      </w:r>
    </w:p>
    <w:p w14:paraId="37A9B326" w14:textId="77777777" w:rsidR="0039485A" w:rsidRPr="0039485A" w:rsidRDefault="0039485A" w:rsidP="0039485A">
      <w:r w:rsidRPr="0039485A">
        <w:rPr>
          <w:b/>
          <w:bCs/>
        </w:rPr>
        <w:t>Sobre las empresas — los puntos:</w:t>
      </w:r>
      <w:r w:rsidRPr="0039485A">
        <w:t xml:space="preserve"> La nube densa en el centro corresponde a las empresas 'promedio', financieramente similares entre sí. Los puntos que se alejan del centro son los casos extremos — empresas con perfiles financieros atípicos, ya sea muy rentables, muy endeudadas, o con crecimientos inusuales. Estos son precisamente los candidatos más interesantes para un análisis caso a caso."</w:t>
      </w:r>
    </w:p>
    <w:p w14:paraId="044A86CF" w14:textId="77777777" w:rsidR="0039485A" w:rsidRPr="0039485A" w:rsidRDefault="0039485A" w:rsidP="0039485A">
      <w:r w:rsidRPr="0039485A">
        <w:pict w14:anchorId="3C1C7B92">
          <v:rect id="_x0000_i1076" style="width:0;height:1.5pt" o:hralign="center" o:hrstd="t" o:hr="t" fillcolor="#a0a0a0" stroked="f"/>
        </w:pict>
      </w:r>
    </w:p>
    <w:p w14:paraId="3A226A0C" w14:textId="77777777" w:rsidR="0039485A" w:rsidRPr="0039485A" w:rsidRDefault="0039485A" w:rsidP="0039485A">
      <w:pPr>
        <w:rPr>
          <w:b/>
          <w:bCs/>
        </w:rPr>
      </w:pPr>
      <w:r w:rsidRPr="0039485A">
        <w:rPr>
          <w:b/>
          <w:bCs/>
        </w:rPr>
        <w:t xml:space="preserve">Diapositiva 8 — Regresión OLS: Predichos vs Reales y Coeficientes β </w:t>
      </w:r>
      <w:r w:rsidRPr="0039485A">
        <w:rPr>
          <w:b/>
          <w:bCs/>
          <w:i/>
          <w:iCs/>
        </w:rPr>
        <w:t>(2 minutos 30 segundos)</w:t>
      </w:r>
    </w:p>
    <w:p w14:paraId="554B26B3" w14:textId="77777777" w:rsidR="0039485A" w:rsidRPr="0039485A" w:rsidRDefault="0039485A" w:rsidP="0039485A">
      <w:r w:rsidRPr="0039485A">
        <w:rPr>
          <w:i/>
          <w:iCs/>
        </w:rPr>
        <w:t>Comenzar con el gráfico superior de dispersión, luego descender al panel de coeficientes</w:t>
      </w:r>
    </w:p>
    <w:p w14:paraId="3F1880C9" w14:textId="77777777" w:rsidR="0039485A" w:rsidRPr="0039485A" w:rsidRDefault="0039485A" w:rsidP="0039485A">
      <w:r w:rsidRPr="0039485A">
        <w:t xml:space="preserve">"El modelo de regresión lineal múltiple es el núcleo analítico del estudio. Antes de interpretar los coeficientes, miremos el gráfico superior: </w:t>
      </w:r>
      <w:r w:rsidRPr="0039485A">
        <w:rPr>
          <w:b/>
          <w:bCs/>
        </w:rPr>
        <w:t>ROA predicho versus ROA observado</w:t>
      </w:r>
      <w:r w:rsidRPr="0039485A">
        <w:t>. Cada punto es una empresa-año. En una predicción perfecta, todos los puntos caerían sobre la diagonal roja punteada. Lo que vemos es razonablemente cercano a eso — el modelo captura bien el patrón central, con dispersión creciente en los extremos, lo que es totalmente esperable con datos financieros reales.</w:t>
      </w:r>
    </w:p>
    <w:p w14:paraId="2A117E1B" w14:textId="77777777" w:rsidR="0039485A" w:rsidRPr="0039485A" w:rsidRDefault="0039485A" w:rsidP="0039485A">
      <w:r w:rsidRPr="0039485A">
        <w:t xml:space="preserve">Ahora el panel de coeficientes — aquí está la inteligencia estratégica del análisis. Tenemos dos representaciones: el </w:t>
      </w:r>
      <w:r w:rsidRPr="0039485A">
        <w:rPr>
          <w:b/>
          <w:bCs/>
        </w:rPr>
        <w:t>forest plot</w:t>
      </w:r>
      <w:r w:rsidRPr="0039485A">
        <w:t xml:space="preserve"> con intervalos de confianza y la </w:t>
      </w:r>
      <w:r w:rsidRPr="0039485A">
        <w:rPr>
          <w:b/>
          <w:bCs/>
        </w:rPr>
        <w:t>tabla de coeficientes estandarizados</w:t>
      </w:r>
      <w:r w:rsidRPr="0039485A">
        <w:t xml:space="preserve"> para comparar magnitudes relativas.</w:t>
      </w:r>
    </w:p>
    <w:p w14:paraId="7C1F988A" w14:textId="77777777" w:rsidR="0039485A" w:rsidRPr="0039485A" w:rsidRDefault="0039485A" w:rsidP="0039485A">
      <w:r w:rsidRPr="0039485A">
        <w:rPr>
          <w:b/>
          <w:bCs/>
        </w:rPr>
        <w:t>CFO: β = +0.333, p &lt; 0.001, β estandarizado ≈ 0.458.</w:t>
      </w:r>
      <w:r w:rsidRPr="0039485A">
        <w:t xml:space="preserve"> Este es el hallazgo más robusto del modelo. El flujo de caja operativo es, con diferencia, el driver más poderoso de rentabilidad. El coeficiente estandarizado de 0.458 significa que, en términos de desviaciones estándar, CFO mueve el ROA casi el doble que cualquier </w:t>
      </w:r>
      <w:r w:rsidRPr="0039485A">
        <w:lastRenderedPageBreak/>
        <w:t>otra variable del modelo. Esto no es una sorpresa teórica — sí es una confirmación empírica sólida sobre 12,653 observaciones.</w:t>
      </w:r>
    </w:p>
    <w:p w14:paraId="632BD1F4" w14:textId="77777777" w:rsidR="0039485A" w:rsidRPr="0039485A" w:rsidRDefault="0039485A" w:rsidP="0039485A">
      <w:r w:rsidRPr="0039485A">
        <w:rPr>
          <w:b/>
          <w:bCs/>
        </w:rPr>
        <w:t>GRW: β = +0.048</w:t>
      </w:r>
      <w:r w:rsidRPr="0039485A">
        <w:t>* y INVREC: β = +0.044***.** Crecimiento de ventas y eficiencia en la gestión de capital de trabajo son motores secundarios consistentes. Empresas que cobran más rápido y rotan inventario con mayor velocidad tienen ROA sistemáticamente más alto.</w:t>
      </w:r>
    </w:p>
    <w:p w14:paraId="2322662B" w14:textId="77777777" w:rsidR="0039485A" w:rsidRPr="0039485A" w:rsidRDefault="0039485A" w:rsidP="0039485A">
      <w:r w:rsidRPr="0039485A">
        <w:rPr>
          <w:b/>
          <w:bCs/>
        </w:rPr>
        <w:t>LEV: β = −0.055</w:t>
      </w:r>
      <w:r w:rsidRPr="0039485A">
        <w:t xml:space="preserve">*.** La deuda penaliza la rentabilidad. Cuantifiquémoslo: cada </w:t>
      </w:r>
      <w:r w:rsidRPr="0039485A">
        <w:rPr>
          <w:b/>
          <w:bCs/>
        </w:rPr>
        <w:t>10 puntos porcentuales adicionales de LEV</w:t>
      </w:r>
      <w:r w:rsidRPr="0039485A">
        <w:t xml:space="preserve"> reducen el ROA esperado en </w:t>
      </w:r>
      <w:r w:rsidRPr="0039485A">
        <w:rPr>
          <w:b/>
          <w:bCs/>
        </w:rPr>
        <w:t>0.55 puntos porcentuales</w:t>
      </w:r>
      <w:r w:rsidRPr="0039485A">
        <w:t>. En una empresa con ROA de 5%, pasar de 30% a 60% de deuda supone un sacrificio de casi 1.7 puntos de rentabilidad — más del 30% de su margen.</w:t>
      </w:r>
    </w:p>
    <w:p w14:paraId="79B64201" w14:textId="77777777" w:rsidR="0039485A" w:rsidRPr="0039485A" w:rsidRDefault="0039485A" w:rsidP="0039485A">
      <w:r w:rsidRPr="0039485A">
        <w:rPr>
          <w:b/>
          <w:bCs/>
        </w:rPr>
        <w:t>SIZE: β negativo.</w:t>
      </w:r>
      <w:r w:rsidRPr="0039485A">
        <w:t xml:space="preserve"> Las empresas más grandes son menos rentables en ROA — deseconomías de escala presentes incluso controlando por las otras variables.</w:t>
      </w:r>
    </w:p>
    <w:p w14:paraId="600F1E04" w14:textId="77777777" w:rsidR="0039485A" w:rsidRPr="0039485A" w:rsidRDefault="0039485A" w:rsidP="0039485A">
      <w:r w:rsidRPr="0039485A">
        <w:t>Los intervalos de confianza en el forest plot no cruzan el cero en ninguna de las variables principales — todas son estadísticamente significativas y robustas."</w:t>
      </w:r>
    </w:p>
    <w:p w14:paraId="3EFF70D2" w14:textId="77777777" w:rsidR="0039485A" w:rsidRPr="0039485A" w:rsidRDefault="0039485A" w:rsidP="0039485A">
      <w:r w:rsidRPr="0039485A">
        <w:pict w14:anchorId="2BBD6C21">
          <v:rect id="_x0000_i1077" style="width:0;height:1.5pt" o:hralign="center" o:hrstd="t" o:hr="t" fillcolor="#a0a0a0" stroked="f"/>
        </w:pict>
      </w:r>
    </w:p>
    <w:p w14:paraId="6897FB4F" w14:textId="77777777" w:rsidR="0039485A" w:rsidRPr="0039485A" w:rsidRDefault="0039485A" w:rsidP="0039485A">
      <w:pPr>
        <w:rPr>
          <w:b/>
          <w:bCs/>
        </w:rPr>
      </w:pPr>
      <w:r w:rsidRPr="0039485A">
        <w:rPr>
          <w:b/>
          <w:bCs/>
        </w:rPr>
        <w:t xml:space="preserve">Diapositiva 9 — Diagnóstico de Residuos OLS </w:t>
      </w:r>
      <w:r w:rsidRPr="0039485A">
        <w:rPr>
          <w:b/>
          <w:bCs/>
          <w:i/>
          <w:iCs/>
        </w:rPr>
        <w:t>(1 minuto 30 segundos)</w:t>
      </w:r>
    </w:p>
    <w:p w14:paraId="2990E96E" w14:textId="77777777" w:rsidR="0039485A" w:rsidRPr="0039485A" w:rsidRDefault="0039485A" w:rsidP="0039485A">
      <w:r w:rsidRPr="0039485A">
        <w:rPr>
          <w:i/>
          <w:iCs/>
        </w:rPr>
        <w:t>Recorrer los tres paneles de izquierda a derecha</w:t>
      </w:r>
    </w:p>
    <w:p w14:paraId="3757F1BC" w14:textId="77777777" w:rsidR="0039485A" w:rsidRPr="0039485A" w:rsidRDefault="0039485A" w:rsidP="0039485A">
      <w:r w:rsidRPr="0039485A">
        <w:t>"Un modelo que produce buenas estimaciones pero viola sus propios supuestos es un modelo en el que no podemos confiar. Esta diapositiva existe precisamente para certificar que el OLS es válido.</w:t>
      </w:r>
    </w:p>
    <w:p w14:paraId="43E18BCB" w14:textId="77777777" w:rsidR="0039485A" w:rsidRPr="0039485A" w:rsidRDefault="0039485A" w:rsidP="0039485A">
      <w:r w:rsidRPr="0039485A">
        <w:rPr>
          <w:b/>
          <w:bCs/>
        </w:rPr>
        <w:t>Panel izquierdo — Distribución de Residuos:</w:t>
      </w:r>
      <w:r w:rsidRPr="0039485A">
        <w:t xml:space="preserve"> El histograma muestra la frecuencia de los errores del modelo. Buscamos una campana centrada en cero. La distribución es aproximadamente normal, con cola derecha levemente más pesada — algo común en datos financieros con asimetría positiva. No es un problema que invalide el modelo.</w:t>
      </w:r>
    </w:p>
    <w:p w14:paraId="3EBCC410" w14:textId="77777777" w:rsidR="0039485A" w:rsidRPr="0039485A" w:rsidRDefault="0039485A" w:rsidP="0039485A">
      <w:r w:rsidRPr="0039485A">
        <w:rPr>
          <w:b/>
          <w:bCs/>
        </w:rPr>
        <w:t>Panel central — QQ-Plot de Residuos:</w:t>
      </w:r>
      <w:r w:rsidRPr="0039485A">
        <w:t xml:space="preserve"> Este gráfico compara los cuantiles de nuestros residuos contra los cuantiles teóricos de una distribución normal perfecta. Si los puntos siguen la línea diagonal, los residuos son normales. Aquí los puntos siguen la diagonal con desviaciones solo en los extremos — los valores más alejados de la media. Esas desviaciones en colas son características de datos financieros, no defectos del modelo.</w:t>
      </w:r>
    </w:p>
    <w:p w14:paraId="6ABA6111" w14:textId="77777777" w:rsidR="0039485A" w:rsidRPr="0039485A" w:rsidRDefault="0039485A" w:rsidP="0039485A">
      <w:r w:rsidRPr="0039485A">
        <w:rPr>
          <w:b/>
          <w:bCs/>
        </w:rPr>
        <w:t>Panel derecho — Residuos vs Valores Ajustados:</w:t>
      </w:r>
      <w:r w:rsidRPr="0039485A">
        <w:t xml:space="preserve"> Este es el test de heterocedasticidad. Si el modelo cumple el supuesto de varianza constante, los residuos deben dispersarse aleatoriamente alrededor de cero sin ningún patrón en </w:t>
      </w:r>
      <w:r w:rsidRPr="0039485A">
        <w:lastRenderedPageBreak/>
        <w:t>forma de embudo o curva. Lo que vemos es dispersión razonablemente aleatoria — sin estructura sistemática que indique heterocedasticidad severa.</w:t>
      </w:r>
    </w:p>
    <w:p w14:paraId="0B2ABF6B" w14:textId="77777777" w:rsidR="0039485A" w:rsidRPr="0039485A" w:rsidRDefault="0039485A" w:rsidP="0039485A">
      <w:r w:rsidRPr="0039485A">
        <w:t xml:space="preserve">Conclusión: los tres supuestos clave del OLS — normalidad de residuos, homocedasticidad y linealidad — están suficientemente satisfechos. </w:t>
      </w:r>
      <w:r w:rsidRPr="0039485A">
        <w:rPr>
          <w:b/>
          <w:bCs/>
        </w:rPr>
        <w:t>Las estimaciones e inferencias estadísticas del modelo son válidas y confiables.</w:t>
      </w:r>
      <w:r w:rsidRPr="0039485A">
        <w:t>"</w:t>
      </w:r>
    </w:p>
    <w:p w14:paraId="01FE111D" w14:textId="77777777" w:rsidR="0039485A" w:rsidRPr="0039485A" w:rsidRDefault="0039485A" w:rsidP="0039485A">
      <w:r w:rsidRPr="0039485A">
        <w:pict w14:anchorId="1CE9F5FF">
          <v:rect id="_x0000_i1078" style="width:0;height:1.5pt" o:hralign="center" o:hrstd="t" o:hr="t" fillcolor="#a0a0a0" stroked="f"/>
        </w:pict>
      </w:r>
    </w:p>
    <w:p w14:paraId="0AE34394" w14:textId="77777777" w:rsidR="0039485A" w:rsidRPr="0039485A" w:rsidRDefault="0039485A" w:rsidP="0039485A">
      <w:pPr>
        <w:rPr>
          <w:b/>
          <w:bCs/>
        </w:rPr>
      </w:pPr>
      <w:r w:rsidRPr="0039485A">
        <w:rPr>
          <w:b/>
          <w:bCs/>
        </w:rPr>
        <w:t xml:space="preserve">Diapositiva 10 — K-Means: Método del Codo y Distribución 2D </w:t>
      </w:r>
      <w:r w:rsidRPr="0039485A">
        <w:rPr>
          <w:b/>
          <w:bCs/>
          <w:i/>
          <w:iCs/>
        </w:rPr>
        <w:t>(1 minuto 30 segundos)</w:t>
      </w:r>
    </w:p>
    <w:p w14:paraId="4BA44787" w14:textId="77777777" w:rsidR="0039485A" w:rsidRPr="0039485A" w:rsidRDefault="0039485A" w:rsidP="0039485A">
      <w:r w:rsidRPr="0039485A">
        <w:rPr>
          <w:i/>
          <w:iCs/>
        </w:rPr>
        <w:t>Señalar la curva del codo izquierda primero; luego el scatter 2D con los tres colores</w:t>
      </w:r>
    </w:p>
    <w:p w14:paraId="7858F0CE" w14:textId="77777777" w:rsidR="0039485A" w:rsidRPr="0039485A" w:rsidRDefault="0039485A" w:rsidP="0039485A">
      <w:r w:rsidRPr="0039485A">
        <w:t>"Una vez validado el modelo predictivo, el siguiente objetivo es estratégico: ¿podemos agrupar las 1,754 empresas en perfiles financieros distintos y accionables? Para eso aplicamos K-Means.</w:t>
      </w:r>
    </w:p>
    <w:p w14:paraId="071AF98A" w14:textId="77777777" w:rsidR="0039485A" w:rsidRPr="0039485A" w:rsidRDefault="0039485A" w:rsidP="0039485A">
      <w:r w:rsidRPr="0039485A">
        <w:t>El algoritmo K-Means agrupa empresas minimizando la varianza interna de cada grupo. Pero requiere que definamos el número de clusters de antemano — y elegir mal ese número produce grupos artificiales sin valor analítico.</w:t>
      </w:r>
    </w:p>
    <w:p w14:paraId="30E3C96C" w14:textId="77777777" w:rsidR="0039485A" w:rsidRPr="0039485A" w:rsidRDefault="0039485A" w:rsidP="0039485A">
      <w:r w:rsidRPr="0039485A">
        <w:t xml:space="preserve">El </w:t>
      </w:r>
      <w:r w:rsidRPr="0039485A">
        <w:rPr>
          <w:b/>
          <w:bCs/>
        </w:rPr>
        <w:t>método del codo</w:t>
      </w:r>
      <w:r w:rsidRPr="0039485A">
        <w:t xml:space="preserve"> resuelve esto empíricamente. El gráfico izquierdo muestra la </w:t>
      </w:r>
      <w:r w:rsidRPr="0039485A">
        <w:rPr>
          <w:b/>
          <w:bCs/>
        </w:rPr>
        <w:t>inercia</w:t>
      </w:r>
      <w:r w:rsidRPr="0039485A">
        <w:t xml:space="preserve"> — suma de distancias cuadráticas internas — para cada posible número de clusters de 1 a 10. A medida que aumentamos el número de grupos, la inercia siempre disminuye. Lo que buscamos es el punto donde esa reducción </w:t>
      </w:r>
      <w:r w:rsidRPr="0039485A">
        <w:rPr>
          <w:b/>
          <w:bCs/>
        </w:rPr>
        <w:t>deja de ser sustancial</w:t>
      </w:r>
      <w:r w:rsidRPr="0039485A">
        <w:t xml:space="preserve"> — el codo de la curva. Aquí ese punto es inequívocamente </w:t>
      </w:r>
      <w:r w:rsidRPr="0039485A">
        <w:rPr>
          <w:b/>
          <w:bCs/>
        </w:rPr>
        <w:t>k = 3</w:t>
      </w:r>
      <w:r w:rsidRPr="0039485A">
        <w:t>.</w:t>
      </w:r>
    </w:p>
    <w:p w14:paraId="2DB3071B" w14:textId="77777777" w:rsidR="0039485A" w:rsidRPr="0039485A" w:rsidRDefault="0039485A" w:rsidP="0039485A">
      <w:r w:rsidRPr="0039485A">
        <w:t xml:space="preserve">A la derecha, la distribución 2D proyectada sobre los dos primeros componentes principales confirma visualmente lo que el método del codo sugirió numéricamente: los tres clusters —naranja, verde y azul— son </w:t>
      </w:r>
      <w:r w:rsidRPr="0039485A">
        <w:rPr>
          <w:b/>
          <w:bCs/>
        </w:rPr>
        <w:t>espacialmente separables</w:t>
      </w:r>
      <w:r w:rsidRPr="0039485A">
        <w:t>. No se solapan significativamente. Esto nos da confianza en que la segmentación no es arbitraria — refleja estructuras reales en los datos."</w:t>
      </w:r>
    </w:p>
    <w:p w14:paraId="48246C9A" w14:textId="77777777" w:rsidR="0039485A" w:rsidRPr="0039485A" w:rsidRDefault="0039485A" w:rsidP="0039485A">
      <w:r w:rsidRPr="0039485A">
        <w:pict w14:anchorId="568F0077">
          <v:rect id="_x0000_i1079" style="width:0;height:1.5pt" o:hralign="center" o:hrstd="t" o:hr="t" fillcolor="#a0a0a0" stroked="f"/>
        </w:pict>
      </w:r>
    </w:p>
    <w:p w14:paraId="386728F6" w14:textId="77777777" w:rsidR="0039485A" w:rsidRPr="0039485A" w:rsidRDefault="0039485A" w:rsidP="0039485A">
      <w:pPr>
        <w:rPr>
          <w:b/>
          <w:bCs/>
        </w:rPr>
      </w:pPr>
      <w:r w:rsidRPr="0039485A">
        <w:rPr>
          <w:b/>
          <w:bCs/>
        </w:rPr>
        <w:t xml:space="preserve">Diapositiva 11 — K-Means: Perfil Financiero por Cluster </w:t>
      </w:r>
      <w:r w:rsidRPr="0039485A">
        <w:rPr>
          <w:b/>
          <w:bCs/>
          <w:i/>
          <w:iCs/>
        </w:rPr>
        <w:t>(2 minutos)</w:t>
      </w:r>
    </w:p>
    <w:p w14:paraId="689B371D" w14:textId="77777777" w:rsidR="0039485A" w:rsidRPr="0039485A" w:rsidRDefault="0039485A" w:rsidP="0039485A">
      <w:r w:rsidRPr="0039485A">
        <w:rPr>
          <w:i/>
          <w:iCs/>
        </w:rPr>
        <w:t>Recorrer los boxplots variable por variable, construyendo el perfil de cada cluster progresivamente</w:t>
      </w:r>
    </w:p>
    <w:p w14:paraId="259E33E5" w14:textId="77777777" w:rsidR="0039485A" w:rsidRPr="0039485A" w:rsidRDefault="0039485A" w:rsidP="0039485A">
      <w:r w:rsidRPr="0039485A">
        <w:t>"Esta es la diapositiva de mayor valor estratégico de toda la presentación. Los boxplots nos muestran la distribución de cinco variables clave — ROA, CFO, LEV, SIZE y GRW — para cada uno de los tres clusters. Voy a construir el perfil de cada uno variable por variable.</w:t>
      </w:r>
    </w:p>
    <w:p w14:paraId="4139A24C" w14:textId="77777777" w:rsidR="0039485A" w:rsidRPr="0039485A" w:rsidRDefault="0039485A" w:rsidP="0039485A">
      <w:r w:rsidRPr="0039485A">
        <w:rPr>
          <w:b/>
          <w:bCs/>
        </w:rPr>
        <w:lastRenderedPageBreak/>
        <w:t>Empecemos por ROA — la variable objetivo.</w:t>
      </w:r>
      <w:r w:rsidRPr="0039485A">
        <w:t xml:space="preserve"> La separación entre clusters es inmediata y clara: un cluster con mediana por encima del 10%, otro alrededor del 6%, y un tercero cerca del 1%. Tres mundos distintos en términos de rentabilidad.</w:t>
      </w:r>
    </w:p>
    <w:p w14:paraId="5B1409BC" w14:textId="77777777" w:rsidR="0039485A" w:rsidRPr="0039485A" w:rsidRDefault="0039485A" w:rsidP="0039485A">
      <w:r w:rsidRPr="0039485A">
        <w:rPr>
          <w:b/>
          <w:bCs/>
        </w:rPr>
        <w:t>CFO — flujo de caja operativo.</w:t>
      </w:r>
      <w:r w:rsidRPr="0039485A">
        <w:t xml:space="preserve"> El patrón es consistente con ROA: el cluster más rentable tiene la caja más alta, el rezagado la más baja. Esto valida el coeficiente del OLS — CFO y ROA van de la mano, y no es casualidad.</w:t>
      </w:r>
    </w:p>
    <w:p w14:paraId="2AC6601E" w14:textId="77777777" w:rsidR="0039485A" w:rsidRPr="0039485A" w:rsidRDefault="0039485A" w:rsidP="0039485A">
      <w:r w:rsidRPr="0039485A">
        <w:rPr>
          <w:b/>
          <w:bCs/>
        </w:rPr>
        <w:t>LEV — apalancamiento.</w:t>
      </w:r>
      <w:r w:rsidRPr="0039485A">
        <w:t xml:space="preserve"> Aquí el patrón se invierte: el cluster más rentable tiene el LEV más bajo. El rezagado carga con la deuda más alta. La relación negativa LEV–ROA que identificamos en correlaciones y en el OLS se materializa aquí de forma visual y contundente.</w:t>
      </w:r>
    </w:p>
    <w:p w14:paraId="17622B2E" w14:textId="77777777" w:rsidR="0039485A" w:rsidRPr="0039485A" w:rsidRDefault="0039485A" w:rsidP="0039485A">
      <w:r w:rsidRPr="0039485A">
        <w:rPr>
          <w:b/>
          <w:bCs/>
        </w:rPr>
        <w:t>SIZE y GRW</w:t>
      </w:r>
      <w:r w:rsidRPr="0039485A">
        <w:t xml:space="preserve"> diferencian menos dramáticamente entre clusters — los tres grupos son más parecidos en tamaño y crecimiento — pero las diferencias siguen siendo consistentes con la teoría.</w:t>
      </w:r>
    </w:p>
    <w:p w14:paraId="2C1F33BE" w14:textId="77777777" w:rsidR="0039485A" w:rsidRPr="0039485A" w:rsidRDefault="0039485A" w:rsidP="0039485A">
      <w:r w:rsidRPr="0039485A">
        <w:t>Con esto podemos nombrar definitivamente los tres perfiles:</w:t>
      </w:r>
    </w:p>
    <w:p w14:paraId="4410C40F" w14:textId="77777777" w:rsidR="0039485A" w:rsidRPr="0039485A" w:rsidRDefault="0039485A" w:rsidP="0039485A">
      <w:r w:rsidRPr="0039485A">
        <w:rPr>
          <w:b/>
          <w:bCs/>
        </w:rPr>
        <w:t>Cluster 1 — Líderes financieros (~33%):</w:t>
      </w:r>
      <w:r w:rsidRPr="0039485A">
        <w:t xml:space="preserve"> Alto ROA, alto CFO, bajo LEV. Son el estándar de excelencia del mercado coreano. Prioridad de inversión.</w:t>
      </w:r>
    </w:p>
    <w:p w14:paraId="523E4A97" w14:textId="77777777" w:rsidR="0039485A" w:rsidRPr="0039485A" w:rsidRDefault="0039485A" w:rsidP="0039485A">
      <w:r w:rsidRPr="0039485A">
        <w:rPr>
          <w:b/>
          <w:bCs/>
        </w:rPr>
        <w:t>Cluster 2 — Empresas estables (~40%):</w:t>
      </w:r>
      <w:r w:rsidRPr="0039485A">
        <w:t xml:space="preserve"> Perfiles equilibrados, sin excesos ni deficiencias marcadas. El núcleo del mercado. Requieren monitoreo pero no intervención urgente.</w:t>
      </w:r>
    </w:p>
    <w:p w14:paraId="3AC06636" w14:textId="77777777" w:rsidR="0039485A" w:rsidRPr="0039485A" w:rsidRDefault="0039485A" w:rsidP="0039485A">
      <w:r w:rsidRPr="0039485A">
        <w:rPr>
          <w:b/>
          <w:bCs/>
        </w:rPr>
        <w:t>Cluster 3 — Rezagados estructurales (~27%):</w:t>
      </w:r>
      <w:r w:rsidRPr="0039485A">
        <w:t xml:space="preserve"> Baja rentabilidad, baja generación de caja, alto endeudamiento. No es un problema coyuntural — es una combinación estructural que requiere reestructuración antes de cualquier otra decisión."</w:t>
      </w:r>
    </w:p>
    <w:p w14:paraId="021DF9EA" w14:textId="77777777" w:rsidR="0039485A" w:rsidRPr="0039485A" w:rsidRDefault="0039485A" w:rsidP="0039485A">
      <w:r w:rsidRPr="0039485A">
        <w:pict w14:anchorId="4711C459">
          <v:rect id="_x0000_i1080" style="width:0;height:1.5pt" o:hralign="center" o:hrstd="t" o:hr="t" fillcolor="#a0a0a0" stroked="f"/>
        </w:pict>
      </w:r>
    </w:p>
    <w:p w14:paraId="530946BF" w14:textId="77777777" w:rsidR="0039485A" w:rsidRPr="0039485A" w:rsidRDefault="0039485A" w:rsidP="0039485A">
      <w:pPr>
        <w:rPr>
          <w:b/>
          <w:bCs/>
        </w:rPr>
      </w:pPr>
      <w:r w:rsidRPr="0039485A">
        <w:rPr>
          <w:b/>
          <w:bCs/>
        </w:rPr>
        <w:t xml:space="preserve">Diapositiva 13 — Top 100 Titanes: 2022, Año de Mayor Estrés </w:t>
      </w:r>
      <w:r w:rsidRPr="0039485A">
        <w:rPr>
          <w:b/>
          <w:bCs/>
          <w:i/>
          <w:iCs/>
        </w:rPr>
        <w:t>(1 minuto)</w:t>
      </w:r>
    </w:p>
    <w:p w14:paraId="25EBE4D5" w14:textId="77777777" w:rsidR="0039485A" w:rsidRPr="0039485A" w:rsidRDefault="0039485A" w:rsidP="0039485A">
      <w:r w:rsidRPr="0039485A">
        <w:rPr>
          <w:i/>
          <w:iCs/>
        </w:rPr>
        <w:t>Señalar el cambio de color en el heatmap y la barra de inflación al 5.09%</w:t>
      </w:r>
    </w:p>
    <w:p w14:paraId="65B688E2" w14:textId="77777777" w:rsidR="0039485A" w:rsidRPr="0039485A" w:rsidRDefault="0039485A" w:rsidP="0039485A">
      <w:r w:rsidRPr="0039485A">
        <w:t xml:space="preserve">"Esta diapositiva es el test de estrés real de todo el análisis. El año 2022 marcó el pico inflacionario del período con un </w:t>
      </w:r>
      <w:r w:rsidRPr="0039485A">
        <w:rPr>
          <w:b/>
          <w:bCs/>
        </w:rPr>
        <w:t>5.09%</w:t>
      </w:r>
      <w:r w:rsidRPr="0039485A">
        <w:t xml:space="preserve"> — la presión más alta para la rentabilidad real de las empresas coreanas desde la crisis financiera.</w:t>
      </w:r>
    </w:p>
    <w:p w14:paraId="26AE2736" w14:textId="77777777" w:rsidR="0039485A" w:rsidRPr="0039485A" w:rsidRDefault="0039485A" w:rsidP="0039485A">
      <w:r w:rsidRPr="0039485A">
        <w:t xml:space="preserve">El heatmap aquí es notablemente más rojo que en los años adyacentes. Eso no significa que estas empresas quebraron — significa que muchas dejaron de superar la inflación en términos reales. Y la pregunta analítica relevante es: </w:t>
      </w:r>
      <w:r w:rsidRPr="0039485A">
        <w:rPr>
          <w:b/>
          <w:bCs/>
        </w:rPr>
        <w:t>¿qué distingue a las que se mantuvieron en verde?</w:t>
      </w:r>
    </w:p>
    <w:p w14:paraId="022305AF" w14:textId="77777777" w:rsidR="0039485A" w:rsidRPr="0039485A" w:rsidRDefault="0039485A" w:rsidP="0039485A">
      <w:r w:rsidRPr="0039485A">
        <w:t xml:space="preserve">La respuesta está en todo lo que analizamos antes: las empresas que sobrevivieron en verde en 2022 son, en su práctica totalidad, del </w:t>
      </w:r>
      <w:r w:rsidRPr="0039485A">
        <w:rPr>
          <w:b/>
          <w:bCs/>
        </w:rPr>
        <w:t>Cluster 1</w:t>
      </w:r>
      <w:r w:rsidRPr="0039485A">
        <w:t xml:space="preserve"> — bajo </w:t>
      </w:r>
      <w:r w:rsidRPr="0039485A">
        <w:lastRenderedPageBreak/>
        <w:t>LEV, alto CFO, sin dependencia de financiamiento externo de corto plazo. Cuando el costo de la deuda sube por la inflación, las empresas endeudadas sufren doble: márgenes comprimidos y costo financiero creciente. Las empresas con caja propia y deuda baja son naturalmente inmunes a ese mecanismo.</w:t>
      </w:r>
    </w:p>
    <w:p w14:paraId="149DAD7E" w14:textId="77777777" w:rsidR="0039485A" w:rsidRPr="0039485A" w:rsidRDefault="0039485A" w:rsidP="0039485A">
      <w:r w:rsidRPr="0039485A">
        <w:t xml:space="preserve">Esto convierte a 2022 no solo en un año de estrés, sino en un </w:t>
      </w:r>
      <w:r w:rsidRPr="0039485A">
        <w:rPr>
          <w:b/>
          <w:bCs/>
        </w:rPr>
        <w:t>experimento natural</w:t>
      </w:r>
      <w:r w:rsidRPr="0039485A">
        <w:t xml:space="preserve"> que valida de forma independiente las conclusiones de nuestros modelos."</w:t>
      </w:r>
    </w:p>
    <w:p w14:paraId="709530FF" w14:textId="77777777" w:rsidR="0039485A" w:rsidRDefault="0039485A"/>
    <w:sectPr w:rsidR="003948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5A"/>
    <w:rsid w:val="002E3D53"/>
    <w:rsid w:val="0039485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BC27"/>
  <w15:chartTrackingRefBased/>
  <w15:docId w15:val="{40C609D6-9E1D-4837-B405-0A6B58ED3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4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4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48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48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48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48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48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48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48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48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48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48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48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48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48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48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48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485A"/>
    <w:rPr>
      <w:rFonts w:eastAsiaTheme="majorEastAsia" w:cstheme="majorBidi"/>
      <w:color w:val="272727" w:themeColor="text1" w:themeTint="D8"/>
    </w:rPr>
  </w:style>
  <w:style w:type="paragraph" w:styleId="Ttulo">
    <w:name w:val="Title"/>
    <w:basedOn w:val="Normal"/>
    <w:next w:val="Normal"/>
    <w:link w:val="TtuloCar"/>
    <w:uiPriority w:val="10"/>
    <w:qFormat/>
    <w:rsid w:val="00394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48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48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48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485A"/>
    <w:pPr>
      <w:spacing w:before="160"/>
      <w:jc w:val="center"/>
    </w:pPr>
    <w:rPr>
      <w:i/>
      <w:iCs/>
      <w:color w:val="404040" w:themeColor="text1" w:themeTint="BF"/>
    </w:rPr>
  </w:style>
  <w:style w:type="character" w:customStyle="1" w:styleId="CitaCar">
    <w:name w:val="Cita Car"/>
    <w:basedOn w:val="Fuentedeprrafopredeter"/>
    <w:link w:val="Cita"/>
    <w:uiPriority w:val="29"/>
    <w:rsid w:val="0039485A"/>
    <w:rPr>
      <w:i/>
      <w:iCs/>
      <w:color w:val="404040" w:themeColor="text1" w:themeTint="BF"/>
    </w:rPr>
  </w:style>
  <w:style w:type="paragraph" w:styleId="Prrafodelista">
    <w:name w:val="List Paragraph"/>
    <w:basedOn w:val="Normal"/>
    <w:uiPriority w:val="34"/>
    <w:qFormat/>
    <w:rsid w:val="0039485A"/>
    <w:pPr>
      <w:ind w:left="720"/>
      <w:contextualSpacing/>
    </w:pPr>
  </w:style>
  <w:style w:type="character" w:styleId="nfasisintenso">
    <w:name w:val="Intense Emphasis"/>
    <w:basedOn w:val="Fuentedeprrafopredeter"/>
    <w:uiPriority w:val="21"/>
    <w:qFormat/>
    <w:rsid w:val="0039485A"/>
    <w:rPr>
      <w:i/>
      <w:iCs/>
      <w:color w:val="0F4761" w:themeColor="accent1" w:themeShade="BF"/>
    </w:rPr>
  </w:style>
  <w:style w:type="paragraph" w:styleId="Citadestacada">
    <w:name w:val="Intense Quote"/>
    <w:basedOn w:val="Normal"/>
    <w:next w:val="Normal"/>
    <w:link w:val="CitadestacadaCar"/>
    <w:uiPriority w:val="30"/>
    <w:qFormat/>
    <w:rsid w:val="00394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485A"/>
    <w:rPr>
      <w:i/>
      <w:iCs/>
      <w:color w:val="0F4761" w:themeColor="accent1" w:themeShade="BF"/>
    </w:rPr>
  </w:style>
  <w:style w:type="character" w:styleId="Referenciaintensa">
    <w:name w:val="Intense Reference"/>
    <w:basedOn w:val="Fuentedeprrafopredeter"/>
    <w:uiPriority w:val="32"/>
    <w:qFormat/>
    <w:rsid w:val="00394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1807</Words>
  <Characters>9944</Characters>
  <Application>Microsoft Office Word</Application>
  <DocSecurity>0</DocSecurity>
  <Lines>82</Lines>
  <Paragraphs>23</Paragraphs>
  <ScaleCrop>false</ScaleCrop>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NUESTRO HOGAR</dc:creator>
  <cp:keywords/>
  <dc:description/>
  <cp:lastModifiedBy>NUESTRO HOGAR</cp:lastModifiedBy>
  <cp:revision>1</cp:revision>
  <dcterms:created xsi:type="dcterms:W3CDTF">2026-05-07T03:56:00Z</dcterms:created>
  <dcterms:modified xsi:type="dcterms:W3CDTF">2026-05-07T03:57:00Z</dcterms:modified>
</cp:coreProperties>
</file>