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MÉMOIRE DE MASTER EN INFORMATIQUE</w:t>
      </w:r>
    </w:p>
    <w:p>
      <w:pPr>
        <w:spacing w:after="120"/>
        <w:jc w:val="center"/>
      </w:pPr>
      <w:r>
        <w:rPr>
          <w:sz w:val="22"/>
          <w:szCs w:val="22"/>
        </w:rPr>
        <w:t xml:space="preserve">Option : Bi-Cloud</w:t>
      </w:r>
    </w:p>
    <w:p>
      <w:pPr>
        <w:spacing w:after="120"/>
        <w:jc w:val="center"/>
      </w:pPr>
      <w:r>
        <w:rPr>
          <w:b/>
          <w:bCs/>
          <w:sz w:val="32"/>
          <w:szCs w:val="32"/>
        </w:rPr>
        <w:t xml:space="preserve">MarketWatch Sénégal</w:t>
      </w:r>
    </w:p>
    <w:p>
      <w:pPr>
        <w:spacing w:after="120"/>
        <w:jc w:val="center"/>
      </w:pPr>
      <w:r>
        <w:rPr>
          <w:sz w:val="22"/>
          <w:szCs w:val="22"/>
        </w:rPr>
        <w:t xml:space="preserve">Plateforme participative de surveillance des prix des denrées de première nécessité</w:t>
      </w:r>
    </w:p>
    <w:p>
      <w:pPr>
        <w:spacing w:after="120"/>
        <w:jc w:val="center"/>
      </w:pPr>
      <w:r>
        <w:rPr>
          <w:b/>
          <w:bCs/>
          <w:color w:val="1F4E78"/>
          <w:sz w:val="24"/>
          <w:szCs w:val="24"/>
        </w:rPr>
        <w:t xml:space="preserve">Chapitre : Outils de Développement Frontend</w:t>
      </w:r>
    </w:p>
    <w:p>
      <w:pPr>
        <w:spacing w:after="400"/>
        <w:jc w:val="center"/>
      </w:pPr>
      <w:r>
        <w:rPr>
          <w:sz w:val="20"/>
          <w:szCs w:val="20"/>
        </w:rPr>
        <w:t xml:space="preserve">Année universitaire 2024–2025</w:t>
      </w:r>
    </w:p>
    <w:p>
      <w:pPr>
        <w:spacing w:after="200"/>
      </w:pPr>
      <w:r>
        <w:rPr>
          <w:sz w:val="22"/>
          <w:szCs w:val="22"/>
        </w:rPr>
        <w:t xml:space="preserve">Le frontend de MarketWatch Sénégal est une Single Page Application (SPA) développée en React 18 et TypeScript, servie en production via Nginx dans un conteneur Docker. Cette section présente les outils mobilisés tout au long du cycle de développement frontend.</w:t>
      </w:r>
    </w:p>
    <w:p>
      <w:pPr>
        <w:pStyle w:val="Heading1"/>
      </w:pPr>
      <w:r>
        <w:t xml:space="preserve">6. Outils de Développement Frontend</w:t>
      </w:r>
    </w:p>
    <w:p>
      <w:pPr>
        <w:pStyle w:val="Heading2"/>
      </w:pPr>
      <w:r>
        <w:t xml:space="preserve">6.1  Environnement de travail</w:t>
      </w:r>
    </w:p>
    <w:p>
      <w:pPr>
        <w:pStyle w:val="ListParagraph"/>
        <w:numPr>
          <w:ilvl w:val="0"/>
          <w:numId w:val="2"/>
        </w:numPr>
        <w:spacing w:after="20" w:before="160"/>
      </w:pPr>
      <w:r>
        <w:rPr>
          <w:b/>
          <w:bCs/>
          <w:sz w:val="24"/>
          <w:szCs w:val="24"/>
        </w:rPr>
        <w:t xml:space="preserve">Visual Studio Code</w:t>
      </w:r>
    </w:p>
    <w:p>
      <w:pPr>
        <w:spacing w:after="160"/>
        <w:ind w:left="720"/>
      </w:pPr>
      <w:r>
        <w:rPr>
          <w:sz w:val="22"/>
          <w:szCs w:val="22"/>
        </w:rPr>
        <w:t xml:space="preserve">IDE principal utilisé pour l'écriture du code React/TypeScript, avec extensions ESLint, Tailwind CSS IntelliSense et ES7+ React Snippets.</w:t>
      </w:r>
    </w:p>
    <w:p>
      <w:pPr>
        <w:pStyle w:val="ListParagraph"/>
        <w:numPr>
          <w:ilvl w:val="0"/>
          <w:numId w:val="2"/>
        </w:numPr>
        <w:spacing w:after="20" w:before="160"/>
      </w:pPr>
      <w:r>
        <w:rPr>
          <w:b/>
          <w:bCs/>
          <w:sz w:val="24"/>
          <w:szCs w:val="24"/>
        </w:rPr>
        <w:t xml:space="preserve">Node.js</w:t>
      </w:r>
    </w:p>
    <w:p>
      <w:pPr>
        <w:spacing w:after="60"/>
        <w:ind w:left="720"/>
      </w:pPr>
      <w:r>
        <w:drawing>
          <wp:inline distT="0" distB="0" distL="0" distR="0">
            <wp:extent cx="419100" cy="419100"/>
            <wp:effectExtent t="0" r="0" b="0" l="0"/>
            <wp:docPr id="1" name="SiNodedotjs" descr="SiNodedotjs" title="SiNodedo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Environnement d'exécution JavaScript nécessaire pour lancer le serveur de développement Vite et les scripts npm.</w:t>
      </w:r>
    </w:p>
    <w:p>
      <w:pPr>
        <w:pStyle w:val="ListParagraph"/>
        <w:numPr>
          <w:ilvl w:val="0"/>
          <w:numId w:val="2"/>
        </w:numPr>
        <w:spacing w:after="20" w:before="160"/>
      </w:pPr>
      <w:r>
        <w:rPr>
          <w:b/>
          <w:bCs/>
          <w:sz w:val="24"/>
          <w:szCs w:val="24"/>
        </w:rPr>
        <w:t xml:space="preserve">npm</w:t>
      </w:r>
    </w:p>
    <w:p>
      <w:pPr>
        <w:spacing w:after="60"/>
        <w:ind w:left="720"/>
      </w:pPr>
      <w:r>
        <w:drawing>
          <wp:inline distT="0" distB="0" distL="0" distR="0">
            <wp:extent cx="419100" cy="419100"/>
            <wp:effectExtent t="0" r="0" b="0" l="0"/>
            <wp:docPr id="1" name="SiNpm" descr="SiNpm" title="SiN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Gestionnaire de paquets — installation des dépendances et exécution des scripts (dev, build, preview, typecheck).</w:t>
      </w:r>
    </w:p>
    <w:p>
      <w:pPr>
        <w:pStyle w:val="ListParagraph"/>
        <w:numPr>
          <w:ilvl w:val="0"/>
          <w:numId w:val="2"/>
        </w:numPr>
        <w:spacing w:after="20" w:before="160"/>
      </w:pPr>
      <w:r>
        <w:rPr>
          <w:b/>
          <w:bCs/>
          <w:sz w:val="24"/>
          <w:szCs w:val="24"/>
        </w:rPr>
        <w:t xml:space="preserve">Git / GitHub</w:t>
      </w:r>
    </w:p>
    <w:p>
      <w:pPr>
        <w:spacing w:after="60"/>
        <w:ind w:left="720"/>
      </w:pPr>
      <w:r>
        <w:drawing>
          <wp:inline distT="0" distB="0" distL="0" distR="0">
            <wp:extent cx="419100" cy="419100"/>
            <wp:effectExtent t="0" r="0" b="0" l="0"/>
            <wp:docPr id="1" name="SiGithub" descr="SiGithub" title="Si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Contrôle de version du code source et gestion des branches selon une stratégie Git Flow.</w:t>
      </w:r>
    </w:p>
    <w:p>
      <w:pPr>
        <w:pStyle w:val="ListParagraph"/>
        <w:numPr>
          <w:ilvl w:val="0"/>
          <w:numId w:val="2"/>
        </w:numPr>
        <w:spacing w:after="20" w:before="160"/>
      </w:pPr>
      <w:r>
        <w:rPr>
          <w:b/>
          <w:bCs/>
          <w:sz w:val="24"/>
          <w:szCs w:val="24"/>
        </w:rPr>
        <w:t xml:space="preserve">Google Chrome DevTools</w:t>
      </w:r>
    </w:p>
    <w:p>
      <w:pPr>
        <w:spacing w:after="60"/>
        <w:ind w:left="720"/>
      </w:pPr>
      <w:r>
        <w:drawing>
          <wp:inline distT="0" distB="0" distL="0" distR="0">
            <wp:extent cx="419100" cy="419100"/>
            <wp:effectExtent t="0" r="0" b="0" l="0"/>
            <wp:docPr id="1" name="SiGooglechrome" descr="SiGooglechrome" title="SiGoogle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Inspection du DOM, du réseau (appels API) et des performances pendant le développement.</w:t>
      </w:r>
    </w:p>
    <w:p>
      <w:pPr>
        <w:pStyle w:val="Heading2"/>
      </w:pPr>
      <w:r>
        <w:t xml:space="preserve">6.2  Framework et langage</w:t>
      </w:r>
    </w:p>
    <w:p>
      <w:pPr>
        <w:pStyle w:val="ListParagraph"/>
        <w:numPr>
          <w:ilvl w:val="0"/>
          <w:numId w:val="2"/>
        </w:numPr>
        <w:spacing w:after="20" w:before="160"/>
      </w:pPr>
      <w:r>
        <w:rPr>
          <w:b/>
          <w:bCs/>
          <w:sz w:val="24"/>
          <w:szCs w:val="24"/>
        </w:rPr>
        <w:t xml:space="preserve">React.js</w:t>
      </w:r>
    </w:p>
    <w:p>
      <w:pPr>
        <w:spacing w:after="60"/>
        <w:ind w:left="720"/>
      </w:pPr>
      <w:r>
        <w:drawing>
          <wp:inline distT="0" distB="0" distL="0" distR="0">
            <wp:extent cx="419100" cy="419100"/>
            <wp:effectExtent t="0" r="0" b="0" l="0"/>
            <wp:docPr id="1" name="SiReact" descr="SiReact" title="Si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Bibliothèque JavaScript utilisée pour construire l'interface web, à base de composants fonctionnels, de hooks et du Virtual DOM (version 18.3.1).</w:t>
      </w:r>
    </w:p>
    <w:p>
      <w:pPr>
        <w:pStyle w:val="ListParagraph"/>
        <w:numPr>
          <w:ilvl w:val="0"/>
          <w:numId w:val="2"/>
        </w:numPr>
        <w:spacing w:after="20" w:before="160"/>
      </w:pPr>
      <w:r>
        <w:rPr>
          <w:b/>
          <w:bCs/>
          <w:sz w:val="24"/>
          <w:szCs w:val="24"/>
        </w:rPr>
        <w:t xml:space="preserve">TypeScript</w:t>
      </w:r>
    </w:p>
    <w:p>
      <w:pPr>
        <w:spacing w:after="60"/>
        <w:ind w:left="720"/>
      </w:pPr>
      <w:r>
        <w:drawing>
          <wp:inline distT="0" distB="0" distL="0" distR="0">
            <wp:extent cx="419100" cy="419100"/>
            <wp:effectExtent t="0" r="0" b="0" l="0"/>
            <wp:docPr id="1" name="SiTypescript" descr="SiTypescript" title="Si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Sur-couche de typage statique de JavaScript — détection des erreurs à la compilation, mode strict activé (version 5.4.5).</w:t>
      </w:r>
    </w:p>
    <w:p>
      <w:pPr>
        <w:pStyle w:val="Heading2"/>
      </w:pPr>
      <w:r>
        <w:t xml:space="preserve">6.3  Build et serveur de développement</w:t>
      </w:r>
    </w:p>
    <w:p>
      <w:pPr>
        <w:pStyle w:val="ListParagraph"/>
        <w:numPr>
          <w:ilvl w:val="0"/>
          <w:numId w:val="2"/>
        </w:numPr>
        <w:spacing w:after="20" w:before="160"/>
      </w:pPr>
      <w:r>
        <w:rPr>
          <w:b/>
          <w:bCs/>
          <w:sz w:val="24"/>
          <w:szCs w:val="24"/>
        </w:rPr>
        <w:t xml:space="preserve">Vite</w:t>
      </w:r>
    </w:p>
    <w:p>
      <w:pPr>
        <w:spacing w:after="60"/>
        <w:ind w:left="720"/>
      </w:pPr>
      <w:r>
        <w:drawing>
          <wp:inline distT="0" distB="0" distL="0" distR="0">
            <wp:extent cx="419100" cy="419100"/>
            <wp:effectExtent t="0" r="0" b="0" l="0"/>
            <wp:docPr id="1" name="SiVite" descr="SiVite" title="Si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Bundler et serveur de développement ultra-rapide — Hot Module Replacement (HMR) et build de production optimisé en modules ES (version 5.3.1). Configuré pour proxifier les appels /api vers le backend Spring Boot.</w:t>
      </w:r>
    </w:p>
    <w:p>
      <w:pPr>
        <w:pStyle w:val="Heading2"/>
      </w:pPr>
      <w:r>
        <w:t xml:space="preserve">6.4  Mise en forme (CSS)</w:t>
      </w:r>
    </w:p>
    <w:p>
      <w:pPr>
        <w:pStyle w:val="ListParagraph"/>
        <w:numPr>
          <w:ilvl w:val="0"/>
          <w:numId w:val="2"/>
        </w:numPr>
        <w:spacing w:after="20" w:before="160"/>
      </w:pPr>
      <w:r>
        <w:rPr>
          <w:b/>
          <w:bCs/>
          <w:sz w:val="24"/>
          <w:szCs w:val="24"/>
        </w:rPr>
        <w:t xml:space="preserve">Tailwind CSS</w:t>
      </w:r>
    </w:p>
    <w:p>
      <w:pPr>
        <w:spacing w:after="60"/>
        <w:ind w:left="720"/>
      </w:pPr>
      <w:r>
        <w:drawing>
          <wp:inline distT="0" distB="0" distL="0" distR="0">
            <wp:extent cx="419100" cy="419100"/>
            <wp:effectExtent t="0" r="0" b="0" l="0"/>
            <wp:docPr id="1" name="SiTailwindcss" descr="SiTailwindcss" title="SiTailwind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Framework CSS utility-first pour un design moderne et responsive, avec un thème personnalisé aux couleurs du drapeau sénégalais (version 3.4.4).</w:t>
      </w:r>
    </w:p>
    <w:p>
      <w:pPr>
        <w:pStyle w:val="ListParagraph"/>
        <w:numPr>
          <w:ilvl w:val="0"/>
          <w:numId w:val="2"/>
        </w:numPr>
        <w:spacing w:after="20" w:before="160"/>
      </w:pPr>
      <w:r>
        <w:rPr>
          <w:b/>
          <w:bCs/>
          <w:sz w:val="24"/>
          <w:szCs w:val="24"/>
        </w:rPr>
        <w:t xml:space="preserve">PostCSS</w:t>
      </w:r>
    </w:p>
    <w:p>
      <w:pPr>
        <w:spacing w:after="60"/>
        <w:ind w:left="720"/>
      </w:pPr>
      <w:r>
        <w:drawing>
          <wp:inline distT="0" distB="0" distL="0" distR="0">
            <wp:extent cx="419100" cy="419100"/>
            <wp:effectExtent t="0" r="0" b="0" l="0"/>
            <wp:docPr id="1" name="SiPostcss" descr="SiPostcss" title="SiPost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Outil de traitement des feuilles de style, utilisé comme pipeline d'exécution de Tailwind CSS (version 8.4.38).</w:t>
      </w:r>
    </w:p>
    <w:p>
      <w:pPr>
        <w:pStyle w:val="ListParagraph"/>
        <w:numPr>
          <w:ilvl w:val="0"/>
          <w:numId w:val="2"/>
        </w:numPr>
        <w:spacing w:after="20" w:before="160"/>
      </w:pPr>
      <w:r>
        <w:rPr>
          <w:b/>
          <w:bCs/>
          <w:sz w:val="24"/>
          <w:szCs w:val="24"/>
        </w:rPr>
        <w:t xml:space="preserve">Autoprefixer</w:t>
      </w:r>
    </w:p>
    <w:p>
      <w:pPr>
        <w:spacing w:after="60"/>
        <w:ind w:left="720"/>
      </w:pPr>
      <w:r>
        <w:drawing>
          <wp:inline distT="0" distB="0" distL="0" distR="0">
            <wp:extent cx="419100" cy="419100"/>
            <wp:effectExtent t="0" r="0" b="0" l="0"/>
            <wp:docPr id="1" name="SiAutoprefixer" descr="SiAutoprefixer" title="SiAutoprefix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Plugin PostCSS ajoutant automatiquement les préfixes CSS vendeurs pour la compatibilité entre navigateurs (version 10.4.19).</w:t>
      </w:r>
    </w:p>
    <w:p>
      <w:pPr>
        <w:pStyle w:val="Heading2"/>
      </w:pPr>
      <w:r>
        <w:t xml:space="preserve">6.5  Navigation, données et visualisation</w:t>
      </w:r>
    </w:p>
    <w:p>
      <w:pPr>
        <w:pStyle w:val="ListParagraph"/>
        <w:numPr>
          <w:ilvl w:val="0"/>
          <w:numId w:val="2"/>
        </w:numPr>
        <w:spacing w:after="20" w:before="160"/>
      </w:pPr>
      <w:r>
        <w:rPr>
          <w:b/>
          <w:bCs/>
          <w:sz w:val="24"/>
          <w:szCs w:val="24"/>
        </w:rPr>
        <w:t xml:space="preserve">React Router DOM</w:t>
      </w:r>
    </w:p>
    <w:p>
      <w:pPr>
        <w:spacing w:after="60"/>
        <w:ind w:left="720"/>
      </w:pPr>
      <w:r>
        <w:drawing>
          <wp:inline distT="0" distB="0" distL="0" distR="0">
            <wp:extent cx="419100" cy="419100"/>
            <wp:effectExtent t="0" r="0" b="0" l="0"/>
            <wp:docPr id="1" name="SiReactrouter" descr="SiReactrouter" title="SiReact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Gestion des routes de la SPA — routes publiques et routes protégées par rôle (Admin, Agent, Consumer, Merchant), version 6.23.1.</w:t>
      </w:r>
    </w:p>
    <w:p>
      <w:pPr>
        <w:pStyle w:val="ListParagraph"/>
        <w:numPr>
          <w:ilvl w:val="0"/>
          <w:numId w:val="2"/>
        </w:numPr>
        <w:spacing w:after="20" w:before="160"/>
      </w:pPr>
      <w:r>
        <w:rPr>
          <w:b/>
          <w:bCs/>
          <w:sz w:val="24"/>
          <w:szCs w:val="24"/>
        </w:rPr>
        <w:t xml:space="preserve">Axios</w:t>
      </w:r>
    </w:p>
    <w:p>
      <w:pPr>
        <w:spacing w:after="60"/>
        <w:ind w:left="720"/>
      </w:pPr>
      <w:r>
        <w:drawing>
          <wp:inline distT="0" distB="0" distL="0" distR="0">
            <wp:extent cx="419100" cy="419100"/>
            <wp:effectExtent t="0" r="0" b="0" l="0"/>
            <wp:docPr id="1" name="SiAxios" descr="SiAxios" title="SiAx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Client HTTP pour les appels à l'API REST, avec intercepteurs pour l'en-tête d'autorisation JWT (version 1.7.2).</w:t>
      </w:r>
    </w:p>
    <w:p>
      <w:pPr>
        <w:pStyle w:val="ListParagraph"/>
        <w:numPr>
          <w:ilvl w:val="0"/>
          <w:numId w:val="2"/>
        </w:numPr>
        <w:spacing w:after="20" w:before="160"/>
      </w:pPr>
      <w:r>
        <w:rPr>
          <w:b/>
          <w:bCs/>
          <w:sz w:val="24"/>
          <w:szCs w:val="24"/>
        </w:rPr>
        <w:t xml:space="preserve">Recharts</w:t>
      </w:r>
    </w:p>
    <w:p>
      <w:pPr>
        <w:spacing w:after="160"/>
        <w:ind w:left="720"/>
      </w:pPr>
      <w:r>
        <w:rPr>
          <w:sz w:val="22"/>
          <w:szCs w:val="22"/>
        </w:rPr>
        <w:t xml:space="preserve">Bibliothèque de graphiques React pour les tableaux de bord analytiques (version 2.12.7).</w:t>
      </w:r>
    </w:p>
    <w:p>
      <w:pPr>
        <w:pStyle w:val="ListParagraph"/>
        <w:numPr>
          <w:ilvl w:val="0"/>
          <w:numId w:val="2"/>
        </w:numPr>
        <w:spacing w:after="20" w:before="160"/>
      </w:pPr>
      <w:r>
        <w:rPr>
          <w:b/>
          <w:bCs/>
          <w:sz w:val="24"/>
          <w:szCs w:val="24"/>
        </w:rPr>
        <w:t xml:space="preserve">Leaflet / React-Leaflet</w:t>
      </w:r>
    </w:p>
    <w:p>
      <w:pPr>
        <w:spacing w:after="60"/>
        <w:ind w:left="720"/>
      </w:pPr>
      <w:r>
        <w:drawing>
          <wp:inline distT="0" distB="0" distL="0" distR="0">
            <wp:extent cx="419100" cy="419100"/>
            <wp:effectExtent t="0" r="0" b="0" l="0"/>
            <wp:docPr id="1" name="SiLeaflet" descr="SiLeaflet" title="Si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Cartographie interactive pour l'affichage géolocalisé des signalements de prix (versions 1.9.4 / 4.2.1).</w:t>
      </w:r>
    </w:p>
    <w:p>
      <w:pPr>
        <w:pStyle w:val="ListParagraph"/>
        <w:numPr>
          <w:ilvl w:val="0"/>
          <w:numId w:val="2"/>
        </w:numPr>
        <w:spacing w:after="20" w:before="160"/>
      </w:pPr>
      <w:r>
        <w:rPr>
          <w:b/>
          <w:bCs/>
          <w:sz w:val="24"/>
          <w:szCs w:val="24"/>
        </w:rPr>
        <w:t xml:space="preserve">React Icons</w:t>
      </w:r>
    </w:p>
    <w:p>
      <w:pPr>
        <w:spacing w:after="60"/>
        <w:ind w:left="720"/>
      </w:pPr>
      <w:r>
        <w:drawing>
          <wp:inline distT="0" distB="0" distL="0" distR="0">
            <wp:extent cx="419100" cy="419100"/>
            <wp:effectExtent t="0" r="0" b="0" l="0"/>
            <wp:docPr id="1" name="SiReact" descr="SiReact" title="Si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Bibliothèque d'icônes SVG utilisées dans l'ensemble de l'interface (version 5.6.0).</w:t>
      </w:r>
    </w:p>
    <w:p>
      <w:pPr>
        <w:pStyle w:val="Heading2"/>
      </w:pPr>
      <w:r>
        <w:t xml:space="preserve">6.6  Débogage</w:t>
      </w:r>
    </w:p>
    <w:p>
      <w:pPr>
        <w:pStyle w:val="ListParagraph"/>
        <w:numPr>
          <w:ilvl w:val="0"/>
          <w:numId w:val="2"/>
        </w:numPr>
        <w:spacing w:after="20" w:before="160"/>
      </w:pPr>
      <w:r>
        <w:rPr>
          <w:b/>
          <w:bCs/>
          <w:sz w:val="24"/>
          <w:szCs w:val="24"/>
        </w:rPr>
        <w:t xml:space="preserve">React Developer Tools</w:t>
      </w:r>
    </w:p>
    <w:p>
      <w:pPr>
        <w:spacing w:after="60"/>
        <w:ind w:left="720"/>
      </w:pPr>
      <w:r>
        <w:drawing>
          <wp:inline distT="0" distB="0" distL="0" distR="0">
            <wp:extent cx="419100" cy="419100"/>
            <wp:effectExtent t="0" r="0" b="0" l="0"/>
            <wp:docPr id="1" name="SiReact" descr="SiReact" title="Si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Extension navigateur permettant d'inspecter l'arbre de composants React, les props et l'état.</w:t>
      </w:r>
    </w:p>
    <w:p>
      <w:pPr>
        <w:pStyle w:val="ListParagraph"/>
        <w:numPr>
          <w:ilvl w:val="0"/>
          <w:numId w:val="2"/>
        </w:numPr>
        <w:spacing w:after="20" w:before="160"/>
      </w:pPr>
      <w:r>
        <w:rPr>
          <w:b/>
          <w:bCs/>
          <w:sz w:val="24"/>
          <w:szCs w:val="24"/>
        </w:rPr>
        <w:t xml:space="preserve">Overlay d'erreurs Vite</w:t>
      </w:r>
    </w:p>
    <w:p>
      <w:pPr>
        <w:spacing w:after="60"/>
        <w:ind w:left="720"/>
      </w:pPr>
      <w:r>
        <w:drawing>
          <wp:inline distT="0" distB="0" distL="0" distR="0">
            <wp:extent cx="419100" cy="419100"/>
            <wp:effectExtent t="0" r="0" b="0" l="0"/>
            <wp:docPr id="1" name="SiVite" descr="SiVite" title="Si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Affichage direct des erreurs de compilation et des exceptions React dans le navigateur pendant le développement (HMR).</w:t>
      </w:r>
    </w:p>
    <w:p>
      <w:pPr>
        <w:pStyle w:val="Heading2"/>
      </w:pPr>
      <w:r>
        <w:t xml:space="preserve">6.7  Conteneurisation et mise en production</w:t>
      </w:r>
    </w:p>
    <w:p>
      <w:pPr>
        <w:pStyle w:val="ListParagraph"/>
        <w:numPr>
          <w:ilvl w:val="0"/>
          <w:numId w:val="2"/>
        </w:numPr>
        <w:spacing w:after="20" w:before="160"/>
      </w:pPr>
      <w:r>
        <w:rPr>
          <w:b/>
          <w:bCs/>
          <w:sz w:val="24"/>
          <w:szCs w:val="24"/>
        </w:rPr>
        <w:t xml:space="preserve">Docker</w:t>
      </w:r>
    </w:p>
    <w:p>
      <w:pPr>
        <w:spacing w:after="60"/>
        <w:ind w:left="720"/>
      </w:pPr>
      <w:r>
        <w:drawing>
          <wp:inline distT="0" distB="0" distL="0" distR="0">
            <wp:extent cx="419100" cy="419100"/>
            <wp:effectExtent t="0" r="0" b="0" l="0"/>
            <wp:docPr id="1" name="SiDocker" descr="SiDocker" title="Si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Conteneurisation du frontend via un Dockerfile en deux étapes : build Node.js, puis image Nginx allégée servant uniquement les fichiers statiques compilés.</w:t>
      </w:r>
    </w:p>
    <w:p>
      <w:pPr>
        <w:pStyle w:val="ListParagraph"/>
        <w:numPr>
          <w:ilvl w:val="0"/>
          <w:numId w:val="2"/>
        </w:numPr>
        <w:spacing w:after="20" w:before="160"/>
      </w:pPr>
      <w:r>
        <w:rPr>
          <w:b/>
          <w:bCs/>
          <w:sz w:val="24"/>
          <w:szCs w:val="24"/>
        </w:rPr>
        <w:t xml:space="preserve">Nginx</w:t>
      </w:r>
    </w:p>
    <w:p>
      <w:pPr>
        <w:spacing w:after="60"/>
        <w:ind w:left="720"/>
      </w:pPr>
      <w:r>
        <w:drawing>
          <wp:inline distT="0" distB="0" distL="0" distR="0">
            <wp:extent cx="419100" cy="419100"/>
            <wp:effectExtent t="0" r="0" b="0" l="0"/>
            <wp:docPr id="1" name="SiNginx" descr="SiNginx" title="Si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 cy="419100"/>
                    </a:xfrm>
                    <a:prstGeom prst="rect">
                      <a:avLst/>
                    </a:prstGeom>
                  </pic:spPr>
                </pic:pic>
              </a:graphicData>
            </a:graphic>
          </wp:inline>
        </w:drawing>
      </w:r>
    </w:p>
    <w:p>
      <w:pPr>
        <w:spacing w:after="160"/>
        <w:ind w:left="720"/>
      </w:pPr>
      <w:r>
        <w:rPr>
          <w:sz w:val="22"/>
          <w:szCs w:val="22"/>
        </w:rPr>
        <w:t xml:space="preserve">Serveur web de production — sert les fichiers statiques générés par Vite, gère le reverse-proxy vers l'API, la compression Gzip, le cache des assets et les en-têtes de sécurité (version 1.27-alpine).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MarketWatch Sénégal — Mémoire de Master · Bi-Cloud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ad6ca19e8712868643767d82b07c4bdff27a9a.png"/><Relationship Id="rId10" Type="http://schemas.openxmlformats.org/officeDocument/2006/relationships/image" Target="media/29841f4c46df6fb5340ce93f1b4a008d677505b4.png"/><Relationship Id="rId11" Type="http://schemas.openxmlformats.org/officeDocument/2006/relationships/image" Target="media/85897f7726028d2eda44a96569d928af24bdd46e.png"/><Relationship Id="rId12" Type="http://schemas.openxmlformats.org/officeDocument/2006/relationships/image" Target="media/4d2b6ed428740c7d627054b265d41969befc5a62.png"/><Relationship Id="rId13" Type="http://schemas.openxmlformats.org/officeDocument/2006/relationships/image" Target="media/6dfeea706402e7f1195566b0dc4b3562f68eb90d.png"/><Relationship Id="rId14" Type="http://schemas.openxmlformats.org/officeDocument/2006/relationships/image" Target="media/1f8505b3226f850905d6cddd737627af93855734.png"/><Relationship Id="rId15" Type="http://schemas.openxmlformats.org/officeDocument/2006/relationships/image" Target="media/566cdd0cc1710e7af8fe29fd7fbd724fa6a33c4e.png"/><Relationship Id="rId16" Type="http://schemas.openxmlformats.org/officeDocument/2006/relationships/image" Target="media/4b820ad2c9ba66ecfc3e8564c52c0d992beddc8d.png"/><Relationship Id="rId17" Type="http://schemas.openxmlformats.org/officeDocument/2006/relationships/image" Target="media/73a1a37aeaf36f1830a0ac1a2428b08a2cacf355.png"/><Relationship Id="rId18" Type="http://schemas.openxmlformats.org/officeDocument/2006/relationships/image" Target="media/494d49161c8e5507d09e831ee251720df01ff01b.png"/><Relationship Id="rId19" Type="http://schemas.openxmlformats.org/officeDocument/2006/relationships/image" Target="media/334dd5a0a4cb4252aa9972ff03215e0694ea8c5c.png"/><Relationship Id="rId20" Type="http://schemas.openxmlformats.org/officeDocument/2006/relationships/image" Target="media/c02e1808009af42bd7e918ba665cace53a8c4916.png"/><Relationship Id="rId21" Type="http://schemas.openxmlformats.org/officeDocument/2006/relationships/image" Target="media/451422c049cfaded412a89d6f8ae4527406e429d.png"/><Relationship Id="rId22" Type="http://schemas.openxmlformats.org/officeDocument/2006/relationships/image" Target="media/c70daaf46e19145474cacafaceefd0b6ee6e2766.png"/><Relationship Id="rId23" Type="http://schemas.openxmlformats.org/officeDocument/2006/relationships/image" Target="media/2aee13a8a728c6a6e7a476e2dca34360ab0ee4c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2026-07-04T23:25:55.705Z</dcterms:created>
  <dcterms:modified xsi:type="dcterms:W3CDTF">2026-07-04T23:25:55.705Z</dcterms:modified>
</cp:coreProperties>
</file>

<file path=docProps/custom.xml><?xml version="1.0" encoding="utf-8"?>
<Properties xmlns="http://schemas.openxmlformats.org/officeDocument/2006/custom-properties" xmlns:vt="http://schemas.openxmlformats.org/officeDocument/2006/docPropsVTypes"/>
</file>