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4.png" ContentType="image/png"/>
  <Override PartName="/word/media/rId74.png" ContentType="image/png"/>
  <Override PartName="/word/media/rId107.png" ContentType="image/png"/>
  <Override PartName="/word/media/rId97.png" ContentType="image/png"/>
  <Override PartName="/word/media/rId101.png" ContentType="image/png"/>
  <Override PartName="/word/media/rId93.png" ContentType="image/png"/>
  <Override PartName="/word/media/rId12.png" ContentType="image/png"/>
  <Override PartName="/word/media/rId9.png" ContentType="image/png"/>
  <Override PartName="/word/media/rId146.png" ContentType="image/png"/>
  <Override PartName="/word/media/rId138.png" ContentType="image/png"/>
  <Override PartName="/word/media/rId142.png" ContentType="image/png"/>
  <Override PartName="/word/media/rId51.png" ContentType="image/png"/>
  <Override PartName="/word/media/rId82.png" ContentType="image/png"/>
  <Override PartName="/word/media/rId123.png" ContentType="image/png"/>
  <Override PartName="/word/media/rId127.png" ContentType="image/png"/>
  <Override PartName="/word/media/rId119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right" w:pos="9360"/>
        </w:tabs>
      </w:pPr>
      <w:r>
        <w:drawing>
          <wp:inline>
            <wp:extent cx="636910" cy="935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figuras/logo_ip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10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drawing>
          <wp:inline>
            <wp:extent cx="989672" cy="755999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figuras/logo_esco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672" cy="7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  <w:rPr>
          <w:sz w:val="28"/>
        </w:rPr>
      </w:pPr>
      <w:r>
        <w:rPr>
          <w:sz w:val="28"/>
        </w:rPr>
        <w:t xml:space="preserve">Instituto Politécnico Nacional</w:t>
      </w:r>
      <w:r>
        <w:rPr>
          <w:sz w:val="28"/>
        </w:rPr>
        <w:br/>
      </w:r>
      <w:r>
        <w:rPr>
          <w:sz w:val="28"/>
        </w:rPr>
        <w:t xml:space="preserve">Escuela Superior de Cómputo</w:t>
      </w:r>
    </w:p>
    <w:p>
      <w:pPr>
        <w:pStyle w:val="Title"/>
        <w:spacing w:before="1800"/>
      </w:pPr>
      <w:r>
        <w:rPr>
          <w:b/>
          <w:bCs/>
        </w:rPr>
        <w:t xml:space="preserve">Cambios en movilidad, seguridad y actividad económica de la Ciudad de México antes, durante y después del COVID-19</w:t>
      </w:r>
      <w:r>
        <w:br/>
      </w:r>
      <w:r>
        <w:t xml:space="preserve">Proyecto de minería de datos — Fase 1: recolección y limpieza de datos</w:t>
      </w:r>
    </w:p>
    <w:p>
      <w:pPr>
        <w:pStyle w:val="Author"/>
      </w:pPr>
      <w:r>
        <w:t xml:space="preserve">Garcia Martinez Angel Yahel</w:t>
      </w:r>
      <w:r>
        <w:br/>
      </w:r>
      <w:r>
        <w:t xml:space="preserve">Soto Peña Israel</w:t>
      </w:r>
      <w:r>
        <w:br/>
      </w:r>
      <w:r>
        <w:t xml:space="preserve">Materia: Minería de Datos</w:t>
      </w:r>
    </w:p>
    <w:p>
      <w:pPr>
        <w:pStyle w:val="Date"/>
      </w:pPr>
      <w:r>
        <w:t xml:space="preserve">2026-10-02</w:t>
      </w:r>
    </w:p>
    <w:p>
      <w:r>
        <w:br w:type="page"/>
      </w:r>
    </w:p>
    <w:p>
      <w:pPr>
        <w:pStyle w:val="AbstractTitle"/>
      </w:pPr>
      <w:r>
        <w:t xml:space="preserve">Resumen</w:t>
      </w:r>
    </w:p>
    <w:p>
      <w:pPr>
        <w:pStyle w:val="Abstract"/>
      </w:pPr>
      <w:r>
        <w:t xml:space="preserve">Este documento reúne el trabajo de la primera fase del proyecto: la definición del problema,</w:t>
      </w:r>
      <w:r>
        <w:t xml:space="preserve"> </w:t>
      </w:r>
      <w:r>
        <w:t xml:space="preserve">la identificación de fuentes de datos abiertos, su recolección y los criterios y resultados de su</w:t>
      </w:r>
      <w:r>
        <w:t xml:space="preserve"> </w:t>
      </w:r>
      <w:r>
        <w:t xml:space="preserve">limpieza. El objetivo de la fase es construir una base de datos integrada,</w:t>
      </w:r>
      <w:r>
        <w:t xml:space="preserve"> </w:t>
      </w:r>
      <w:r>
        <w:t xml:space="preserve">limpia y documentada sobre movilidad, seguridad y actividad económica en la Ciudad de México</w:t>
      </w:r>
      <w:r>
        <w:t xml:space="preserve"> </w:t>
      </w:r>
      <w:r>
        <w:t xml:space="preserve">para el periodo 2016–2026. Esa base será el insumo de un modelo predictivo en la fase siguiente.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Índice de figuras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p>
      <w:r>
        <w:br w:type="page"/>
      </w:r>
    </w:p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Índice de tablas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sec:problema"/>
    <w:p>
      <w:pPr>
        <w:pStyle w:val="Heading1"/>
      </w:pPr>
      <w:r>
        <w:t xml:space="preserve">Definición del problema</w:t>
      </w:r>
    </w:p>
    <w:bookmarkStart w:id="15" w:name="pregunta-de-investigación"/>
    <w:p>
      <w:pPr>
        <w:pStyle w:val="Heading2"/>
      </w:pPr>
      <w:r>
        <w:t xml:space="preserve">Pregunta de investigación</w:t>
      </w:r>
    </w:p>
    <w:p>
      <w:pPr>
        <w:pStyle w:val="BlockText"/>
      </w:pPr>
      <w:r>
        <w:rPr>
          <w:i/>
          <w:iCs/>
        </w:rPr>
        <w:t xml:space="preserve">¿Cómo cambiaron los patrones de movilidad, seguridad y actividad económica de la</w:t>
      </w:r>
      <w:r>
        <w:rPr>
          <w:i/>
          <w:iCs/>
        </w:rPr>
        <w:t xml:space="preserve"> </w:t>
      </w:r>
      <w:r>
        <w:rPr>
          <w:i/>
          <w:iCs/>
        </w:rPr>
        <w:t xml:space="preserve">Ciudad de México durante la pandemia de COVID-19, y qué diferencias se observan en su</w:t>
      </w:r>
      <w:r>
        <w:rPr>
          <w:i/>
          <w:iCs/>
        </w:rPr>
        <w:t xml:space="preserve"> </w:t>
      </w:r>
      <w:r>
        <w:rPr>
          <w:i/>
          <w:iCs/>
        </w:rPr>
        <w:t xml:space="preserve">recuperación posterior respecto al periodo previo a 2020?</w:t>
      </w:r>
    </w:p>
    <w:bookmarkEnd w:id="15"/>
    <w:bookmarkStart w:id="16" w:name="planteamiento"/>
    <w:p>
      <w:pPr>
        <w:pStyle w:val="Heading2"/>
      </w:pPr>
      <w:r>
        <w:t xml:space="preserve">Planteamiento</w:t>
      </w:r>
    </w:p>
    <w:p>
      <w:pPr>
        <w:pStyle w:val="FirstParagraph"/>
      </w:pPr>
      <w:r>
        <w:t xml:space="preserve">La pandemia de COVID-19 provocó un choque abrupto sobre la vida urbana de la Ciudad de México (CDMX).</w:t>
      </w:r>
      <w:r>
        <w:t xml:space="preserve"> </w:t>
      </w:r>
      <w:r>
        <w:t xml:space="preserve">En México, el primer caso se confirmó el 28 de febrero de 2020 y la Jornada Nacional de Sana Distancia</w:t>
      </w:r>
      <w:r>
        <w:t xml:space="preserve"> </w:t>
      </w:r>
      <w:r>
        <w:t xml:space="preserve">comenzó el 23 de marzo de 2020.</w:t>
      </w:r>
    </w:p>
    <w:p>
      <w:pPr>
        <w:pStyle w:val="BodyText"/>
      </w:pPr>
      <w:r>
        <w:t xml:space="preserve">Los datos para medir este choque existen, pero están</w:t>
      </w:r>
      <w:r>
        <w:t xml:space="preserve"> </w:t>
      </w:r>
      <w:r>
        <w:rPr>
          <w:b/>
          <w:bCs/>
        </w:rPr>
        <w:t xml:space="preserve">dispersos</w:t>
      </w:r>
      <w:r>
        <w:t xml:space="preserve"> </w:t>
      </w:r>
      <w:r>
        <w:t xml:space="preserve">entre distintas instituciones:</w:t>
      </w:r>
      <w:r>
        <w:t xml:space="preserve"> </w:t>
      </w:r>
      <w:r>
        <w:t xml:space="preserve">Gobierno de la CDMX, Fiscalía General de Justicia (FGJ), Secretaría de Seguridad Ciudadana (SSC), C5,</w:t>
      </w:r>
      <w:r>
        <w:t xml:space="preserve"> </w:t>
      </w:r>
      <w:r>
        <w:t xml:space="preserve">INEGI, IMSS y Secretaría de Salud. Además, tienen</w:t>
      </w:r>
      <w:r>
        <w:t xml:space="preserve"> </w:t>
      </w:r>
      <w:r>
        <w:rPr>
          <w:b/>
          <w:bCs/>
        </w:rPr>
        <w:t xml:space="preserve">granularidades distintas</w:t>
      </w:r>
      <w:r>
        <w:t xml:space="preserve">. En el tiempo</w:t>
      </w:r>
      <w:r>
        <w:t xml:space="preserve"> </w:t>
      </w:r>
      <w:r>
        <w:t xml:space="preserve">pueden ser diarios, mensuales o trimestrales. En el territorio pueden estar por estación, colonia,</w:t>
      </w:r>
      <w:r>
        <w:t xml:space="preserve"> </w:t>
      </w:r>
      <w:r>
        <w:t xml:space="preserve">alcaldía o entidad. Sus formatos y calidades también varían. No existe una base integrada que permita</w:t>
      </w:r>
      <w:r>
        <w:t xml:space="preserve"> </w:t>
      </w:r>
      <w:r>
        <w:t xml:space="preserve">comparar las tres dimensiones sobre un mismo eje temporal y territorial.</w:t>
      </w:r>
    </w:p>
    <w:p>
      <w:pPr>
        <w:pStyle w:val="TableCaption"/>
      </w:pPr>
      <w:r>
        <w:t xml:space="preserve">Problemas de los datos disponibles.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Problemas de los datos disponibles."/>
      </w:tblPr>
      <w:tblGrid>
        <w:gridCol w:w="468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CDMX, FGJ, SSC, C5, INEGI, IMSS y Secretaría de Salud publican cada uno por separado.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Granularidad distinta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Metro: diario por estación. Carpetas de la FGJ: por evento, con coordenadas. ITAEE: trimestral por entidad.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heterogénea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mal codificado, cambios de catálogo (PGJ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FGJ), cierres de líneas del Metro y series que empiezan en 2020.</w:t>
            </w:r>
          </w:p>
        </w:tc>
      </w:tr>
    </w:tbl>
    <w:bookmarkEnd w:id="16"/>
    <w:bookmarkStart w:id="18" w:name="qué-se-analizará"/>
    <w:p>
      <w:pPr>
        <w:pStyle w:val="Heading2"/>
      </w:pPr>
      <w:r>
        <w:t xml:space="preserve">Qué se analizará</w:t>
      </w:r>
    </w:p>
    <w:p>
      <w:pPr>
        <w:pStyle w:val="FirstParagraph"/>
      </w:pPr>
      <w:r>
        <w:t xml:space="preserve">El análisis cubre tres dimensiones de la vida urbana, más una dimensión de control que mide la</w:t>
      </w:r>
      <w:r>
        <w:t xml:space="preserve"> </w:t>
      </w:r>
      <w:r>
        <w:t xml:space="preserve">intensidad de la pandemia (Tabla </w:t>
      </w:r>
      <w:hyperlink w:anchor="tab:dimensiones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17" w:name="tab:dimensiones"/>
    <w:p>
      <w:pPr>
        <w:pStyle w:val="TableCaption"/>
      </w:pPr>
      <w:r>
        <w:t xml:space="preserve">Dimensiones y variables del análisis.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Dimensiones y variables del análisis."/>
      </w:tblPr>
      <w:tblGrid>
        <w:gridCol w:w="312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Qué se mide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del transporte público y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Afluencia de Metro, Metrobús, STE, RTP y Ecobici; tránsito vehicular; hechos de tránsito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Delitos denunciados, emergencias y percepción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de investigación por tipo de delito, víctimas, llamadas al 911, percepción de inseguridad (ENSU)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 económica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Empleo y actividad productiva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Asegurados en el IMSS, ocupación y desocupación (ENOE), ITAEE, unidades económicas (DENUE), ocupación hotelera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Pandemia (control)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Intensidad del COVID-19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Casos, positividad, hospitalización, color del semáforo</w:t>
            </w:r>
          </w:p>
        </w:tc>
      </w:tr>
    </w:tbl>
    <w:bookmarkEnd w:id="17"/>
    <w:bookmarkEnd w:id="18"/>
    <w:bookmarkStart w:id="19" w:name="objetivo-de-la-fase"/>
    <w:p>
      <w:pPr>
        <w:pStyle w:val="Heading2"/>
      </w:pPr>
      <w:r>
        <w:t xml:space="preserve">Objetivo de la fase</w:t>
      </w:r>
    </w:p>
    <w:p>
      <w:pPr>
        <w:pStyle w:val="FirstParagraph"/>
      </w:pPr>
      <w:r>
        <w:t xml:space="preserve">El problema a resolver en esta fase es</w:t>
      </w:r>
      <w:r>
        <w:t xml:space="preserve"> </w:t>
      </w:r>
      <w:r>
        <w:rPr>
          <w:b/>
          <w:bCs/>
        </w:rPr>
        <w:t xml:space="preserve">construir un conjunto de datos integrado, limpio y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documentado</w:t>
      </w:r>
      <w:r>
        <w:t xml:space="preserve"> </w:t>
      </w:r>
      <w:r>
        <w:t xml:space="preserve">que permita:</w:t>
      </w:r>
    </w:p>
    <w:p>
      <w:pPr>
        <w:numPr>
          <w:ilvl w:val="0"/>
          <w:numId w:val="1001"/>
        </w:numPr>
      </w:pPr>
      <w:r>
        <w:t xml:space="preserve">Medir la magnitud de la caída de cada dimensión en 2020.</w:t>
      </w:r>
    </w:p>
    <w:p>
      <w:pPr>
        <w:numPr>
          <w:ilvl w:val="0"/>
          <w:numId w:val="1001"/>
        </w:numPr>
      </w:pPr>
      <w:r>
        <w:t xml:space="preserve">Medir la velocidad y el nivel de recuperación: si se volvió a la línea base, cuándo, o si se</w:t>
      </w:r>
      <w:r>
        <w:t xml:space="preserve"> </w:t>
      </w:r>
      <w:r>
        <w:t xml:space="preserve">llegó a un nuevo equilibrio.</w:t>
      </w:r>
    </w:p>
    <w:p>
      <w:pPr>
        <w:numPr>
          <w:ilvl w:val="0"/>
          <w:numId w:val="1001"/>
        </w:numPr>
      </w:pPr>
      <w:r>
        <w:t xml:space="preserve">Relacionar las dimensiones entre sí y con la intensidad de la pandemia (casos, semáforo epidemiológico).</w:t>
      </w:r>
    </w:p>
    <w:p>
      <w:pPr>
        <w:numPr>
          <w:ilvl w:val="0"/>
          <w:numId w:val="1001"/>
        </w:numPr>
      </w:pPr>
      <w:r>
        <w:t xml:space="preserve">Servir de insumo a un modelo predictivo en la fase siguiente.</w:t>
      </w:r>
    </w:p>
    <w:bookmarkEnd w:id="19"/>
    <w:bookmarkStart w:id="20" w:name="periodos-de-análisis"/>
    <w:p>
      <w:pPr>
        <w:pStyle w:val="Heading2"/>
      </w:pPr>
      <w:r>
        <w:t xml:space="preserve">Periodos de análisis</w:t>
      </w:r>
    </w:p>
    <w:p>
      <w:pPr>
        <w:pStyle w:val="TableCaption"/>
      </w:pPr>
      <w:r>
        <w:t xml:space="preserve">Periodos propuestos. Los cortes pueden ajustarse con base en el semáforo epidemiológico de la CDMX.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Periodos propuestos. Los cortes pueden ajustarse con base en el semáforo epidemiológico de la CDMX."/>
      </w:tblPr>
      <w:tblGrid>
        <w:gridCol w:w="312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Pre-pandemia (línea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2016-01-01 – 2020-02-29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Tendencia y estacionalidad</w:t>
            </w:r>
            <w:r>
              <w:t xml:space="preserve"> </w:t>
            </w:r>
            <w:r>
              <w:t xml:space="preserve">“normal”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Confinamiento / choque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2020-03-01 – 2021-06-30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Caída; semáforo rojo/naranja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2021-07-01 – 2022-12-31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Reapertura gradual, vacunación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2023-01-01 – último 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/</w:t>
            </w:r>
            <w:r>
              <w:t xml:space="preserve"> </w:t>
            </w:r>
            <w:r>
              <w:t xml:space="preserve">“nueva normalidad”</w:t>
            </w:r>
          </w:p>
        </w:tc>
      </w:tr>
    </w:tbl>
    <w:bookmarkEnd w:id="20"/>
    <w:bookmarkStart w:id="21" w:name="unidades-de-análisis"/>
    <w:p>
      <w:pPr>
        <w:pStyle w:val="Heading2"/>
      </w:pPr>
      <w:r>
        <w:t xml:space="preserve">Unidades de análisis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Temporal:</w:t>
      </w:r>
      <w:r>
        <w:t xml:space="preserve"> </w:t>
      </w:r>
      <w:r>
        <w:t xml:space="preserve">diaria donde exista. La base integrada se agregará a nivel</w:t>
      </w:r>
      <w:r>
        <w:t xml:space="preserve"> </w:t>
      </w:r>
      <w:r>
        <w:rPr>
          <w:b/>
          <w:bCs/>
        </w:rPr>
        <w:t xml:space="preserve">semanal y mensual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Territorial:</w:t>
      </w:r>
      <w:r>
        <w:t xml:space="preserve"> </w:t>
      </w:r>
      <w:r>
        <w:t xml:space="preserve">la unidad común es la</w:t>
      </w:r>
      <w:r>
        <w:t xml:space="preserve"> </w:t>
      </w:r>
      <w:r>
        <w:rPr>
          <w:b/>
          <w:bCs/>
        </w:rPr>
        <w:t xml:space="preserve">alcaldía</w:t>
      </w:r>
      <w:r>
        <w:t xml:space="preserve"> </w:t>
      </w:r>
      <w:r>
        <w:t xml:space="preserve">(16). Se usará colonia o estación</w:t>
      </w:r>
      <w:r>
        <w:t xml:space="preserve"> </w:t>
      </w:r>
      <w:r>
        <w:t xml:space="preserve">solo cuando el dato lo permita.</w:t>
      </w:r>
    </w:p>
    <w:bookmarkEnd w:id="21"/>
    <w:bookmarkStart w:id="22" w:name="X771b709028eefedc85050b2c8169a5c7507c386"/>
    <w:p>
      <w:pPr>
        <w:pStyle w:val="Heading2"/>
      </w:pPr>
      <w:r>
        <w:t xml:space="preserve">Variables objetivo candidatas (fase predictiva)</w:t>
      </w:r>
    </w:p>
    <w:p>
      <w:pPr>
        <w:numPr>
          <w:ilvl w:val="0"/>
          <w:numId w:val="1003"/>
        </w:numPr>
      </w:pPr>
      <w:r>
        <w:t xml:space="preserve">Afluencia mensual total en transporte público (Metro + Metrobús + STE + RTP).</w:t>
      </w:r>
    </w:p>
    <w:p>
      <w:pPr>
        <w:numPr>
          <w:ilvl w:val="0"/>
          <w:numId w:val="1003"/>
        </w:numPr>
      </w:pPr>
      <w:r>
        <w:t xml:space="preserve">Delitos de alto impacto por alcaldía y mes.</w:t>
      </w:r>
    </w:p>
    <w:p>
      <w:pPr>
        <w:numPr>
          <w:ilvl w:val="0"/>
          <w:numId w:val="1003"/>
        </w:numPr>
      </w:pPr>
      <w:r>
        <w:t xml:space="preserve">Empleo formal (trabajadores asegurados en el IMSS) en la CDMX por mes.</w:t>
      </w:r>
    </w:p>
    <w:p>
      <w:pPr>
        <w:numPr>
          <w:ilvl w:val="0"/>
          <w:numId w:val="1003"/>
        </w:numPr>
      </w:pPr>
      <w:r>
        <w:t xml:space="preserve">Índice de recuperación: el valor observado entre el valor esperado sin pandemia. El valor</w:t>
      </w:r>
      <w:r>
        <w:t xml:space="preserve"> </w:t>
      </w:r>
      <w:r>
        <w:t xml:space="preserve">esperado es un contrafactual estimado con la tendencia anterior a 2020.</w:t>
      </w:r>
    </w:p>
    <w:bookmarkEnd w:id="22"/>
    <w:bookmarkStart w:id="23" w:name="hipótesis-de-trabajo"/>
    <w:p>
      <w:pPr>
        <w:pStyle w:val="Heading2"/>
      </w:pPr>
      <w:r>
        <w:t xml:space="preserve">Hipótesis de trabajo</w:t>
      </w:r>
    </w:p>
    <w:p>
      <w:pPr>
        <w:pStyle w:val="DefinitionTerm"/>
      </w:pPr>
      <w:r>
        <w:t xml:space="preserve">H1.</w:t>
      </w:r>
    </w:p>
    <w:p>
      <w:pPr>
        <w:pStyle w:val="Definition"/>
      </w:pPr>
      <w:r>
        <w:t xml:space="preserve">La movilidad en transporte masivo cayó más del 50 % en abril–mayo de 2020 y no se</w:t>
      </w:r>
      <w:r>
        <w:t xml:space="preserve"> </w:t>
      </w:r>
      <w:r>
        <w:t xml:space="preserve">recuperó al mismo ritmo que el tránsito vehicular.</w:t>
      </w:r>
    </w:p>
    <w:p>
      <w:pPr>
        <w:pStyle w:val="DefinitionTerm"/>
      </w:pPr>
      <w:r>
        <w:t xml:space="preserve">H2.</w:t>
      </w:r>
    </w:p>
    <w:p>
      <w:pPr>
        <w:pStyle w:val="Definition"/>
      </w:pPr>
      <w:r>
        <w:t xml:space="preserve">Los delitos patrimoniales en vía pública (robo a transeúnte y en transporte) cayeron junto</w:t>
      </w:r>
      <w:r>
        <w:t xml:space="preserve"> </w:t>
      </w:r>
      <w:r>
        <w:t xml:space="preserve">con la movilidad. La violencia familiar no disminuyó, o incluso aumentó.</w:t>
      </w:r>
    </w:p>
    <w:p>
      <w:pPr>
        <w:pStyle w:val="DefinitionTerm"/>
      </w:pPr>
      <w:r>
        <w:t xml:space="preserve">H3.</w:t>
      </w:r>
    </w:p>
    <w:p>
      <w:pPr>
        <w:pStyle w:val="Definition"/>
      </w:pPr>
      <w:r>
        <w:t xml:space="preserve">El empleo formal se recuperó antes que la movilidad en transporte público, por el efecto</w:t>
      </w:r>
      <w:r>
        <w:t xml:space="preserve"> </w:t>
      </w:r>
      <w:r>
        <w:t xml:space="preserve">del teletrabajo.</w:t>
      </w:r>
    </w:p>
    <w:p>
      <w:pPr>
        <w:pStyle w:val="DefinitionTerm"/>
      </w:pPr>
      <w:r>
        <w:t xml:space="preserve">H4.</w:t>
      </w:r>
    </w:p>
    <w:p>
      <w:pPr>
        <w:pStyle w:val="Definition"/>
      </w:pPr>
      <w:r>
        <w:t xml:space="preserve">La recuperación fue desigual entre alcaldías centrales y periféricas. Con la selección</w:t>
      </w:r>
      <w:r>
        <w:t xml:space="preserve"> </w:t>
      </w:r>
      <w:r>
        <w:t xml:space="preserve">final (Sección </w:t>
      </w:r>
      <w:hyperlink w:anchor="sec:seleccion_final">
        <w:r>
          <w:rPr>
            <w:rStyle w:val="Hyperlink"/>
          </w:rPr>
          <w:t xml:space="preserve">2.1</w:t>
        </w:r>
      </w:hyperlink>
      <w:r>
        <w:t xml:space="preserve">) solo se evalúa en seguridad y seguridad vial.</w:t>
      </w:r>
    </w:p>
    <w:bookmarkEnd w:id="23"/>
    <w:bookmarkStart w:id="24" w:name="alcance-y-limitaciones"/>
    <w:p>
      <w:pPr>
        <w:pStyle w:val="Heading2"/>
      </w:pPr>
      <w:r>
        <w:t xml:space="preserve">Alcance y limitaciones</w:t>
      </w:r>
    </w:p>
    <w:p>
      <w:pPr>
        <w:numPr>
          <w:ilvl w:val="0"/>
          <w:numId w:val="1004"/>
        </w:numPr>
      </w:pPr>
      <w:r>
        <w:t xml:space="preserve">El modelado, la inferencia causal y los pronósticos quedan fuera de esta fase.</w:t>
      </w:r>
    </w:p>
    <w:p>
      <w:pPr>
        <w:numPr>
          <w:ilvl w:val="0"/>
          <w:numId w:val="1004"/>
        </w:numPr>
      </w:pPr>
      <w:r>
        <w:t xml:space="preserve">Las carpetas de investigación miden</w:t>
      </w:r>
      <w:r>
        <w:t xml:space="preserve"> </w:t>
      </w:r>
      <w:r>
        <w:rPr>
          <w:i/>
          <w:iCs/>
        </w:rPr>
        <w:t xml:space="preserve">denuncias</w:t>
      </w:r>
      <w:r>
        <w:t xml:space="preserve">, no delitos ocurridos. Según la ENVIPE,</w:t>
      </w:r>
      <w:r>
        <w:t xml:space="preserve"> </w:t>
      </w:r>
      <w:r>
        <w:t xml:space="preserve">la cifra negra ronda el 90 %. Por eso se complementan con las llamadas al 911 y con las encuestas ENVIPE y ENSU.</w:t>
      </w:r>
    </w:p>
    <w:p>
      <w:pPr>
        <w:numPr>
          <w:ilvl w:val="0"/>
          <w:numId w:val="1004"/>
        </w:numPr>
      </w:pPr>
      <w:r>
        <w:t xml:space="preserve">Algunas series creadas durante la pandemia (Google Mobility, índices de movilidad de la CDMX)</w:t>
      </w:r>
      <w:r>
        <w:t xml:space="preserve"> </w:t>
      </w:r>
      <w:r>
        <w:rPr>
          <w:b/>
          <w:bCs/>
        </w:rPr>
        <w:t xml:space="preserve">no tienen línea base anterior a 2020</w:t>
      </w:r>
      <w:r>
        <w:t xml:space="preserve">. Sirven para describir el periodo pandémico, pero</w:t>
      </w:r>
      <w:r>
        <w:t xml:space="preserve"> </w:t>
      </w:r>
      <w:r>
        <w:t xml:space="preserve">no para comparar antes y después.</w:t>
      </w:r>
    </w:p>
    <w:p>
      <w:pPr>
        <w:numPr>
          <w:ilvl w:val="0"/>
          <w:numId w:val="1004"/>
        </w:numPr>
      </w:pPr>
      <w:r>
        <w:t xml:space="preserve">Hubo cambios metodológicos. Por ejemplo, la PGJ se transformó en FGJ y algunos delitos se</w:t>
      </w:r>
      <w:r>
        <w:t xml:space="preserve"> </w:t>
      </w:r>
      <w:r>
        <w:t xml:space="preserve">reclasificaron. Estos cambios deben documentarse al unir las series.</w:t>
      </w:r>
    </w:p>
    <w:bookmarkEnd w:id="24"/>
    <w:bookmarkEnd w:id="25"/>
    <w:bookmarkStart w:id="39" w:name="sec:fuentes"/>
    <w:p>
      <w:pPr>
        <w:pStyle w:val="Heading1"/>
      </w:pPr>
      <w:r>
        <w:t xml:space="preserve">Fuentes de información</w:t>
      </w:r>
    </w:p>
    <w:p>
      <w:pPr>
        <w:pStyle w:val="FirstParagraph"/>
      </w:pPr>
      <w:r>
        <w:t xml:space="preserve">La mayoría de las fuentes provienen del Portal de Datos Abiertos de la CDMX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https://datos.cdmx.gob.mx</w:t>
        </w:r>
      </w:hyperlink>
      <w:r>
        <w:t xml:space="preserve">). Este portal usa la plataforma CKAN, cuya API permite consultar el</w:t>
      </w:r>
      <w:r>
        <w:t xml:space="preserve"> </w:t>
      </w:r>
      <w:r>
        <w:t xml:space="preserve">catálogo de forma automática. El resto de las fuentes provienen de INEGI, IMSS, SESNSP y la Secretaría de Salud.</w:t>
      </w:r>
    </w:p>
    <w:bookmarkStart w:id="29" w:name="sec:seleccion_final"/>
    <w:p>
      <w:pPr>
        <w:pStyle w:val="Heading2"/>
      </w:pPr>
      <w:r>
        <w:t xml:space="preserve">Selección final</w:t>
      </w:r>
    </w:p>
    <w:p>
      <w:pPr>
        <w:pStyle w:val="FirstParagraph"/>
      </w:pPr>
      <w:r>
        <w:t xml:space="preserve">Después de descargar y revisar los datos, la selección se redujo a</w:t>
      </w:r>
      <w:r>
        <w:t xml:space="preserve"> </w:t>
      </w:r>
      <w:r>
        <w:rPr>
          <w:b/>
          <w:bCs/>
        </w:rPr>
        <w:t xml:space="preserve">ocho conjuntos</w:t>
      </w:r>
      <w:r>
        <w:t xml:space="preserve">: seis</w:t>
      </w:r>
      <w:r>
        <w:t xml:space="preserve"> </w:t>
      </w:r>
      <w:r>
        <w:t xml:space="preserve">principales y dos de control (Tabla </w:t>
      </w:r>
      <w:hyperlink w:anchor="tab:seleccion_final">
        <w:r>
          <w:rPr>
            <w:rStyle w:val="Hyperlink"/>
          </w:rPr>
          <w:t xml:space="preserve">2</w:t>
        </w:r>
      </w:hyperlink>
      <w:r>
        <w:t xml:space="preserve">). Los hechos de tránsito se prefirieron</w:t>
      </w:r>
      <w:r>
        <w:t xml:space="preserve"> </w:t>
      </w:r>
      <w:r>
        <w:t xml:space="preserve">sobre Ecobici porque complementan las debilidades del Metro: miden el tránsito vehicular, que es la</w:t>
      </w:r>
      <w:r>
        <w:t xml:space="preserve"> </w:t>
      </w:r>
      <w:r>
        <w:t xml:space="preserve">otra mitad de la hipótesis H1, y tienen datos por alcaldía.</w:t>
      </w:r>
    </w:p>
    <w:bookmarkStart w:id="27" w:name="tab:seleccion_final"/>
    <w:p>
      <w:pPr>
        <w:pStyle w:val="TableCaption"/>
      </w:pPr>
      <w:r>
        <w:t xml:space="preserve">Selección final de conjuntos de datos.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Selección final de conjuntos de datos."/>
      </w:tblPr>
      <w:tblGrid>
        <w:gridCol w:w="312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Principal: transporte masivo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Metrobús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Principal: transporte masivo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Hechos de tránsito (SSC)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Principal: tránsito vehicular, por alcaldía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de investigación (FGJ)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Principal: delitos por tipo y alcaldía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Puestos de trabajo (IMSS)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Principal: empleo formal y salario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Ocupación hotelera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Principal: turismo y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COVID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Control: intensidad de la pandemia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Semáforo epidemiológico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Control: restricciones vigentes</w:t>
            </w:r>
          </w:p>
        </w:tc>
      </w:tr>
    </w:tbl>
    <w:bookmarkEnd w:id="27"/>
    <w:bookmarkStart w:id="28" w:name="descartados."/>
    <w:p>
      <w:pPr>
        <w:pStyle w:val="Heading4"/>
      </w:pPr>
      <w:r>
        <w:t xml:space="preserve">Descartados.</w:t>
      </w:r>
    </w:p>
    <w:p>
      <w:pPr>
        <w:pStyle w:val="FirstParagraph"/>
      </w:pPr>
      <w:r>
        <w:t xml:space="preserve">Se descartaron cinco conjuntos: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Ecobici:</w:t>
      </w:r>
      <w:r>
        <w:t xml:space="preserve"> </w:t>
      </w:r>
      <w:r>
        <w:t xml:space="preserve">termina en julio de 2024 y cambió de sistema en 2022.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Llamadas al 911:</w:t>
      </w:r>
      <w:r>
        <w:t xml:space="preserve"> </w:t>
      </w:r>
      <w:r>
        <w:t xml:space="preserve">no llega al periodo post-pandemia y es el más costoso de limpiar.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ENOE:</w:t>
      </w:r>
      <w:r>
        <w:t xml:space="preserve"> </w:t>
      </w:r>
      <w:r>
        <w:t xml:space="preserve">son microdatos nacionales y el IMSS ya cubre el empleo.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SESNSP:</w:t>
      </w:r>
      <w:r>
        <w:t xml:space="preserve"> </w:t>
      </w:r>
      <w:r>
        <w:t xml:space="preserve">solo servía para validar a la FGJ y requería descarga manual.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DENUE.</w:t>
      </w:r>
    </w:p>
    <w:p>
      <w:pPr>
        <w:pStyle w:val="FirstParagraph"/>
      </w:pPr>
      <w:r>
        <w:t xml:space="preserve">Sus archivos se conservan en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. En consecuencia, la hipótesis H4 (diferencias entre</w:t>
      </w:r>
      <w:r>
        <w:t xml:space="preserve"> </w:t>
      </w:r>
      <w:r>
        <w:t xml:space="preserve">alcaldías) solo se evaluará en seguridad y seguridad vial, y el ejemplo de imputación con regresión</w:t>
      </w:r>
      <w:r>
        <w:t xml:space="preserve"> </w:t>
      </w:r>
      <w:r>
        <w:t xml:space="preserve">será el</w:t>
      </w:r>
      <w:r>
        <w:t xml:space="preserve"> </w:t>
      </w:r>
      <w:r>
        <w:rPr>
          <w:i/>
          <w:iCs/>
        </w:rPr>
        <w:t xml:space="preserve">backcasting</w:t>
      </w:r>
      <w:r>
        <w:t xml:space="preserve"> </w:t>
      </w:r>
      <w:r>
        <w:t xml:space="preserve">de la ocupación hotelera con el empleo del IMSS.</w:t>
      </w:r>
    </w:p>
    <w:bookmarkEnd w:id="28"/>
    <w:bookmarkEnd w:id="29"/>
    <w:bookmarkStart w:id="31" w:name="sec:seleccion"/>
    <w:p>
      <w:pPr>
        <w:pStyle w:val="Heading2"/>
      </w:pPr>
      <w:r>
        <w:t xml:space="preserve">Primera selección</w:t>
      </w:r>
    </w:p>
    <w:p>
      <w:pPr>
        <w:pStyle w:val="FirstParagraph"/>
      </w:pPr>
      <w:r>
        <w:t xml:space="preserve">Se identificaron 29 fuentes en total. Para que la fase sea manejable sin perder cobertura, se</w:t>
      </w:r>
      <w:r>
        <w:t xml:space="preserve"> </w:t>
      </w:r>
      <w:r>
        <w:t xml:space="preserve">seleccionaron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con cuatro criterios:</w:t>
      </w:r>
    </w:p>
    <w:p>
      <w:pPr>
        <w:numPr>
          <w:ilvl w:val="0"/>
          <w:numId w:val="1006"/>
        </w:numPr>
      </w:pPr>
      <w:r>
        <w:t xml:space="preserve">Tener datos anteriores a 2020, para contar con una línea base.</w:t>
      </w:r>
    </w:p>
    <w:p>
      <w:pPr>
        <w:numPr>
          <w:ilvl w:val="0"/>
          <w:numId w:val="1006"/>
        </w:numPr>
      </w:pPr>
      <w:r>
        <w:t xml:space="preserve">Llegar hasta 2024–2025, para observar la recuperación.</w:t>
      </w:r>
    </w:p>
    <w:p>
      <w:pPr>
        <w:numPr>
          <w:ilvl w:val="0"/>
          <w:numId w:val="1006"/>
        </w:numPr>
      </w:pPr>
      <w:r>
        <w:t xml:space="preserve">Ser mensuales o más finos, de preferencia por alcaldía.</w:t>
      </w:r>
    </w:p>
    <w:p>
      <w:pPr>
        <w:numPr>
          <w:ilvl w:val="0"/>
          <w:numId w:val="1006"/>
        </w:numPr>
      </w:pPr>
      <w:r>
        <w:t xml:space="preserve">Poder descargarse sin registro.</w:t>
      </w:r>
    </w:p>
    <w:p>
      <w:pPr>
        <w:pStyle w:val="FirstParagraph"/>
      </w:pPr>
      <w:r>
        <w:t xml:space="preserve">Las demás fuentes quedan como opcionales. Las tablas de las secciones siguientes conservan el</w:t>
      </w:r>
      <w:r>
        <w:t xml:space="preserve"> </w:t>
      </w:r>
      <w:r>
        <w:t xml:space="preserve">inventario completo.</w:t>
      </w:r>
    </w:p>
    <w:bookmarkStart w:id="30" w:name="tab:seleccion"/>
    <w:p>
      <w:pPr>
        <w:pStyle w:val="TableCaption"/>
      </w:pPr>
      <w:r>
        <w:t xml:space="preserve">Conjuntos de datos seleccionados.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Conjuntos de datos seleccionados."/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Conjunto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Granularidad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Afluencia diaria del 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estación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Afluencia diaria de Metrobús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Viajes Ecobici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día/hora × género × 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Hechos de tránsito SSC (serie comparable)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×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de investigación FGJ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georreferenciado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Llamadas al 911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×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delictiva municipal (SESNSP)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× municipio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Puestos de trabajo asegurados (IMSS)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× municipio ×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ENOE (INEGI)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trimestre ×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DENUE (cortes anuales)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Ocupación hotelera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Casos, pruebas y positividad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Semáforo epidemiológico (por construir)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Población (Censo 2020) y Marco Geoestadístico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0"/>
    <w:p>
      <w:pPr>
        <w:pStyle w:val="BodyText"/>
      </w:pPr>
      <w:r>
        <w:rPr>
          <w:b/>
          <w:bCs/>
        </w:rPr>
        <w:t xml:space="preserve">Opcionales:</w:t>
      </w:r>
      <w:r>
        <w:t xml:space="preserve"> </w:t>
      </w:r>
      <w:r>
        <w:t xml:space="preserve">STE, RTP, afluencia preliminar, movilidad histórico COVID-19, GTFS,</w:t>
      </w:r>
      <w:r>
        <w:t xml:space="preserve"> </w:t>
      </w:r>
      <w:r>
        <w:t xml:space="preserve">Google Mobility, víctimas FGJ, ENSU, ENVIPE, ITAEE (requiere token de INEGI), directorio de unidades</w:t>
      </w:r>
      <w:r>
        <w:t xml:space="preserve"> </w:t>
      </w:r>
      <w:r>
        <w:t xml:space="preserve">económicas, seguro de desempleo, Monitor Estadístico, SINAVE, casos por colonia y capacidad hospitalaria.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✓ = existencia verificada en el catálogo el 26/09/2026;</w:t>
      </w:r>
      <w:r>
        <w:t xml:space="preserve"> </w:t>
      </w:r>
      <w:r>
        <w:t xml:space="preserve">○ = pendiente de verificar. Los enlaces completos están en el Apéndice </w:t>
      </w:r>
      <w:hyperlink w:anchor="app:enlaces">
        <w:r>
          <w:rPr>
            <w:rStyle w:val="Hyperlink"/>
          </w:rPr>
          <w:t xml:space="preserve">8</w:t>
        </w:r>
      </w:hyperlink>
      <w:r>
        <w:t xml:space="preserve">.</w:t>
      </w:r>
    </w:p>
    <w:bookmarkEnd w:id="31"/>
    <w:bookmarkStart w:id="32" w:name="movilidad"/>
    <w:p>
      <w:pPr>
        <w:pStyle w:val="Heading2"/>
      </w:pPr>
      <w:r>
        <w:t xml:space="preserve">Movilidad</w:t>
      </w:r>
    </w:p>
    <w:p>
      <w:pPr>
        <w:pStyle w:val="TableCaption"/>
      </w:pPr>
      <w:r>
        <w:t xml:space="preserve">Fuentes de movilidad.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Fuentes de movilidad."/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Conjunto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Granularidad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Cobertura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Afluencia diaria del Metro (simple y desglosada)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STC 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estación ×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2010-01 – 2026-07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Afluencia diaria de Metrobús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Metrobús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Afluencia diaria STE (Trolebús, Tren Ligero, Cablebús)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Afluencia diaria RTP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Afluencia preliminar en transporte público (histórico)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SEMOVI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Viajes del sistema Ecobici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Ecobici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Viaje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sistema en 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 movilidad (histórico COVID-19)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/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–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Hechos de tránsito SSC (serie comparable)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COVID-19 Community Mobility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2020-02 – 2022-10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GTFS estático de la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SEMOVI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Estático (rutas, estaciones)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32"/>
    <w:bookmarkStart w:id="33" w:name="seguridad"/>
    <w:p>
      <w:pPr>
        <w:pStyle w:val="Heading2"/>
      </w:pPr>
      <w:r>
        <w:t xml:space="preserve">Seguridad</w:t>
      </w:r>
    </w:p>
    <w:p>
      <w:pPr>
        <w:pStyle w:val="TableCaption"/>
      </w:pPr>
      <w:r>
        <w:t xml:space="preserve">Fuentes de seguridad.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Fuentes de seguridad."/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Conjunto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Granularidad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Cobertura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Carpetas de investigación FGJ (CSV anuales y acumulado)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FGJ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con coordenadas, colonia,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 – 2024+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Víctimas en carpetas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FGJ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Víctima (sexo, edad)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Llamadas al 911 (archivos semestrales)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× incidente ×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2019-S1 – 2022+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 delictiva del fuero común (municipal)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SESNSP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× municipio × delito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ENSU: percepción de inseguridad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Trimestre × 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 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ENVIPE: victimización y cifra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 ×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bookmarkEnd w:id="33"/>
    <w:bookmarkStart w:id="34" w:name="actividad-económica"/>
    <w:p>
      <w:pPr>
        <w:pStyle w:val="Heading2"/>
      </w:pPr>
      <w:r>
        <w:t xml:space="preserve">Actividad económica</w:t>
      </w:r>
    </w:p>
    <w:p>
      <w:pPr>
        <w:pStyle w:val="TableCaption"/>
      </w:pPr>
      <w:r>
        <w:t xml:space="preserve">Fuentes de actividad económica.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Fuentes de actividad económica."/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Conjunto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Granularidad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Cobertura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Puestos de trabajo asegurados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× municipio ×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 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ENOE / ETOE (ocupación, desocupación, informalidad)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Trimestre ×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ITAEE (actividad económica estatal)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 (BIE)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Trimestre × entidad ×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 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DENUE (cortes anuales)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Establecimiento con coordenadas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Directorio estadístico de unidades económicas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Solicitudes al Seguro de Desempleo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Ocupación hotelera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SECTUR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 del Monitor Estadístico de la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revisar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34"/>
    <w:bookmarkStart w:id="35" w:name="pandemia-variables-de-control"/>
    <w:p>
      <w:pPr>
        <w:pStyle w:val="Heading2"/>
      </w:pPr>
      <w:r>
        <w:t xml:space="preserve">Pandemia (variables de control)</w:t>
      </w:r>
    </w:p>
    <w:p>
      <w:pPr>
        <w:pStyle w:val="TableCaption"/>
      </w:pPr>
      <w:r>
        <w:t xml:space="preserve">Fuentes sobre la pandemia.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Fuentes sobre la pandemia."/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Conjunto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Granularidad / nota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positivos, pruebas y positividad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SINAVE COVID-19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individual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de casos a nivel colonia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SINAVE /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hospitalaria ZMVM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× hospital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Semáforo epidemiológico de la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Semana; no hay dataset, se construirá a partir de los comunicados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abiertos COVID-19 nacionales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Secretaría de 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individual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bookmarkEnd w:id="35"/>
    <w:bookmarkStart w:id="37" w:name="verificación-en-el-portal-de-la-cdmx"/>
    <w:p>
      <w:pPr>
        <w:pStyle w:val="Heading2"/>
      </w:pPr>
      <w:r>
        <w:t xml:space="preserve">Verificación en el portal de la CDMX</w:t>
      </w:r>
    </w:p>
    <w:p>
      <w:pPr>
        <w:pStyle w:val="FirstParagraph"/>
      </w:pPr>
      <w:r>
        <w:t xml:space="preserve">Para confirmar que los conjuntos del portal siguen disponibles, se consultó su API CKAN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package_show</w:t>
      </w:r>
      <w:r>
        <w:t xml:space="preserve">) desde el notebook</w:t>
      </w:r>
      <w:r>
        <w:t xml:space="preserve"> </w:t>
      </w:r>
      <w:r>
        <w:rPr>
          <w:rStyle w:val="VerbatimChar"/>
        </w:rPr>
        <w:t xml:space="preserve">00_contexto_y_datasets.ipynb</w:t>
      </w:r>
      <w:r>
        <w:t xml:space="preserve">. La consulta</w:t>
      </w:r>
      <w:r>
        <w:t xml:space="preserve"> </w:t>
      </w:r>
      <w:r>
        <w:t xml:space="preserve">devolvió, para cada conjunto, su fecha de última actualización y el número de archivos que ofrece.</w:t>
      </w:r>
      <w:r>
        <w:t xml:space="preserve"> </w:t>
      </w:r>
      <w:r>
        <w:t xml:space="preserve">Los 20 conjuntos consultados existen y fueron actualizados entre el 31 de agosto y el 23 de septiembre de 2026</w:t>
      </w:r>
      <w:r>
        <w:t xml:space="preserve"> </w:t>
      </w:r>
      <w:r>
        <w:t xml:space="preserve">(Tabla </w:t>
      </w:r>
      <w:hyperlink w:anchor="tab:verificacion">
        <w:r>
          <w:rPr>
            <w:rStyle w:val="Hyperlink"/>
          </w:rPr>
          <w:t xml:space="preserve">4</w:t>
        </w:r>
      </w:hyperlink>
      <w:r>
        <w:t xml:space="preserve">).</w:t>
      </w:r>
    </w:p>
    <w:bookmarkStart w:id="36" w:name="tab:verificacion"/>
    <w:p>
      <w:pPr>
        <w:pStyle w:val="TableCaption"/>
      </w:pPr>
      <w:r>
        <w:t xml:space="preserve">Verificación en vivo de los conjuntos del portal de la CDMX (consulta del 26/09/2026).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Verificación en vivo de los conjuntos del portal de la CDMX (consulta del 26/09/2026)."/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Conjunto de datos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Actualizado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Archivos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Afluencia diaria del 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Afluencia diaria de Metrobús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Afluencia diaria 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Afluencia diaria RTP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Afluencia preliminar en transporte público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Viajes Ecobici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Movilidad histórico COVID-19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Hechos de tránsito SSC (serie comparable)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GTFS estático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de investigación FGJ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Víctimas en carpetas FGJ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Llamadas al 911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de unidades económicas CDMX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 de desempleo CDMX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Ocupación hotelera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Estadístico CDMX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Casos, pruebas y positividad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SINAVE COVID-19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por colonia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hospitalaria ZMVM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36"/>
    <w:p>
      <w:pPr>
        <w:pStyle w:val="BodyText"/>
      </w:pPr>
      <w:r>
        <w:t xml:space="preserve">Por ejemplo, las carpetas de investigación de la FGJ se publican en un CSV por año (2016–2024),</w:t>
      </w:r>
      <w:r>
        <w:t xml:space="preserve"> </w:t>
      </w:r>
      <w:r>
        <w:t xml:space="preserve">más un archivo acumulado y tres notas metodológicas en PDF: sobre las actualizaciones, sobre las</w:t>
      </w:r>
      <w:r>
        <w:t xml:space="preserve"> </w:t>
      </w:r>
      <w:r>
        <w:t xml:space="preserve">diferencias con las cifras del SESNSP y sobre las reclasificaciones de delitos. Esto permite</w:t>
      </w:r>
      <w:r>
        <w:t xml:space="preserve"> </w:t>
      </w:r>
      <w:r>
        <w:t xml:space="preserve">descargar solo los años del periodo de estudio.</w:t>
      </w:r>
    </w:p>
    <w:bookmarkEnd w:id="37"/>
    <w:bookmarkStart w:id="38" w:name="referencias-territoriales-y-de-población"/>
    <w:p>
      <w:pPr>
        <w:pStyle w:val="Heading2"/>
      </w:pPr>
      <w:r>
        <w:t xml:space="preserve">Referencias territoriales y de población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Marco Geoestadístico (INEGI):</w:t>
      </w:r>
      <w:r>
        <w:t xml:space="preserve"> </w:t>
      </w:r>
      <w:r>
        <w:t xml:space="preserve">polígonos de alcaldías, colonias y AGEB, junto con sus claves geográficas.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Censo de Población y Vivienda 2020 (INEGI):</w:t>
      </w:r>
      <w:r>
        <w:t xml:space="preserve"> </w:t>
      </w:r>
      <w:r>
        <w:t xml:space="preserve">población por alcaldía, que permite calcular tasas por cada 100 mil habitantes.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Proyecciones de población (CONAPO):</w:t>
      </w:r>
      <w:r>
        <w:t xml:space="preserve"> </w:t>
      </w:r>
      <w:r>
        <w:t xml:space="preserve">denominadores anuales.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Calendario de días festivos y vacaciones de la SEP:</w:t>
      </w:r>
      <w:r>
        <w:t xml:space="preserve"> </w:t>
      </w:r>
      <w:r>
        <w:t xml:space="preserve">control de la estacionalidad.</w:t>
      </w:r>
    </w:p>
    <w:bookmarkEnd w:id="38"/>
    <w:bookmarkEnd w:id="39"/>
    <w:bookmarkStart w:id="43" w:name="sec:metodologia"/>
    <w:p>
      <w:pPr>
        <w:pStyle w:val="Heading1"/>
      </w:pPr>
      <w:r>
        <w:t xml:space="preserve">Metodología de recolección y limpieza</w:t>
      </w:r>
    </w:p>
    <w:bookmarkStart w:id="40" w:name="organización-del-proyecto"/>
    <w:p>
      <w:pPr>
        <w:pStyle w:val="Heading2"/>
      </w:pPr>
      <w:r>
        <w:t xml:space="preserve">Organización del proyecto</w:t>
      </w:r>
    </w:p>
    <w:p>
      <w:pPr>
        <w:pStyle w:val="FirstParagraph"/>
      </w:pPr>
      <w:r>
        <w:t xml:space="preserve">Los datos se organizan en tres niveles. Así, los archivos originales nunca se modifican y cada</w:t>
      </w:r>
      <w:r>
        <w:t xml:space="preserve"> </w:t>
      </w:r>
      <w:r>
        <w:t xml:space="preserve">transformación puede reproducirse: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</w:tblPr>
      <w:tblGrid>
        <w:gridCol w:w="468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Descargas originales, sin modificar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data/interim/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limpios por fuente (CSV y Parquet)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data/processed/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integrada (alcaldía × mes, CDMX × semana)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Diccionarios de datos y notas metodológicas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src/download/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script de descarga por 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src/clean/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script de limpieza por 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exploratorio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documento</w:t>
            </w:r>
          </w:p>
        </w:tc>
      </w:tr>
    </w:tbl>
    <w:bookmarkEnd w:id="40"/>
    <w:bookmarkStart w:id="41" w:name="criterios-de-limpieza"/>
    <w:p>
      <w:pPr>
        <w:pStyle w:val="Heading2"/>
      </w:pPr>
      <w:r>
        <w:t xml:space="preserve">Criterios de limpieza</w:t>
      </w:r>
    </w:p>
    <w:p>
      <w:pPr>
        <w:pStyle w:val="FirstParagraph"/>
      </w:pPr>
      <w:r>
        <w:t xml:space="preserve">Estos criterios aplican a todas las fuentes: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Codificación.</w:t>
      </w:r>
      <w:r>
        <w:t xml:space="preserve"> </w:t>
      </w:r>
      <w:r>
        <w:t xml:space="preserve">Todos los archivos se convierten a UTF-8. Por ejemplo, el CSV del Metro</w:t>
      </w:r>
      <w:r>
        <w:t xml:space="preserve"> </w:t>
      </w:r>
      <w:r>
        <w:t xml:space="preserve">presenta texto mal codificado (</w:t>
      </w:r>
      <w:r>
        <w:rPr>
          <w:i/>
          <w:iCs/>
        </w:rPr>
        <w:t xml:space="preserve">mojibake</w:t>
      </w:r>
      <w:r>
        <w:t xml:space="preserve">):</w:t>
      </w:r>
      <w:r>
        <w:t xml:space="preserve"> </w:t>
      </w:r>
      <w:r>
        <w:rPr>
          <w:rStyle w:val="VerbatimChar"/>
        </w:rPr>
        <w:t xml:space="preserve">Isabel la CatÃ³lica</w:t>
      </w:r>
      <w:r>
        <w:t xml:space="preserve"> </w:t>
      </w:r>
      <w:r>
        <w:t xml:space="preserve">en lugar de</w:t>
      </w:r>
      <w:r>
        <w:t xml:space="preserve"> </w:t>
      </w:r>
      <w:r>
        <w:t xml:space="preserve">“Isabel la Católica”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Fechas.</w:t>
      </w:r>
      <w:r>
        <w:t xml:space="preserve"> </w:t>
      </w:r>
      <w:r>
        <w:t xml:space="preserve">Se convierten al formato ISO 8601. En las carpetas de la FGJ hay que decidir</w:t>
      </w:r>
      <w:r>
        <w:t xml:space="preserve"> </w:t>
      </w:r>
      <w:r>
        <w:t xml:space="preserve">explícitamente si se usa la fecha del hecho o la fecha de inicio de la carpeta.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Alcaldías.</w:t>
      </w:r>
      <w:r>
        <w:t xml:space="preserve"> </w:t>
      </w:r>
      <w:r>
        <w:t xml:space="preserve">Se crea un catálogo único con la clave INEGI (</w:t>
      </w:r>
      <w:r>
        <w:rPr>
          <w:rStyle w:val="VerbatimChar"/>
        </w:rPr>
        <w:t xml:space="preserve">09002</w:t>
      </w:r>
      <w:r>
        <w:t xml:space="preserve">–</w:t>
      </w:r>
      <w:r>
        <w:rPr>
          <w:rStyle w:val="VerbatimChar"/>
        </w:rPr>
        <w:t xml:space="preserve">09017</w:t>
      </w:r>
      <w:r>
        <w:t xml:space="preserve">).</w:t>
      </w:r>
      <w:r>
        <w:t xml:space="preserve"> </w:t>
      </w:r>
      <w:r>
        <w:t xml:space="preserve">Se normalizan acentos, mayúsculas y nombres anteriores (</w:t>
      </w:r>
      <w:r>
        <w:t xml:space="preserve">“Delegación”</w:t>
      </w:r>
      <w:r>
        <w:t xml:space="preserve">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Estaciones y líneas.</w:t>
      </w:r>
      <w:r>
        <w:t xml:space="preserve"> </w:t>
      </w:r>
      <w:r>
        <w:t xml:space="preserve">Se crea un catálogo único y se documentan los cierres prolongados:</w:t>
      </w:r>
      <w:r>
        <w:t xml:space="preserve"> </w:t>
      </w:r>
      <w:r>
        <w:t xml:space="preserve">la Línea 12 desde el 3 de mayo de 2021 y la Línea 1 por su modernización desde julio de 2022.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Faltantes y ceros.</w:t>
      </w:r>
      <w:r>
        <w:t xml:space="preserve"> </w:t>
      </w:r>
      <w:r>
        <w:t xml:space="preserve">Se distingue un día</w:t>
      </w:r>
      <w:r>
        <w:t xml:space="preserve"> </w:t>
      </w:r>
      <w:r>
        <w:t xml:space="preserve">“sin servicio”</w:t>
      </w:r>
      <w:r>
        <w:t xml:space="preserve"> </w:t>
      </w:r>
      <w:r>
        <w:t xml:space="preserve">(cierre) de un</w:t>
      </w:r>
      <w:r>
        <w:t xml:space="preserve"> </w:t>
      </w:r>
      <w:r>
        <w:t xml:space="preserve">“dato faltante”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Duplicados y registros fuera del dominio.</w:t>
      </w:r>
      <w:r>
        <w:t xml:space="preserve"> </w:t>
      </w:r>
      <w:r>
        <w:t xml:space="preserve">Se eliminan los duplicados y las carpetas</w:t>
      </w:r>
      <w:r>
        <w:t xml:space="preserve"> </w:t>
      </w:r>
      <w:r>
        <w:t xml:space="preserve">con coordenadas fuera del polígono de la CDMX.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Catálogo de delitos.</w:t>
      </w:r>
      <w:r>
        <w:t xml:space="preserve"> </w:t>
      </w:r>
      <w:r>
        <w:t xml:space="preserve">Los delitos se agrupan en categorías estables (alto impacto,</w:t>
      </w:r>
      <w:r>
        <w:t xml:space="preserve"> </w:t>
      </w:r>
      <w:r>
        <w:t xml:space="preserve">patrimonial, violencia familiar, etc.) que no cambien con las reclasificaciones de la FGJ.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Agregación.</w:t>
      </w:r>
      <w:r>
        <w:t xml:space="preserve"> </w:t>
      </w:r>
      <w:r>
        <w:t xml:space="preserve">Toda serie se entrega también a nivel alcaldía × mes y CDMX × semana.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Trazabilidad.</w:t>
      </w:r>
      <w:r>
        <w:t xml:space="preserve"> </w:t>
      </w:r>
      <w:r>
        <w:t xml:space="preserve">De cada archivo descargado se registran la URL, la fecha de descarga</w:t>
      </w:r>
      <w:r>
        <w:t xml:space="preserve"> </w:t>
      </w:r>
      <w:r>
        <w:t xml:space="preserve">y el hash SHA-256 en</w:t>
      </w:r>
      <w:r>
        <w:t xml:space="preserve"> </w:t>
      </w:r>
      <w:r>
        <w:rPr>
          <w:rStyle w:val="VerbatimChar"/>
        </w:rPr>
        <w:t xml:space="preserve">data/raw/MANIFEST.csv</w:t>
      </w:r>
      <w:r>
        <w:t xml:space="preserve">.</w:t>
      </w:r>
    </w:p>
    <w:bookmarkEnd w:id="41"/>
    <w:bookmarkStart w:id="42" w:name="integración"/>
    <w:p>
      <w:pPr>
        <w:pStyle w:val="Heading2"/>
      </w:pPr>
      <w:r>
        <w:t xml:space="preserve">Integración</w:t>
      </w:r>
    </w:p>
    <w:p>
      <w:pPr>
        <w:pStyle w:val="FirstParagraph"/>
      </w:pPr>
      <w:r>
        <w:t xml:space="preserve">Las llaves comunes son la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t xml:space="preserve">(día, semana o mes) y la</w:t>
      </w:r>
      <w:r>
        <w:t xml:space="preserve"> </w:t>
      </w:r>
      <w:r>
        <w:rPr>
          <w:b/>
          <w:bCs/>
        </w:rPr>
        <w:t xml:space="preserve">clave de alcaldía</w:t>
      </w:r>
      <w:r>
        <w:t xml:space="preserve">.</w:t>
      </w:r>
      <w:r>
        <w:t xml:space="preserve"> </w:t>
      </w:r>
      <w:r>
        <w:t xml:space="preserve">Cada fuente limpia se agrega a esas llaves y después se unen todas. Para comparar series con escalas</w:t>
      </w:r>
      <w:r>
        <w:t xml:space="preserve"> </w:t>
      </w:r>
      <w:r>
        <w:t xml:space="preserve">distintas se calculan dos indicadores: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Tasas por cada 100 mil habitantes</w:t>
      </w:r>
      <w:r>
        <w:t xml:space="preserve">, para los delitos.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Índices base 100</w:t>
      </w:r>
      <w:r>
        <w:t xml:space="preserve">, donde 100 es el promedio de 2019. Así se mide la caída y la</w:t>
      </w:r>
      <w:r>
        <w:t xml:space="preserve"> </w:t>
      </w:r>
      <w:r>
        <w:t xml:space="preserve">recuperación en términos relativos.</w:t>
      </w:r>
    </w:p>
    <w:bookmarkEnd w:id="42"/>
    <w:bookmarkEnd w:id="43"/>
    <w:bookmarkStart w:id="60" w:name="sec:exploracion"/>
    <w:p>
      <w:pPr>
        <w:pStyle w:val="Heading1"/>
      </w:pPr>
      <w:r>
        <w:t xml:space="preserve">Exploración inicial: afluencia del Metro</w:t>
      </w:r>
    </w:p>
    <w:p>
      <w:pPr>
        <w:pStyle w:val="FirstParagraph"/>
      </w:pPr>
      <w:r>
        <w:t xml:space="preserve">La afluencia del Metro es la serie de movilidad</w:t>
      </w:r>
      <w:r>
        <w:t xml:space="preserve"> </w:t>
      </w:r>
      <w:r>
        <w:rPr>
          <w:b/>
          <w:bCs/>
        </w:rPr>
        <w:t xml:space="preserve">más larga y detallada</w:t>
      </w:r>
      <w:r>
        <w:t xml:space="preserve"> </w:t>
      </w:r>
      <w:r>
        <w:t xml:space="preserve">disponible: es</w:t>
      </w:r>
      <w:r>
        <w:t xml:space="preserve"> </w:t>
      </w:r>
      <w:r>
        <w:t xml:space="preserve">diaria, por estación, y cubre de 2010 a 2026. Se exploró primero para ilustrar el fenómeno que se</w:t>
      </w:r>
      <w:r>
        <w:t xml:space="preserve"> </w:t>
      </w:r>
      <w:r>
        <w:t xml:space="preserve">estudiará y los problemas de calidad que habrá que limpiar. El código está en el notebook</w:t>
      </w:r>
      <w:r>
        <w:t xml:space="preserve"> </w:t>
      </w:r>
      <w:r>
        <w:rPr>
          <w:rStyle w:val="VerbatimChar"/>
        </w:rPr>
        <w:t xml:space="preserve">notebooks/00_contexto_y_datasets.ipynb</w:t>
      </w:r>
      <w:r>
        <w:t xml:space="preserve">.</w:t>
      </w:r>
    </w:p>
    <w:bookmarkStart w:id="45" w:name="descripción-del-archivo"/>
    <w:p>
      <w:pPr>
        <w:pStyle w:val="Heading2"/>
      </w:pPr>
      <w:r>
        <w:t xml:space="preserve">Descripción del archivo</w:t>
      </w:r>
    </w:p>
    <w:p>
      <w:pPr>
        <w:pStyle w:val="FirstParagraph"/>
      </w:pPr>
      <w:r>
        <w:t xml:space="preserve">El recurso</w:t>
      </w:r>
      <w:r>
        <w:t xml:space="preserve"> </w:t>
      </w:r>
      <w:r>
        <w:t xml:space="preserve">“Afluencia Diaria del Metro (Simple)”</w:t>
      </w:r>
      <w:r>
        <w:t xml:space="preserve"> </w:t>
      </w:r>
      <w:r>
        <w:t xml:space="preserve">tiene</w:t>
      </w:r>
      <w:r>
        <w:t xml:space="preserve"> </w:t>
      </w:r>
      <w:r>
        <w:rPr>
          <w:b/>
          <w:bCs/>
        </w:rPr>
        <w:t xml:space="preserve">1,180,920 registros</w:t>
      </w:r>
      <w:r>
        <w:t xml:space="preserve">, del</w:t>
      </w:r>
      <w:r>
        <w:t xml:space="preserve"> </w:t>
      </w:r>
      <w:r>
        <w:t xml:space="preserve">2010-01-01 al 2026-07-31. Cada registro corresponde a un día, una línea y una estación. No tiene</w:t>
      </w:r>
      <w:r>
        <w:t xml:space="preserve"> </w:t>
      </w:r>
      <w:r>
        <w:t xml:space="preserve">valores nulos (Tabla </w:t>
      </w:r>
      <w:hyperlink w:anchor="tab:perfil_metro">
        <w:r>
          <w:rPr>
            <w:rStyle w:val="Hyperlink"/>
          </w:rPr>
          <w:t xml:space="preserve">5</w:t>
        </w:r>
      </w:hyperlink>
      <w:r>
        <w:t xml:space="preserve">).</w:t>
      </w:r>
    </w:p>
    <w:bookmarkStart w:id="44" w:name="tab:perfil_metro"/>
    <w:p>
      <w:pPr>
        <w:pStyle w:val="TableCaption"/>
      </w:pPr>
      <w:r>
        <w:t xml:space="preserve">Perfil de las columnas del archivo del Metro.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Perfil de las columnas del archivo del Metro."/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Nulos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Valores únicos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92,564</w:t>
            </w:r>
          </w:p>
        </w:tc>
      </w:tr>
    </w:tbl>
    <w:bookmarkEnd w:id="44"/>
    <w:bookmarkEnd w:id="45"/>
    <w:bookmarkStart w:id="50" w:name="problemas-de-calidad-detectados"/>
    <w:p>
      <w:pPr>
        <w:pStyle w:val="Heading2"/>
      </w:pPr>
      <w:r>
        <w:t xml:space="preserve">Problemas de calidad detectados</w:t>
      </w:r>
    </w:p>
    <w:bookmarkStart w:id="47" w:name="texto-mal-codificado-mojibake."/>
    <w:p>
      <w:pPr>
        <w:pStyle w:val="Heading4"/>
      </w:pPr>
      <w:r>
        <w:t xml:space="preserve">1. Texto mal codificado (</w:t>
      </w:r>
      <w:r>
        <w:rPr>
          <w:i/>
          <w:iCs/>
        </w:rPr>
        <w:t xml:space="preserve">mojibake</w:t>
      </w:r>
      <w:r>
        <w:t xml:space="preserve">).</w:t>
      </w:r>
    </w:p>
    <w:p>
      <w:pPr>
        <w:pStyle w:val="FirstParagraph"/>
      </w:pPr>
      <w:r>
        <w:t xml:space="preserve">El archivo se guardó con una codificación</w:t>
      </w:r>
      <w:r>
        <w:t xml:space="preserve"> </w:t>
      </w:r>
      <w:r>
        <w:t xml:space="preserve">incorrecta, por lo que las letras acentuadas aparecen alteradas. Esto afecta a</w:t>
      </w:r>
      <w:r>
        <w:t xml:space="preserve"> </w:t>
      </w:r>
      <w:r>
        <w:rPr>
          <w:b/>
          <w:bCs/>
        </w:rPr>
        <w:t xml:space="preserve">57 de los 168</w:t>
      </w:r>
      <w:r>
        <w:t xml:space="preserve"> </w:t>
      </w:r>
      <w:r>
        <w:t xml:space="preserve">nombres de estación. Se reparó con la librería</w:t>
      </w:r>
      <w:r>
        <w:t xml:space="preserve"> </w:t>
      </w:r>
      <w:r>
        <w:rPr>
          <w:rStyle w:val="VerbatimChar"/>
        </w:rPr>
        <w:t xml:space="preserve">ftfy</w:t>
      </w:r>
      <w:r>
        <w:t xml:space="preserve">, y tras la reparación quedan</w:t>
      </w:r>
      <w:r>
        <w:t xml:space="preserve"> </w:t>
      </w:r>
      <w:r>
        <w:rPr>
          <w:b/>
          <w:bCs/>
        </w:rPr>
        <w:t xml:space="preserve">165 estaciones</w:t>
      </w:r>
      <w:r>
        <w:t xml:space="preserve"> </w:t>
      </w:r>
      <w:r>
        <w:t xml:space="preserve">únicas, porque algunas variantes eran duplicados de la misma estación</w:t>
      </w:r>
      <w:r>
        <w:t xml:space="preserve"> </w:t>
      </w:r>
      <w:r>
        <w:t xml:space="preserve">(Tabla </w:t>
      </w:r>
      <w:hyperlink w:anchor="tab:mojibake">
        <w:r>
          <w:rPr>
            <w:rStyle w:val="Hyperlink"/>
          </w:rPr>
          <w:t xml:space="preserve">6</w:t>
        </w:r>
      </w:hyperlink>
      <w:r>
        <w:t xml:space="preserve">).</w:t>
      </w:r>
    </w:p>
    <w:bookmarkStart w:id="46" w:name="tab:mojibake"/>
    <w:p>
      <w:pPr>
        <w:pStyle w:val="TableCaption"/>
      </w:pPr>
      <w:r>
        <w:t xml:space="preserve">Ejemplos de nombres de estación reparados.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Ejemplos de nombres de estación reparados."/>
      </w:tblPr>
      <w:tblGrid>
        <w:gridCol w:w="468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Isabel la CatÃ³lica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Isabel la Católica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Pino SuÃ¡rez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Pino Suárez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GÃ³mez FarÃas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Gómez Farías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PantitlÃ¡n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Pantitlán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DivisiÃ³n del 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División del 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FerrerÃa/Arena Ciudad de MÃ©xico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Ferrería/Arena Ciudad de México</w:t>
            </w:r>
          </w:p>
        </w:tc>
      </w:tr>
    </w:tbl>
    <w:bookmarkEnd w:id="46"/>
    <w:bookmarkEnd w:id="47"/>
    <w:bookmarkStart w:id="48" w:name="nombres-de-línea-inconsistentes."/>
    <w:p>
      <w:pPr>
        <w:pStyle w:val="Heading4"/>
      </w:pPr>
      <w:r>
        <w:t xml:space="preserve">2. Nombres de línea inconsistentes.</w:t>
      </w:r>
    </w:p>
    <w:p>
      <w:pPr>
        <w:pStyle w:val="FirstParagraph"/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linea</w:t>
      </w:r>
      <w:r>
        <w:t xml:space="preserve"> </w:t>
      </w:r>
      <w:r>
        <w:t xml:space="preserve">tiene 24 valores</w:t>
      </w:r>
      <w:r>
        <w:t xml:space="preserve"> </w:t>
      </w:r>
      <w:r>
        <w:t xml:space="preserve">distintos, pero el Metro tiene 12 líneas. Entre 2021 y 2023 el archivo escribe</w:t>
      </w:r>
      <w:r>
        <w:t xml:space="preserve"> </w:t>
      </w:r>
      <w:r>
        <w:rPr>
          <w:rStyle w:val="VerbatimChar"/>
        </w:rPr>
        <w:t xml:space="preserve">LÃnea 1</w:t>
      </w:r>
      <w:r>
        <w:t xml:space="preserve"> </w:t>
      </w:r>
      <w:r>
        <w:t xml:space="preserve">(con acento y mal codificado) y en los demás años</w:t>
      </w:r>
      <w:r>
        <w:t xml:space="preserve"> </w:t>
      </w:r>
      <w:r>
        <w:rPr>
          <w:rStyle w:val="VerbatimChar"/>
        </w:rPr>
        <w:t xml:space="preserve">Linea 1</w:t>
      </w:r>
      <w:r>
        <w:t xml:space="preserve">. Si no se</w:t>
      </w:r>
      <w:r>
        <w:t xml:space="preserve"> </w:t>
      </w:r>
      <w:r>
        <w:t xml:space="preserve">corrige, cada línea queda partida en dos series. Se normalizó a la forma</w:t>
      </w:r>
      <w:r>
        <w:t xml:space="preserve"> </w:t>
      </w:r>
      <w:r>
        <w:rPr>
          <w:rStyle w:val="VerbatimChar"/>
        </w:rPr>
        <w:t xml:space="preserve">Línea N</w:t>
      </w:r>
      <w:r>
        <w:t xml:space="preserve">.</w:t>
      </w:r>
    </w:p>
    <w:bookmarkEnd w:id="48"/>
    <w:bookmarkStart w:id="49" w:name="cierres-de-líneas."/>
    <w:p>
      <w:pPr>
        <w:pStyle w:val="Heading4"/>
      </w:pPr>
      <w:r>
        <w:t xml:space="preserve">3. Cierres de líneas.</w:t>
      </w:r>
    </w:p>
    <w:p>
      <w:pPr>
        <w:pStyle w:val="FirstParagraph"/>
      </w:pPr>
      <w:r>
        <w:t xml:space="preserve">La Línea 12 cerró tras el colapso del 3 de mayo de 2021, y la</w:t>
      </w:r>
      <w:r>
        <w:t xml:space="preserve"> </w:t>
      </w:r>
      <w:r>
        <w:t xml:space="preserve">Línea 1 cerró por su modernización a partir de julio de 2022. Estos cierres reducen la afluencia por</w:t>
      </w:r>
      <w:r>
        <w:t xml:space="preserve"> </w:t>
      </w:r>
      <w:r>
        <w:t xml:space="preserve">causas ajenas a la demanda, así que deben marcarse para no confundirlos con una falta de</w:t>
      </w:r>
      <w:r>
        <w:t xml:space="preserve"> </w:t>
      </w:r>
      <w:r>
        <w:t xml:space="preserve">recuperación (Tabla </w:t>
      </w:r>
      <w:hyperlink w:anchor="tab:lineas">
        <w:r>
          <w:rPr>
            <w:rStyle w:val="Hyperlink"/>
          </w:rPr>
          <w:t xml:space="preserve">8</w:t>
        </w:r>
      </w:hyperlink>
      <w:r>
        <w:t xml:space="preserve">).</w:t>
      </w:r>
    </w:p>
    <w:bookmarkEnd w:id="49"/>
    <w:bookmarkEnd w:id="50"/>
    <w:bookmarkStart w:id="55" w:name="comportamiento-de-la-serie"/>
    <w:p>
      <w:pPr>
        <w:pStyle w:val="Heading2"/>
      </w:pPr>
      <w:r>
        <w:t xml:space="preserve">Comportamiento de la serie</w:t>
      </w:r>
    </w:p>
    <w:p>
      <w:pPr>
        <w:pStyle w:val="FirstParagraph"/>
      </w:pPr>
      <w:r>
        <w:t xml:space="preserve">La Figura </w:t>
      </w:r>
      <w:hyperlink w:anchor="fig:metr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muestra la afluencia mensual con los periodos de análisis sombreados. Hay</w:t>
      </w:r>
      <w:r>
        <w:t xml:space="preserve"> </w:t>
      </w:r>
      <w:r>
        <w:t xml:space="preserve">dos choques visibles:</w:t>
      </w:r>
    </w:p>
    <w:p>
      <w:pPr>
        <w:numPr>
          <w:ilvl w:val="0"/>
          <w:numId w:val="1010"/>
        </w:numPr>
      </w:pPr>
      <w:r>
        <w:t xml:space="preserve">Uno</w:t>
      </w:r>
      <w:r>
        <w:t xml:space="preserve"> </w:t>
      </w:r>
      <w:r>
        <w:rPr>
          <w:b/>
          <w:bCs/>
        </w:rPr>
        <w:t xml:space="preserve">puntual</w:t>
      </w:r>
      <w:r>
        <w:t xml:space="preserve">: el sismo del 19 de septiembre de 2017.</w:t>
      </w:r>
    </w:p>
    <w:p>
      <w:pPr>
        <w:numPr>
          <w:ilvl w:val="0"/>
          <w:numId w:val="1010"/>
        </w:numPr>
      </w:pPr>
      <w:r>
        <w:t xml:space="preserve">Uno</w:t>
      </w:r>
      <w:r>
        <w:t xml:space="preserve"> </w:t>
      </w:r>
      <w:r>
        <w:rPr>
          <w:b/>
          <w:bCs/>
        </w:rPr>
        <w:t xml:space="preserve">prolongado</w:t>
      </w:r>
      <w:r>
        <w:t xml:space="preserve">: la pandemia, con una caída abrupta en marzo–abril de 2020 y una</w:t>
      </w:r>
      <w:r>
        <w:t xml:space="preserve"> </w:t>
      </w:r>
      <w:r>
        <w:t xml:space="preserve">recuperación lenta que todavía no está completa.</w:t>
      </w:r>
    </w:p>
    <w:bookmarkStart w:id="54" w:name="fig:metro"/>
    <w:p>
      <w:pPr>
        <w:pStyle w:val="CaptionedFigure"/>
      </w:pPr>
      <w:r>
        <w:drawing>
          <wp:inline>
            <wp:extent cx="5334000" cy="197223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as/metro_mensua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Afluencia mensual del Metro de la CDMX, 2010–2026, con los periodos de análisis sombreados.</w:t>
      </w:r>
      <w:r>
        <w:t xml:space="preserve"> </w:t>
      </w:r>
      <w:r>
        <w:t xml:space="preserve">Fuente: elaboración propia con datos del STC Metro (Portal de Datos Abiertos de la CDMX).</w:t>
      </w:r>
    </w:p>
    <w:bookmarkEnd w:id="54"/>
    <w:bookmarkEnd w:id="55"/>
    <w:bookmarkStart w:id="59" w:name="caída-y-recuperación-respecto-a-2019"/>
    <w:p>
      <w:pPr>
        <w:pStyle w:val="Heading2"/>
      </w:pPr>
      <w:r>
        <w:t xml:space="preserve">Caída y recuperación respecto a 2019</w:t>
      </w:r>
    </w:p>
    <w:p>
      <w:pPr>
        <w:pStyle w:val="FirstParagraph"/>
      </w:pPr>
      <w:r>
        <w:t xml:space="preserve">Para medir la caída y la recuperación en términos relativos se construyó un índice con base</w:t>
      </w:r>
      <w:r>
        <w:t xml:space="preserve"> </w:t>
      </w:r>
      <m:oMath>
        <m:r>
          <m:t>2019</m:t>
        </m:r>
        <m:r>
          <m:rPr>
            <m:sty m:val="p"/>
          </m:rPr>
          <m:t>=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afluencia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afluencia</m:t>
                      </m:r>
                    </m:e>
                  </m:bar>
                </m:e>
                <m:sub>
                  <m:r>
                    <m:t>2019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rPr>
                    <m:nor/>
                    <m:sty m:val="p"/>
                  </m:rPr>
                  <m:t>afluencia</m:t>
                </m:r>
              </m:e>
            </m:bar>
          </m:e>
          <m:sub>
            <m:r>
              <m:t>2019</m:t>
            </m:r>
          </m:sub>
        </m:sSub>
      </m:oMath>
      <w:r>
        <w:t xml:space="preserve"> </w:t>
      </w:r>
      <w:r>
        <w:t xml:space="preserve">es el promedio mensual de 2019.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Mes más bajo:</w:t>
      </w:r>
      <w:r>
        <w:t xml:space="preserve"> </w:t>
      </w:r>
      <w:r>
        <w:t xml:space="preserve">mayo de 2020, con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27.0</m:t>
        </m:r>
      </m:oMath>
      <w:r>
        <w:t xml:space="preserve">, es decir, una</w:t>
      </w:r>
      <w:r>
        <w:t xml:space="preserve"> </w:t>
      </w:r>
      <w:r>
        <w:rPr>
          <w:b/>
          <w:bCs/>
        </w:rPr>
        <w:t xml:space="preserve">caída del 73 %</w:t>
      </w:r>
      <w:r>
        <w:t xml:space="preserve"> </w:t>
      </w:r>
      <w:r>
        <w:t xml:space="preserve">respecto a 2019. Esto respalda la hipótesis H1, que planteaba una caída mayor al 50 %.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Último mes disponible:</w:t>
      </w:r>
      <w:r>
        <w:t xml:space="preserve"> </w:t>
      </w:r>
      <w:r>
        <w:t xml:space="preserve">julio de 2026, con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78.1</m:t>
        </m:r>
      </m:oMath>
      <w:r>
        <w:t xml:space="preserve">. La afluencia</w:t>
      </w:r>
      <w:r>
        <w:t xml:space="preserve"> </w:t>
      </w:r>
      <w:r>
        <w:rPr>
          <w:b/>
          <w:bCs/>
        </w:rPr>
        <w:t xml:space="preserve">aún no</w:t>
      </w:r>
      <w:r>
        <w:rPr>
          <w:b/>
          <w:bCs/>
        </w:rPr>
        <w:t xml:space="preserve"> </w:t>
      </w:r>
      <w:r>
        <w:rPr>
          <w:b/>
          <w:bCs/>
        </w:rPr>
        <w:t xml:space="preserve">recupera</w:t>
      </w:r>
      <w:r>
        <w:t xml:space="preserve"> </w:t>
      </w:r>
      <w:r>
        <w:t xml:space="preserve">el nivel previo a la pandemia.</w:t>
      </w:r>
    </w:p>
    <w:bookmarkStart w:id="56" w:name="tab:indice"/>
    <w:p>
      <w:pPr>
        <w:pStyle w:val="TableCaption"/>
      </w:pPr>
      <w:r>
        <w:t xml:space="preserve">Índice promedio anual de afluencia del Metro (</w:t>
      </w:r>
      <m:oMath>
        <m:r>
          <m:t>2019</m:t>
        </m:r>
        <m:r>
          <m:rPr>
            <m:sty m:val="p"/>
          </m:rPr>
          <m:t>=</m:t>
        </m:r>
        <m:r>
          <m:t>100</m:t>
        </m:r>
      </m:oMath>
      <w:r>
        <w:t xml:space="preserve">). *2026: enero a julio.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Índice promedio anual de afluencia del Metro (2019 = 100). *2026: enero a julio.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77.0</w:t>
            </w:r>
          </w:p>
        </w:tc>
      </w:tr>
    </w:tbl>
    <w:bookmarkEnd w:id="56"/>
    <w:bookmarkStart w:id="57" w:name="tab:lineas"/>
    <w:p>
      <w:pPr>
        <w:pStyle w:val="TableCaption"/>
      </w:pPr>
      <w:r>
        <w:t xml:space="preserve">Afluencia anual por línea (millones de viajes), con los nombres de línea ya normalizados.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Afluencia anual por línea (millones de viajes), con los nombres de línea ya normalizados.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Línea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125.3</w:t>
            </w:r>
          </w:p>
        </w:tc>
      </w:tr>
    </w:tbl>
    <w:bookmarkEnd w:id="57"/>
    <w:bookmarkStart w:id="58" w:name="lectura-preliminar."/>
    <w:p>
      <w:pPr>
        <w:pStyle w:val="Heading4"/>
      </w:pPr>
      <w:r>
        <w:t xml:space="preserve">Lectura preliminar.</w:t>
      </w:r>
    </w:p>
    <w:p>
      <w:pPr>
        <w:pStyle w:val="FirstParagraph"/>
      </w:pPr>
      <w:r>
        <w:t xml:space="preserve">En 2025, la afluencia total equivale al 78.7 % de la de 2019.</w:t>
      </w:r>
      <w:r>
        <w:t xml:space="preserve"> </w:t>
      </w:r>
      <w:r>
        <w:t xml:space="preserve">Si se excluyen las Líneas 1 y 12, afectadas por cierres, la proporción sube al 83.2 %. La Línea 1,</w:t>
      </w:r>
      <w:r>
        <w:t xml:space="preserve"> </w:t>
      </w:r>
      <w:r>
        <w:t xml:space="preserve">reabierta de forma parcial, apenas llega al 51 %. Aun sin los cierres, ninguna línea ha vuelto al</w:t>
      </w:r>
      <w:r>
        <w:t xml:space="preserve"> </w:t>
      </w:r>
      <w:r>
        <w:t xml:space="preserve">nivel de 2019: van del 73 % (Línea 5) al 96 % (Línea A). Esto sugiere un efecto persistente de</w:t>
      </w:r>
      <w:r>
        <w:t xml:space="preserve"> </w:t>
      </w:r>
      <w:r>
        <w:t xml:space="preserve">la pandemia sobre la demanda, posiblemente por el teletrabajo (hipótesis H3). Al mismo tiempo,</w:t>
      </w:r>
      <w:r>
        <w:t xml:space="preserve"> </w:t>
      </w:r>
      <w:r>
        <w:t xml:space="preserve">confirma que el análisis de recuperación debe separar el efecto de la pandemia del efecto de los</w:t>
      </w:r>
      <w:r>
        <w:t xml:space="preserve"> </w:t>
      </w:r>
      <w:r>
        <w:t xml:space="preserve">cierres de infraestructura.</w:t>
      </w:r>
    </w:p>
    <w:bookmarkEnd w:id="58"/>
    <w:bookmarkEnd w:id="59"/>
    <w:bookmarkEnd w:id="60"/>
    <w:bookmarkStart w:id="69" w:name="sec:descarga"/>
    <w:p>
      <w:pPr>
        <w:pStyle w:val="Heading1"/>
      </w:pPr>
      <w:r>
        <w:t xml:space="preserve">Recolección de datos</w:t>
      </w:r>
    </w:p>
    <w:bookmarkStart w:id="64" w:name="procedimiento"/>
    <w:p>
      <w:pPr>
        <w:pStyle w:val="Heading2"/>
      </w:pPr>
      <w:r>
        <w:t xml:space="preserve">Procedimiento</w:t>
      </w:r>
    </w:p>
    <w:p>
      <w:pPr>
        <w:pStyle w:val="FirstParagraph"/>
      </w:pPr>
      <w:r>
        <w:t xml:space="preserve">La descarga se automatizó con scripts de Python en</w:t>
      </w:r>
      <w:r>
        <w:t xml:space="preserve"> </w:t>
      </w:r>
      <w:r>
        <w:rPr>
          <w:rStyle w:val="VerbatimChar"/>
        </w:rPr>
        <w:t xml:space="preserve">src/download/</w:t>
      </w:r>
      <w:r>
        <w:t xml:space="preserve">, uno por fuente: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</w:tblPr>
      <w:tblGrid>
        <w:gridCol w:w="468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comun.py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compartidas: no vuelve a bajar lo que ya existe, espera 2 s entre descargas,</w:t>
            </w:r>
            <w:r>
              <w:t xml:space="preserve"> </w:t>
            </w:r>
            <w:r>
              <w:t xml:space="preserve">reintenta si falla y registra cada archivo en</w:t>
            </w:r>
            <w:r>
              <w:t xml:space="preserve"> </w:t>
            </w:r>
            <w:r>
              <w:rPr>
                <w:rStyle w:val="VerbatimChar"/>
              </w:rPr>
              <w:t xml:space="preserve">data/raw/MANIFEST.csv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portal_cdmx.py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la API CKAN del portal de la CDMX para obtener las URL vigentes de</w:t>
            </w:r>
            <w:r>
              <w:t xml:space="preserve"> </w:t>
            </w:r>
            <w:r>
              <w:t xml:space="preserve">cada dataset y las descarga.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inegi.py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DENUE (cortes anuales), Censo 2020, Marco Geoestadístico y microdatos de la ENOE.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en</w:t>
            </w:r>
            <w:r>
              <w:t xml:space="preserve"> </w:t>
            </w:r>
            <w:r>
              <w:rPr>
                <w:i/>
                <w:iCs/>
              </w:rPr>
              <w:t xml:space="preserve">streaming</w:t>
            </w:r>
            <w:r>
              <w:t xml:space="preserve"> </w:t>
            </w:r>
            <w:r>
              <w:t xml:space="preserve">el CSV nacional mensual del IMSS y guarda solo las filas de la CDMX.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semaforo.py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Semáforo epidemiológico federal semanal por entidad.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registrar_manual.py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en el MANIFEST los archivos bajados a mano desde el navegador.</w:t>
            </w:r>
          </w:p>
        </w:tc>
      </w:tr>
    </w:tbl>
    <w:bookmarkStart w:id="61" w:name="trazabilidad."/>
    <w:p>
      <w:pPr>
        <w:pStyle w:val="Heading4"/>
      </w:pPr>
      <w:r>
        <w:t xml:space="preserve">Trazabilidad.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MANIFEST.csv</w:t>
      </w:r>
      <w:r>
        <w:t xml:space="preserve"> </w:t>
      </w:r>
      <w:r>
        <w:t xml:space="preserve">guarda, para cada archivo descargado, la</w:t>
      </w:r>
      <w:r>
        <w:t xml:space="preserve"> </w:t>
      </w:r>
      <w:r>
        <w:t xml:space="preserve">fuente, la URL, la fecha de descarga, el tamaño y su huella SHA-256. Con eso cualquier persona puede</w:t>
      </w:r>
      <w:r>
        <w:t xml:space="preserve"> </w:t>
      </w:r>
      <w:r>
        <w:t xml:space="preserve">verificar que los datos usados son exactamente los publicados.</w:t>
      </w:r>
    </w:p>
    <w:bookmarkEnd w:id="61"/>
    <w:bookmarkStart w:id="62" w:name="descargas-responsables."/>
    <w:p>
      <w:pPr>
        <w:pStyle w:val="Heading4"/>
      </w:pPr>
      <w:r>
        <w:t xml:space="preserve">Descargas responsables.</w:t>
      </w:r>
    </w:p>
    <w:p>
      <w:pPr>
        <w:pStyle w:val="FirstParagraph"/>
      </w:pPr>
      <w:r>
        <w:t xml:space="preserve">Todas las fuentes son de datos abiertos publicados para su</w:t>
      </w:r>
      <w:r>
        <w:t xml:space="preserve"> </w:t>
      </w:r>
      <w:r>
        <w:t xml:space="preserve">reutilización. Aun así, los scripts esperan entre descargas y usan caché para no repetir peticiones.</w:t>
      </w:r>
      <w:r>
        <w:t xml:space="preserve"> </w:t>
      </w:r>
      <w:r>
        <w:t xml:space="preserve">La única fuente que bloquea las descargas automáticas es el SESNSP, que publica en SharePoint. Ese</w:t>
      </w:r>
      <w:r>
        <w:t xml:space="preserve"> </w:t>
      </w:r>
      <w:r>
        <w:t xml:space="preserve">archivo se descarga a mano desde el navegador y después se registra en el MANIFEST.</w:t>
      </w:r>
    </w:p>
    <w:bookmarkEnd w:id="62"/>
    <w:bookmarkStart w:id="63" w:name="filtrado-del-imss."/>
    <w:p>
      <w:pPr>
        <w:pStyle w:val="Heading4"/>
      </w:pPr>
      <w:r>
        <w:t xml:space="preserve">Filtrado del IMSS.</w:t>
      </w:r>
    </w:p>
    <w:p>
      <w:pPr>
        <w:pStyle w:val="FirstParagraph"/>
      </w:pPr>
      <w:r>
        <w:t xml:space="preserve">El IMSS publica un archivo nacional por mes de unos 350 MB. En lugar</w:t>
      </w:r>
      <w:r>
        <w:t xml:space="preserve"> </w:t>
      </w:r>
      <w:r>
        <w:t xml:space="preserve">de guardarlo completo, el script lo lee línea por línea mientras se descarga y conserva solo las</w:t>
      </w:r>
      <w:r>
        <w:t xml:space="preserve"> </w:t>
      </w:r>
      <w:r>
        <w:t xml:space="preserve">filas con</w:t>
      </w:r>
      <w:r>
        <w:t xml:space="preserve"> </w:t>
      </w:r>
      <w:r>
        <w:rPr>
          <w:rStyle w:val="VerbatimChar"/>
        </w:rPr>
        <w:t xml:space="preserve">cve_entidad = 9</w:t>
      </w:r>
      <w:r>
        <w:t xml:space="preserve">. El resultado ocupa unos 6 MB comprimidos por mes, frente a los</w:t>
      </w:r>
      <w:r>
        <w:t xml:space="preserve"> </w:t>
      </w:r>
      <w:r>
        <w:t xml:space="preserve">350 MB originales. La codificación de los archivos cambia entre años (Latin-1 en 2019 y UTF-8 en</w:t>
      </w:r>
      <w:r>
        <w:t xml:space="preserve"> </w:t>
      </w:r>
      <w:r>
        <w:t xml:space="preserve">2025), por lo que el filtro trabaja sobre los bytes sin decodificarlos.</w:t>
      </w:r>
    </w:p>
    <w:bookmarkEnd w:id="63"/>
    <w:bookmarkEnd w:id="64"/>
    <w:bookmarkStart w:id="66" w:name="cobertura-real-de-los-datos"/>
    <w:p>
      <w:pPr>
        <w:pStyle w:val="Heading2"/>
      </w:pPr>
      <w:r>
        <w:t xml:space="preserve">Cobertura real de los datos</w:t>
      </w:r>
    </w:p>
    <w:p>
      <w:pPr>
        <w:pStyle w:val="FirstParagraph"/>
      </w:pPr>
      <w:r>
        <w:t xml:space="preserve">Al revisar lo descargado, la cobertura resultó distinta de la que anuncian los catálogos</w:t>
      </w:r>
      <w:r>
        <w:t xml:space="preserve"> </w:t>
      </w:r>
      <w:r>
        <w:t xml:space="preserve">(Tabla </w:t>
      </w:r>
      <w:hyperlink w:anchor="tab:cobertura">
        <w:r>
          <w:rPr>
            <w:rStyle w:val="Hyperlink"/>
          </w:rPr>
          <w:t xml:space="preserve">9</w:t>
        </w:r>
      </w:hyperlink>
      <w:r>
        <w:t xml:space="preserve">).</w:t>
      </w:r>
    </w:p>
    <w:bookmarkStart w:id="65" w:name="tab:cobertura"/>
    <w:p>
      <w:pPr>
        <w:pStyle w:val="TableCaption"/>
      </w:pPr>
      <w:r>
        <w:t xml:space="preserve">Cobertura real de los conjuntos descargados.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Cobertura real de los conjuntos descargados."/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Cobertura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 (simple)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2010-01 – 2026-07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1,180,920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mal codificado; nombres de línea inconsistentes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 (desglosada)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2021-01 – 2026-07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1,192,230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desde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Metrobús (simple)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2005-07 – 2026-07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Desglosada solo desde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Ecobici (diaria)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2010-02 – 2024-07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 en julio de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Hechos de tránsito (comparable)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 – 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cubre la pandemia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Hechos de tránsito (ampliada)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 –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comparable entre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Hechos de tránsito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en dd/mm/aaaa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Carpetas FGJ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2016-01 – 2024-07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1,987,424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incompleto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Llamadas al 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2019-S1 – 2022-S1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4,117,932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llega al post-pandemia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Ocupación hotelera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2018-10 – 2024-07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meses de línea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COVID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2020-03 – 2023-04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Semáforo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2020-W22 – 2023-W24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Faltaban 2020-W53 y 2022-W01 (ya rellenadas)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nov-2019 – nov-2024, vigente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cortes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corte de nov-2025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2016; 2018-T3 – 2026-T2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trimestres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 2017, 2018-T1/T2 y 2020-T2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IMSS asegurados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2016-01 – 2026-08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Filtrado a la CDMX; sin desglose por alcaldía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SESNSP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–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manual pendiente</w:t>
            </w:r>
          </w:p>
        </w:tc>
      </w:tr>
    </w:tbl>
    <w:bookmarkEnd w:id="65"/>
    <w:bookmarkEnd w:id="66"/>
    <w:bookmarkStart w:id="68" w:name="problemas-encontrados-y-decisiones"/>
    <w:p>
      <w:pPr>
        <w:pStyle w:val="Heading2"/>
      </w:pPr>
      <w:r>
        <w:t xml:space="preserve">Problemas encontrados y decisiones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Hechos de tránsito.</w:t>
      </w:r>
      <w:r>
        <w:t xml:space="preserve"> </w:t>
      </w:r>
      <w:r>
        <w:t xml:space="preserve">La</w:t>
      </w:r>
      <w:r>
        <w:t xml:space="preserve"> </w:t>
      </w:r>
      <w:r>
        <w:t xml:space="preserve">“serie comparable”</w:t>
      </w:r>
      <w:r>
        <w:t xml:space="preserve"> </w:t>
      </w:r>
      <w:r>
        <w:t xml:space="preserve">solo cubre 2018–2019. Se agregó la</w:t>
      </w:r>
      <w:r>
        <w:t xml:space="preserve"> </w:t>
      </w:r>
      <w:r>
        <w:t xml:space="preserve">serie</w:t>
      </w:r>
      <w:r>
        <w:t xml:space="preserve"> </w:t>
      </w:r>
      <w:r>
        <w:t xml:space="preserve">“ampliada”</w:t>
      </w:r>
      <w:r>
        <w:t xml:space="preserve"> </w:t>
      </w:r>
      <w:r>
        <w:t xml:space="preserve">(2018–2023) y la de 2024. Esta serie pasa de unos 17 mil hechos</w:t>
      </w:r>
      <w:r>
        <w:t xml:space="preserve"> </w:t>
      </w:r>
      <w:r>
        <w:t xml:space="preserve">anuales en 2018–2020 a unos 30 mil en 2022–2023. El salto se debe a cambios en la forma de</w:t>
      </w:r>
      <w:r>
        <w:t xml:space="preserve"> </w:t>
      </w:r>
      <w:r>
        <w:t xml:space="preserve">registro, por lo que la serie se usará con cautela, principalmente como indicador relativo.</w:t>
      </w:r>
      <w:r>
        <w:t xml:space="preserve"> </w:t>
      </w:r>
      <w:r>
        <w:t xml:space="preserve">Los archivos usados están disponibles en Google Drive:</w:t>
      </w:r>
      <w:r>
        <w:t xml:space="preserve"> </w:t>
      </w:r>
      <w:hyperlink r:id="rId67">
        <w:r>
          <w:rPr>
            <w:rStyle w:val="Hyperlink"/>
          </w:rPr>
          <w:t xml:space="preserve">https://drive.google.com/drive/folders/1_Ih0f-9izLZPIRkHpHvWx1OMLO0lkmAK</w:t>
        </w:r>
      </w:hyperlink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Series que terminan en julio de 2024.</w:t>
      </w:r>
      <w:r>
        <w:t xml:space="preserve"> </w:t>
      </w:r>
      <w:r>
        <w:t xml:space="preserve">Las carpetas de la FGJ, Ecobici y la</w:t>
      </w:r>
      <w:r>
        <w:t xml:space="preserve"> </w:t>
      </w:r>
      <w:r>
        <w:t xml:space="preserve">ocupación hotelera dejan de actualizarse en julio de 2024. Por eso la ventana post-pandemia</w:t>
      </w:r>
      <w:r>
        <w:t xml:space="preserve"> </w:t>
      </w:r>
      <w:r>
        <w:t xml:space="preserve">común a todas las fuentes es</w:t>
      </w:r>
      <w:r>
        <w:t xml:space="preserve"> </w:t>
      </w:r>
      <w:r>
        <w:rPr>
          <w:b/>
          <w:bCs/>
        </w:rPr>
        <w:t xml:space="preserve">enero de 2023 a julio de 2024</w:t>
      </w:r>
      <w:r>
        <w:t xml:space="preserve">. Metro, Metrobús e IMSS</w:t>
      </w:r>
      <w:r>
        <w:t xml:space="preserve"> </w:t>
      </w:r>
      <w:r>
        <w:t xml:space="preserve">permiten extender el análisis hasta 2026.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Llamadas al 911.</w:t>
      </w:r>
      <w:r>
        <w:t xml:space="preserve"> </w:t>
      </w:r>
      <w:r>
        <w:t xml:space="preserve">El portal solo publica hasta el primer semestre de 2022. Además,</w:t>
      </w:r>
      <w:r>
        <w:t xml:space="preserve"> </w:t>
      </w:r>
      <w:r>
        <w:t xml:space="preserve">las fechas vienen en varios formatos, y alrededor del 60 % no se interpreta con un solo formato.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ENOE.</w:t>
      </w:r>
      <w:r>
        <w:t xml:space="preserve"> </w:t>
      </w:r>
      <w:r>
        <w:t xml:space="preserve">Los microdatos de 2017 y del primer semestre de 2018 no están en datos</w:t>
      </w:r>
      <w:r>
        <w:t xml:space="preserve"> </w:t>
      </w:r>
      <w:r>
        <w:t xml:space="preserve">abiertos con el nombre estándar. En el segundo trimestre de 2020 la encuesta presencial se</w:t>
      </w:r>
      <w:r>
        <w:t xml:space="preserve"> </w:t>
      </w:r>
      <w:r>
        <w:t xml:space="preserve">suspendió por la pandemia. De 2020-T3 a 2022-T4 se publicó como</w:t>
      </w:r>
      <w:r>
        <w:t xml:space="preserve"> </w:t>
      </w:r>
      <w:r>
        <w:t xml:space="preserve">“ENOE nueva”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enoen</w:t>
      </w:r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Semáforo epidemiológico.</w:t>
      </w:r>
      <w:r>
        <w:t xml:space="preserve"> </w:t>
      </w:r>
      <w:r>
        <w:t xml:space="preserve">No existe como dataset oficial descargable. Se usó la</w:t>
      </w:r>
      <w:r>
        <w:t xml:space="preserve"> </w:t>
      </w:r>
      <w:r>
        <w:t xml:space="preserve">compilación del paquete de R</w:t>
      </w:r>
      <w:r>
        <w:t xml:space="preserve"> </w:t>
      </w:r>
      <w:r>
        <w:rPr>
          <w:rStyle w:val="VerbatimChar"/>
        </w:rPr>
        <w:t xml:space="preserve">semaforos</w:t>
      </w:r>
      <w:r>
        <w:t xml:space="preserve"> </w:t>
      </w:r>
      <w:r>
        <w:t xml:space="preserve">(Hugo Gruson), que recopila los semáforos</w:t>
      </w:r>
      <w:r>
        <w:t xml:space="preserve"> </w:t>
      </w:r>
      <w:r>
        <w:t xml:space="preserve">semanales publicados por la Secretaría de Salud. Corresponde al semáforo</w:t>
      </w:r>
      <w:r>
        <w:t xml:space="preserve"> </w:t>
      </w:r>
      <w:r>
        <w:rPr>
          <w:i/>
          <w:iCs/>
        </w:rPr>
        <w:t xml:space="preserve">federal</w:t>
      </w:r>
      <w:r>
        <w:t xml:space="preserve">. El</w:t>
      </w:r>
      <w:r>
        <w:t xml:space="preserve"> </w:t>
      </w:r>
      <w:r>
        <w:t xml:space="preserve">semáforo local de la CDMX a veces se adelantó: por ejemplo, el rojo se decretó el 18 de</w:t>
      </w:r>
      <w:r>
        <w:t xml:space="preserve"> </w:t>
      </w:r>
      <w:r>
        <w:t xml:space="preserve">diciembre de 2020 y el federal entró el 21.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IMSS sin alcaldías.</w:t>
      </w:r>
      <w:r>
        <w:t xml:space="preserve"> </w:t>
      </w:r>
      <w:r>
        <w:t xml:space="preserve">El diccionario oficial y la revisión de los 128 meses muestran</w:t>
      </w:r>
      <w:r>
        <w:t xml:space="preserve"> </w:t>
      </w:r>
      <w:r>
        <w:t xml:space="preserve">que el campo</w:t>
      </w:r>
      <w:r>
        <w:t xml:space="preserve"> </w:t>
      </w:r>
      <w:r>
        <w:rPr>
          <w:rStyle w:val="VerbatimChar"/>
        </w:rPr>
        <w:t xml:space="preserve">cve_municipio</w:t>
      </w:r>
      <w:r>
        <w:t xml:space="preserve"> </w:t>
      </w:r>
      <w:r>
        <w:t xml:space="preserve">viene vacío para toda la CDMX. El empleo formal solo puede</w:t>
      </w:r>
      <w:r>
        <w:t xml:space="preserve"> </w:t>
      </w:r>
      <w:r>
        <w:t xml:space="preserve">analizarse para la ciudad completa, aunque con desglose por sector, sexo, edad y salario. La</w:t>
      </w:r>
      <w:r>
        <w:t xml:space="preserve"> </w:t>
      </w:r>
      <w:r>
        <w:t xml:space="preserve">dimensión económica por alcaldía se cubrirá con el DENUE.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Archivos duplicados.</w:t>
      </w:r>
      <w:r>
        <w:t xml:space="preserve"> </w:t>
      </w:r>
      <w:r>
        <w:t xml:space="preserve">Se descartó el acumulado de carpetas de la FGJ (560 MB) porque</w:t>
      </w:r>
      <w:r>
        <w:t xml:space="preserve"> </w:t>
      </w:r>
      <w:r>
        <w:t xml:space="preserve">contiene los mismos registros que los archivos anuales.</w:t>
      </w:r>
    </w:p>
    <w:bookmarkEnd w:id="68"/>
    <w:bookmarkEnd w:id="69"/>
    <w:bookmarkStart w:id="161" w:name="sec:limpieza"/>
    <w:p>
      <w:pPr>
        <w:pStyle w:val="Heading1"/>
      </w:pPr>
      <w:r>
        <w:t xml:space="preserve">Limpieza de datos</w:t>
      </w:r>
    </w:p>
    <w:p>
      <w:pPr>
        <w:pStyle w:val="FirstParagraph"/>
      </w:pPr>
      <w:r>
        <w:t xml:space="preserve">Cada fuente se limpia con su propio script en</w:t>
      </w:r>
      <w:r>
        <w:t xml:space="preserve"> </w:t>
      </w:r>
      <w:r>
        <w:rPr>
          <w:rStyle w:val="VerbatimChar"/>
        </w:rPr>
        <w:t xml:space="preserve">src/clean/</w:t>
      </w:r>
      <w:r>
        <w:t xml:space="preserve">. Todos leen de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sin modificar los originales y escriben en</w:t>
      </w:r>
      <w:r>
        <w:t xml:space="preserve"> </w:t>
      </w:r>
      <w:r>
        <w:rPr>
          <w:rStyle w:val="VerbatimChar"/>
        </w:rPr>
        <w:t xml:space="preserve">data/interim/</w:t>
      </w:r>
      <w:r>
        <w:t xml:space="preserve"> </w:t>
      </w:r>
      <w:r>
        <w:t xml:space="preserve">en dos</w:t>
      </w:r>
      <w:r>
        <w:t xml:space="preserve"> </w:t>
      </w:r>
      <w:r>
        <w:t xml:space="preserve">formatos: CSV, el principal, que se abre en Excel y en cualquier programa, y Parquet, un respaldo más</w:t>
      </w:r>
      <w:r>
        <w:t xml:space="preserve"> </w:t>
      </w:r>
      <w:r>
        <w:t xml:space="preserve">ligero que conserva los tipos de dato. La base de carpetas de la FGJ tiene 1.9 millones de filas, más de</w:t>
      </w:r>
      <w:r>
        <w:t xml:space="preserve"> </w:t>
      </w:r>
      <w:r>
        <w:t xml:space="preserve">las 1,048,576 que admite Excel, por lo que se trabaja con pandas o con su versión agregada. Cada script genera además un reporte en</w:t>
      </w:r>
      <w:r>
        <w:t xml:space="preserve"> </w:t>
      </w:r>
      <w:r>
        <w:rPr>
          <w:rStyle w:val="VerbatimChar"/>
        </w:rPr>
        <w:t xml:space="preserve">docs/limpieza_&lt;fuente&gt;.md</w:t>
      </w:r>
      <w:r>
        <w:t xml:space="preserve">, con el número</w:t>
      </w:r>
      <w:r>
        <w:t xml:space="preserve"> </w:t>
      </w:r>
      <w:r>
        <w:t xml:space="preserve">de registros afectados en cada paso.</w:t>
      </w:r>
    </w:p>
    <w:bookmarkStart w:id="70" w:name="catálogos-comunes"/>
    <w:p>
      <w:pPr>
        <w:pStyle w:val="Heading2"/>
      </w:pPr>
      <w:r>
        <w:t xml:space="preserve">Catálogos comunes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catalogos.py</w:t>
      </w:r>
      <w:r>
        <w:t xml:space="preserve"> </w:t>
      </w:r>
      <w:r>
        <w:t xml:space="preserve">concentra lo que comparten todas las fuentes: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Catálogo de alcaldías.</w:t>
      </w:r>
      <w:r>
        <w:t xml:space="preserve"> </w:t>
      </w:r>
      <w:r>
        <w:t xml:space="preserve">Las 16 alcaldías con su clave INEGI (</w:t>
      </w:r>
      <w:r>
        <w:rPr>
          <w:rStyle w:val="VerbatimChar"/>
        </w:rPr>
        <w:t xml:space="preserve">09002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09017</w:t>
      </w:r>
      <w:r>
        <w:t xml:space="preserve">) y sus polígonos, leídos directamente del Marco Geoestadístico 2020.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Normalización de texto.</w:t>
      </w:r>
      <w:r>
        <w:t xml:space="preserve"> </w:t>
      </w:r>
      <w:r>
        <w:t xml:space="preserve">Repara el</w:t>
      </w:r>
      <w:r>
        <w:t xml:space="preserve"> </w:t>
      </w:r>
      <w:r>
        <w:rPr>
          <w:i/>
          <w:iCs/>
        </w:rPr>
        <w:t xml:space="preserve">mojibake</w:t>
      </w:r>
      <w:r>
        <w:t xml:space="preserve">, quita acentos, pasa a</w:t>
      </w:r>
      <w:r>
        <w:t xml:space="preserve"> </w:t>
      </w:r>
      <w:r>
        <w:t xml:space="preserve">mayúsculas y elimina espacios repetidos. Así</w:t>
      </w:r>
      <w:r>
        <w:t xml:space="preserve"> </w:t>
      </w:r>
      <w:r>
        <w:t xml:space="preserve">“Álvaro Obregón”</w:t>
      </w:r>
      <w:r>
        <w:t xml:space="preserve">,</w:t>
      </w:r>
      <w:r>
        <w:t xml:space="preserve"> </w:t>
      </w:r>
      <w:r>
        <w:t xml:space="preserve">“ALVARO OBREGON”</w:t>
      </w:r>
      <w:r>
        <w:t xml:space="preserve"> </w:t>
      </w:r>
      <w:r>
        <w:t xml:space="preserve">y su versión mal codificada se reconocen como la misma alcaldía.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Asignación por coordenadas.</w:t>
      </w:r>
      <w:r>
        <w:t xml:space="preserve"> </w:t>
      </w:r>
      <w:r>
        <w:t xml:space="preserve">Ubica la alcaldía de un punto (latitud, longitud)</w:t>
      </w:r>
      <w:r>
        <w:t xml:space="preserve"> </w:t>
      </w:r>
      <w:r>
        <w:t xml:space="preserve">mediante una prueba de punto en polígono.</w:t>
      </w:r>
    </w:p>
    <w:bookmarkEnd w:id="70"/>
    <w:bookmarkStart w:id="79" w:name="carpetas-de-investigación-fgj"/>
    <w:p>
      <w:pPr>
        <w:pStyle w:val="Heading2"/>
      </w:pPr>
      <w:r>
        <w:t xml:space="preserve">Carpetas de investigación (FGJ)</w:t>
      </w:r>
    </w:p>
    <w:bookmarkStart w:id="72" w:name="decisiones-principales."/>
    <w:p>
      <w:pPr>
        <w:pStyle w:val="Heading4"/>
      </w:pPr>
      <w:r>
        <w:t xml:space="preserve">Decisiones principales.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Fecha del hecho, no de inicio.</w:t>
      </w:r>
      <w:r>
        <w:t xml:space="preserve"> </w:t>
      </w:r>
      <w:r>
        <w:t xml:space="preserve">Cada archivo anual contiene las carpetas</w:t>
      </w:r>
      <w:r>
        <w:t xml:space="preserve"> </w:t>
      </w:r>
      <w:r>
        <w:rPr>
          <w:i/>
          <w:iCs/>
        </w:rPr>
        <w:t xml:space="preserve">iniciadas</w:t>
      </w:r>
      <w:r>
        <w:t xml:space="preserve"> </w:t>
      </w:r>
      <w:r>
        <w:t xml:space="preserve">ese año, que pueden referirse a hechos anteriores. Para medir cuándo ocurren</w:t>
      </w:r>
      <w:r>
        <w:t xml:space="preserve"> </w:t>
      </w:r>
      <w:r>
        <w:t xml:space="preserve">los delitos se usa</w:t>
      </w:r>
      <w:r>
        <w:t xml:space="preserve"> </w:t>
      </w:r>
      <w:r>
        <w:rPr>
          <w:rStyle w:val="VerbatimChar"/>
        </w:rPr>
        <w:t xml:space="preserve">fecha_hecho</w:t>
      </w:r>
      <w:r>
        <w:t xml:space="preserve">. La mediana del retraso entre el hecho y la denuncia</w:t>
      </w:r>
      <w:r>
        <w:t xml:space="preserve"> </w:t>
      </w:r>
      <w:r>
        <w:t xml:space="preserve">es de 1 día, pero el percentil 90 es de 56 días.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Ventana 2016 – julio de 2024.</w:t>
      </w:r>
      <w:r>
        <w:t xml:space="preserve"> </w:t>
      </w:r>
      <w:r>
        <w:t xml:space="preserve">Se descartan los hechos anteriores a 2016: solo</w:t>
      </w:r>
      <w:r>
        <w:t xml:space="preserve"> </w:t>
      </w:r>
      <w:r>
        <w:t xml:space="preserve">aparecen si se denunciaron desde 2016, así que su registro está incompleto. Por la misma razón,</w:t>
      </w:r>
      <w:r>
        <w:t xml:space="preserve"> </w:t>
      </w:r>
      <w:r>
        <w:t xml:space="preserve">junio y julio de 2024 se marcan como</w:t>
      </w:r>
      <w:r>
        <w:t xml:space="preserve"> </w:t>
      </w:r>
      <w:r>
        <w:rPr>
          <w:i/>
          <w:iCs/>
        </w:rPr>
        <w:t xml:space="preserve">meses incompletos</w:t>
      </w:r>
      <w:r>
        <w:t xml:space="preserve">, porque todavía faltan las</w:t>
      </w:r>
      <w:r>
        <w:t xml:space="preserve"> </w:t>
      </w:r>
      <w:r>
        <w:t xml:space="preserve">denuncias tardías.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Alcaldía.</w:t>
      </w:r>
      <w:r>
        <w:t xml:space="preserve"> </w:t>
      </w:r>
      <w:r>
        <w:t xml:space="preserve">Se toma de</w:t>
      </w:r>
      <w:r>
        <w:t xml:space="preserve"> </w:t>
      </w:r>
      <w:r>
        <w:rPr>
          <w:rStyle w:val="VerbatimChar"/>
        </w:rPr>
        <w:t xml:space="preserve">alcaldia_hecho</w:t>
      </w:r>
      <w:r>
        <w:t xml:space="preserve">. Coincide con la alcaldía calculada por</w:t>
      </w:r>
      <w:r>
        <w:t xml:space="preserve"> </w:t>
      </w:r>
      <w:r>
        <w:t xml:space="preserve">coordenadas en el 99.7 % de los casos. Los registros</w:t>
      </w:r>
      <w:r>
        <w:t xml:space="preserve"> </w:t>
      </w:r>
      <w:r>
        <w:t xml:space="preserve">“CDMX (indeterminada)”</w:t>
      </w:r>
      <w:r>
        <w:t xml:space="preserve"> </w:t>
      </w:r>
      <w:r>
        <w:t xml:space="preserve">no</w:t>
      </w:r>
      <w:r>
        <w:t xml:space="preserve"> </w:t>
      </w:r>
      <w:r>
        <w:t xml:space="preserve">traen coordenadas, así que se conservan para el total de la ciudad con la clave</w:t>
      </w:r>
      <w:r>
        <w:t xml:space="preserve"> </w:t>
      </w:r>
      <w:r>
        <w:rPr>
          <w:rStyle w:val="VerbatimChar"/>
        </w:rPr>
        <w:t xml:space="preserve">09000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Duplicados.</w:t>
      </w:r>
      <w:r>
        <w:t xml:space="preserve"> </w:t>
      </w:r>
      <w:r>
        <w:t xml:space="preserve">El archivo no trae un identificador de carpeta. Las 3,824 filas</w:t>
      </w:r>
      <w:r>
        <w:t xml:space="preserve"> </w:t>
      </w:r>
      <w:r>
        <w:t xml:space="preserve">idénticas en las 21 columnas (0.19 %) tienen como hora de inicio</w:t>
      </w:r>
      <w:r>
        <w:t xml:space="preserve"> </w:t>
      </w:r>
      <w:r>
        <w:rPr>
          <w:rStyle w:val="VerbatimChar"/>
        </w:rPr>
        <w:t xml:space="preserve">00:00:00</w:t>
      </w:r>
      <w:r>
        <w:t xml:space="preserve">, un valor de relleno, y son sobre todo fraude y</w:t>
      </w:r>
      <w:r>
        <w:t xml:space="preserve"> </w:t>
      </w:r>
      <w:r>
        <w:t xml:space="preserve">abuso de confianza, lo que sugiere denuncias múltiples de un mismo hecho. Se</w:t>
      </w:r>
      <w:r>
        <w:t xml:space="preserve"> </w:t>
      </w:r>
      <w:r>
        <w:rPr>
          <w:i/>
          <w:iCs/>
        </w:rPr>
        <w:t xml:space="preserve">marcan</w:t>
      </w:r>
      <w:r>
        <w:t xml:space="preserve"> </w:t>
      </w:r>
      <w:r>
        <w:t xml:space="preserve">en</w:t>
      </w:r>
      <w:r>
        <w:t xml:space="preserve"> </w:t>
      </w:r>
      <w:r>
        <w:t xml:space="preserve">lugar de borrarse, y el conteo agregado las excluye.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Grupos de delito estables.</w:t>
      </w:r>
      <w:r>
        <w:t xml:space="preserve"> </w:t>
      </w:r>
      <w:r>
        <w:t xml:space="preserve">Los 352 delitos distintos se agrupan en 22 categorías</w:t>
      </w:r>
      <w:r>
        <w:t xml:space="preserve"> </w:t>
      </w:r>
      <w:r>
        <w:t xml:space="preserve">mediante palabras clave, no por nombre exacto. Así, los cambios de denominación del catálogo</w:t>
      </w:r>
      <w:r>
        <w:t xml:space="preserve"> </w:t>
      </w:r>
      <w:r>
        <w:t xml:space="preserve">de 2019 (nota de reclasificación de la FGJ) no rompen las series. Solo el 7 % queda en</w:t>
      </w:r>
      <w:r>
        <w:t xml:space="preserve"> </w:t>
      </w:r>
      <w:r>
        <w:t xml:space="preserve">“otros”</w:t>
      </w:r>
      <w:r>
        <w:t xml:space="preserve">, y las 16 categorías de alto impacto de la FGJ caen cada una en un único grupo.</w:t>
      </w:r>
    </w:p>
    <w:bookmarkStart w:id="71" w:name="tab:limpieza_fgj"/>
    <w:p>
      <w:pPr>
        <w:pStyle w:val="TableCaption"/>
      </w:pPr>
      <w:r>
        <w:t xml:space="preserve">Pasos de limpieza de las carpetas de la FGJ.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Pasos de limpieza de las carpetas de la FGJ."/>
      </w:tblPr>
      <w:tblGrid>
        <w:gridCol w:w="312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leídos (9 archivos)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1,987,424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Idénticos en las 21 columnas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marcan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fecha del hecho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descartan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 anterior a 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descartan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 posterior al inicio de la carpeta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descartan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 fuera de la CDMX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descartan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la CDMX sin alcaldía identificable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conservan (clave 09000)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Hechos no delictivos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marcan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Últimos 2 meses (subregistro)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marcan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limpia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1,937,812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97.5 % del original</w:t>
            </w:r>
          </w:p>
        </w:tc>
      </w:tr>
    </w:tbl>
    <w:bookmarkEnd w:id="71"/>
    <w:bookmarkEnd w:id="72"/>
    <w:bookmarkStart w:id="73" w:name="salidas."/>
    <w:p>
      <w:pPr>
        <w:pStyle w:val="Heading4"/>
      </w:pPr>
      <w:r>
        <w:t xml:space="preserve">Salidas.</w:t>
      </w:r>
    </w:p>
    <w:p>
      <w:pPr>
        <w:pStyle w:val="FirstParagraph"/>
      </w:pPr>
      <w:r>
        <w:rPr>
          <w:rStyle w:val="VerbatimChar"/>
        </w:rPr>
        <w:t xml:space="preserve">fgj_carpetas.parquet</w:t>
      </w:r>
      <w:r>
        <w:t xml:space="preserve">, con una fila por carpeta, y</w:t>
      </w:r>
      <w:r>
        <w:t xml:space="preserve"> </w:t>
      </w:r>
      <w:r>
        <w:rPr>
          <w:rStyle w:val="VerbatimChar"/>
        </w:rPr>
        <w:t xml:space="preserve">fgj_alcaldia_mes.parquet</w:t>
      </w:r>
      <w:r>
        <w:t xml:space="preserve">, con los conteos por alcaldía, mes y grupo de delito</w:t>
      </w:r>
      <w:r>
        <w:t xml:space="preserve"> </w:t>
      </w:r>
      <w:r>
        <w:t xml:space="preserve">(34,683 filas). Esta tabla incluye la clave INEGI y el nombre de la alcaldía; las carpetas sin</w:t>
      </w:r>
      <w:r>
        <w:t xml:space="preserve"> </w:t>
      </w:r>
      <w:r>
        <w:t xml:space="preserve">alcaldía identificable aparecen con la clave 09000 y el nombre</w:t>
      </w:r>
      <w:r>
        <w:t xml:space="preserve"> </w:t>
      </w:r>
      <w:r>
        <w:t xml:space="preserve">“CDMX (sin alcaldía)”</w:t>
      </w:r>
      <w:r>
        <w:t xml:space="preserve">.</w:t>
      </w:r>
    </w:p>
    <w:bookmarkEnd w:id="73"/>
    <w:bookmarkStart w:id="78" w:name="primeros-resultados."/>
    <w:p>
      <w:pPr>
        <w:pStyle w:val="Heading4"/>
      </w:pPr>
      <w:r>
        <w:t xml:space="preserve">Primeros resultados.</w:t>
      </w:r>
    </w:p>
    <w:p>
      <w:pPr>
        <w:pStyle w:val="FirstParagraph"/>
      </w:pPr>
      <w:r>
        <w:t xml:space="preserve">La Figura </w:t>
      </w:r>
      <w:hyperlink w:anchor="fig:fgj_grupo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muestra tres grupos con</w:t>
      </w:r>
      <w:r>
        <w:t xml:space="preserve"> </w:t>
      </w:r>
      <w:r>
        <w:t xml:space="preserve">comportamientos distintos: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Robo a transeúnte:</w:t>
      </w:r>
      <w:r>
        <w:t xml:space="preserve"> </w:t>
      </w:r>
      <w:r>
        <w:t xml:space="preserve">cayó con el confinamiento y no se ha recuperado (18,528</w:t>
      </w:r>
      <w:r>
        <w:t xml:space="preserve"> </w:t>
      </w:r>
      <w:r>
        <w:t xml:space="preserve">carpetas en 2019, 12,306 en 2020 y 10,682 en 2023). Sin embargo,</w:t>
      </w:r>
      <w:r>
        <w:t xml:space="preserve"> </w:t>
      </w:r>
      <w:r>
        <w:rPr>
          <w:i/>
          <w:iCs/>
        </w:rPr>
        <w:t xml:space="preserve">ya venía bajando</w:t>
      </w:r>
      <w:r>
        <w:rPr>
          <w:i/>
          <w:iCs/>
        </w:rPr>
        <w:t xml:space="preserve"> </w:t>
      </w:r>
      <w:r>
        <w:rPr>
          <w:i/>
          <w:iCs/>
        </w:rPr>
        <w:t xml:space="preserve">desde finales de 2018</w:t>
      </w:r>
      <w:r>
        <w:t xml:space="preserve">, así que no toda la caída puede atribuirse a la pandemia.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Violencia familiar:</w:t>
      </w:r>
      <w:r>
        <w:t xml:space="preserve"> </w:t>
      </w:r>
      <w:r>
        <w:t xml:space="preserve">bajó en abril de 2020, probablemente porque el confinamiento</w:t>
      </w:r>
      <w:r>
        <w:t xml:space="preserve"> </w:t>
      </w:r>
      <w:r>
        <w:t xml:space="preserve">dificultó denunciar, y después subió con fuerza (25,802 en 2019, 28,340 en 2020 y 37,310</w:t>
      </w:r>
      <w:r>
        <w:t xml:space="preserve"> </w:t>
      </w:r>
      <w:r>
        <w:t xml:space="preserve">en 2023). Esto es consistente con la hipótesis H2.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Robo en transporte público:</w:t>
      </w:r>
      <w:r>
        <w:t xml:space="preserve"> </w:t>
      </w:r>
      <w:r>
        <w:t xml:space="preserve">cayó a menos de la mitad y se estabilizó en ese nivel,</w:t>
      </w:r>
      <w:r>
        <w:t xml:space="preserve"> </w:t>
      </w:r>
      <w:r>
        <w:t xml:space="preserve">igual que la afluencia del Metro.</w:t>
      </w:r>
    </w:p>
    <w:bookmarkStart w:id="77" w:name="fig:fgj_grupos"/>
    <w:p>
      <w:pPr>
        <w:pStyle w:val="CaptionedFigure"/>
      </w:pPr>
      <w:r>
        <w:drawing>
          <wp:inline>
            <wp:extent cx="5334000" cy="192024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as/fgj_grupos_me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Carpetas mensuales por grupo de delito (sin los meses incompletos). Fuente: elaboración</w:t>
      </w:r>
      <w:r>
        <w:t xml:space="preserve"> </w:t>
      </w:r>
      <w:r>
        <w:t xml:space="preserve">propia con datos de la FGJ.</w:t>
      </w:r>
    </w:p>
    <w:bookmarkEnd w:id="77"/>
    <w:bookmarkEnd w:id="78"/>
    <w:bookmarkEnd w:id="79"/>
    <w:bookmarkStart w:id="87" w:name="afluencia-del-metrobús"/>
    <w:p>
      <w:pPr>
        <w:pStyle w:val="Heading2"/>
      </w:pPr>
      <w:r>
        <w:t xml:space="preserve">Afluencia del Metrobús</w:t>
      </w:r>
    </w:p>
    <w:bookmarkStart w:id="80" w:name="tab:limpieza_mb"/>
    <w:p>
      <w:pPr>
        <w:pStyle w:val="TableCaption"/>
      </w:pPr>
      <w:r>
        <w:t xml:space="preserve">Pasos de limpieza del Metrobús.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Pasos de limpieza del Metrobús."/>
      </w:tblPr>
      <w:tblGrid>
        <w:gridCol w:w="468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leídos (fecha × línea)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Nombres de línea (</w:t>
            </w:r>
            <w:r>
              <w:rPr>
                <w:rStyle w:val="VerbatimChar"/>
              </w:rPr>
              <w:t xml:space="preserve">Línea 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linea N</w:t>
            </w:r>
            <w:r>
              <w:t xml:space="preserve"> </w:t>
            </w:r>
            <w:r>
              <w:t xml:space="preserve">en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7 unificados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Vacíos antes de la inauguración de cada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17,227; no son faltantes, se marcan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Faltantes con la línea operando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Duplicados fecha ×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Días atípicos respecto a la mediana móvil de 29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30; se conservan (eventos reales)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Errores evidentes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2; se anulan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Valores con decimales (Línea 4, ene–feb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57; se redondean y se marcan como estimados</w:t>
            </w:r>
          </w:p>
        </w:tc>
      </w:tr>
    </w:tbl>
    <w:bookmarkEnd w:id="80"/>
    <w:bookmarkStart w:id="81" w:name="valores-atípicos."/>
    <w:p>
      <w:pPr>
        <w:pStyle w:val="Heading4"/>
      </w:pPr>
      <w:r>
        <w:t xml:space="preserve">Valores atípicos.</w:t>
      </w:r>
    </w:p>
    <w:p>
      <w:pPr>
        <w:pStyle w:val="FirstParagraph"/>
      </w:pPr>
      <w:r>
        <w:t xml:space="preserve">Se compararon con la mediana móvil de 29 días de la misma línea.</w:t>
      </w:r>
      <w:r>
        <w:t xml:space="preserve"> </w:t>
      </w:r>
      <w:r>
        <w:t xml:space="preserve">Casi todos los días bajos corresponden a hechos reales: domingos, 1 de enero, el día posterior al</w:t>
      </w:r>
      <w:r>
        <w:t xml:space="preserve"> </w:t>
      </w:r>
      <w:r>
        <w:t xml:space="preserve">sismo del 19-S de 2017, la jornada electoral de 2018, la visita papal de 2016 y los desfiles del 16</w:t>
      </w:r>
      <w:r>
        <w:t xml:space="preserve"> </w:t>
      </w:r>
      <w:r>
        <w:t xml:space="preserve">de septiembre. Esos se conservan. Solo se anularon dos errores evidentes:</w:t>
      </w:r>
    </w:p>
    <w:p>
      <w:pPr>
        <w:numPr>
          <w:ilvl w:val="0"/>
          <w:numId w:val="1016"/>
        </w:numPr>
      </w:pPr>
      <w:r>
        <w:t xml:space="preserve">26 de julio de 2005, Línea 1: 3.03 millones de viajes, unas 13 veces un día normal.</w:t>
      </w:r>
      <w:r>
        <w:t xml:space="preserve"> </w:t>
      </w:r>
      <w:r>
        <w:t xml:space="preserve">Probablemente es el acumulado desde la inauguración.</w:t>
      </w:r>
    </w:p>
    <w:p>
      <w:pPr>
        <w:numPr>
          <w:ilvl w:val="0"/>
          <w:numId w:val="1016"/>
        </w:numPr>
      </w:pPr>
      <w:r>
        <w:t xml:space="preserve">20 de septiembre de 2017, Línea 2: 9 pasajeros.</w:t>
      </w:r>
    </w:p>
    <w:bookmarkEnd w:id="81"/>
    <w:bookmarkStart w:id="86" w:name="metro-frente-a-metrobús."/>
    <w:p>
      <w:pPr>
        <w:pStyle w:val="Heading4"/>
      </w:pPr>
      <w:r>
        <w:t xml:space="preserve">Metro frente a Metrobús.</w:t>
      </w:r>
    </w:p>
    <w:p>
      <w:pPr>
        <w:pStyle w:val="FirstParagraph"/>
      </w:pPr>
      <w:r>
        <w:t xml:space="preserve">Ambos sistemas cayeron casi lo mismo en mayo de 2020: el Metro</w:t>
      </w:r>
      <w:r>
        <w:t xml:space="preserve"> </w:t>
      </w:r>
      <w:r>
        <w:t xml:space="preserve">a un índice de 26.5 y el Metrobús a 24.2, con 2019 = 100. Sin embargo, su recuperación fue muy</w:t>
      </w:r>
      <w:r>
        <w:t xml:space="preserve"> </w:t>
      </w:r>
      <w:r>
        <w:t xml:space="preserve">distinta (Figura </w:t>
      </w:r>
      <w:hyperlink w:anchor="fig:metro_mb">
        <w:r>
          <w:rPr>
            <w:rStyle w:val="Hyperlink"/>
          </w:rPr>
          <w:t xml:space="preserve">3</w:t>
        </w:r>
      </w:hyperlink>
      <w:r>
        <w:t xml:space="preserve">). El Metrobús superó su nivel de 2019 a partir de la segunda mitad</w:t>
      </w:r>
      <w:r>
        <w:t xml:space="preserve"> </w:t>
      </w:r>
      <w:r>
        <w:t xml:space="preserve">de 2022 y en 2024 alcanzó un promedio anual de 118.9. El Metro, en cambio, se ha quedado entre 73 y 79</w:t>
      </w:r>
      <w:r>
        <w:t xml:space="preserve"> </w:t>
      </w:r>
      <w:r>
        <w:t xml:space="preserve">(promedios anuales de 2024 y 2025). Esto puede deberse a la ampliación de la</w:t>
      </w:r>
      <w:r>
        <w:t xml:space="preserve"> </w:t>
      </w:r>
      <w:r>
        <w:t xml:space="preserve">red del Metrobús y al traslado de usuarios por los cierres de las Líneas 1 y 12 del Metro. Es una</w:t>
      </w:r>
      <w:r>
        <w:t xml:space="preserve"> </w:t>
      </w:r>
      <w:r>
        <w:t xml:space="preserve">pregunta que conviene responder en la fase de análisis.</w:t>
      </w:r>
    </w:p>
    <w:bookmarkStart w:id="85" w:name="fig:metro_mb"/>
    <w:p>
      <w:pPr>
        <w:pStyle w:val="CaptionedFigure"/>
      </w:pPr>
      <w:r>
        <w:drawing>
          <wp:inline>
            <wp:extent cx="5334000" cy="192024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figuras/metro_vs_metrobu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Afluencia diaria promedio mensual del Metro y del Metrobús, índice 2019 = 100. Fuente:</w:t>
      </w:r>
      <w:r>
        <w:t xml:space="preserve"> </w:t>
      </w:r>
      <w:r>
        <w:t xml:space="preserve">elaboración propia con datos del STC Metro y del Metrobús.</w:t>
      </w:r>
    </w:p>
    <w:bookmarkEnd w:id="85"/>
    <w:bookmarkEnd w:id="86"/>
    <w:bookmarkEnd w:id="87"/>
    <w:bookmarkStart w:id="106" w:name="puestos-de-trabajo-asegurados-imss"/>
    <w:p>
      <w:pPr>
        <w:pStyle w:val="Heading2"/>
      </w:pPr>
      <w:r>
        <w:t xml:space="preserve">Puestos de trabajo asegurados (IMSS)</w:t>
      </w:r>
    </w:p>
    <w:p>
      <w:pPr>
        <w:pStyle w:val="FirstParagraph"/>
      </w:pPr>
      <w:r>
        <w:t xml:space="preserve">La limpieza del IMSS se hizo paso a paso en el notebook</w:t>
      </w:r>
      <w:r>
        <w:t xml:space="preserve"> </w:t>
      </w:r>
      <w:r>
        <w:rPr>
          <w:rStyle w:val="VerbatimChar"/>
        </w:rPr>
        <w:t xml:space="preserve">01_limpieza_datasets.ipynb</w:t>
      </w:r>
      <w:r>
        <w:t xml:space="preserve">. El</w:t>
      </w:r>
      <w:r>
        <w:t xml:space="preserve"> </w:t>
      </w:r>
      <w:r>
        <w:t xml:space="preserve">resultado,</w:t>
      </w:r>
      <w:r>
        <w:t xml:space="preserve"> </w:t>
      </w:r>
      <w:r>
        <w:rPr>
          <w:rStyle w:val="VerbatimChar"/>
        </w:rPr>
        <w:t xml:space="preserve">imss_subdelegacion_mes.csv</w:t>
      </w:r>
      <w:r>
        <w:t xml:space="preserve">, tiene una fila por mes y subdelegación del IMSS:</w:t>
      </w:r>
      <w:r>
        <w:t xml:space="preserve"> </w:t>
      </w:r>
      <w:r>
        <w:t xml:space="preserve">128 meses por 10 subdelegaciones, es decir, 1,280 filas.</w:t>
      </w:r>
    </w:p>
    <w:bookmarkStart w:id="88" w:name="decisiones."/>
    <w:p>
      <w:pPr>
        <w:pStyle w:val="Heading4"/>
      </w:pPr>
      <w:r>
        <w:t xml:space="preserve">Decisiones.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Medida de empleo:</w:t>
      </w:r>
      <w:r>
        <w:t xml:space="preserve"> </w:t>
      </w:r>
      <w:r>
        <w:t xml:space="preserve">se usan los</w:t>
      </w:r>
      <w:r>
        <w:t xml:space="preserve"> </w:t>
      </w:r>
      <w:r>
        <w:rPr>
          <w:i/>
          <w:iCs/>
        </w:rPr>
        <w:t xml:space="preserve">puestos de trabajo</w:t>
      </w:r>
      <w:r>
        <w:t xml:space="preserve"> </w:t>
      </w:r>
      <w:r>
        <w:t xml:space="preserve">(</w:t>
      </w:r>
      <w:r>
        <w:rPr>
          <w:rStyle w:val="VerbatimChar"/>
        </w:rPr>
        <w:t xml:space="preserve">ta</w:t>
      </w:r>
      <w:r>
        <w:t xml:space="preserve">) y no los</w:t>
      </w:r>
      <w:r>
        <w:t xml:space="preserve"> </w:t>
      </w:r>
      <w:r>
        <w:rPr>
          <w:i/>
          <w:iCs/>
        </w:rPr>
        <w:t xml:space="preserve">asegurados</w:t>
      </w:r>
      <w:r>
        <w:t xml:space="preserve">, que incluyen a personas afiliadas sin empleo. En la CDMX hay unos 5</w:t>
      </w:r>
      <w:r>
        <w:t xml:space="preserve"> </w:t>
      </w:r>
      <w:r>
        <w:t xml:space="preserve">millones de asegurados, pero solo unos 3.5 millones de puestos.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Territorio:</w:t>
      </w:r>
      <w:r>
        <w:t xml:space="preserve"> </w:t>
      </w:r>
      <w:r>
        <w:t xml:space="preserve">el IMSS no publica la CDMX por alcaldía. Las delegaciones (Norte y Sur)</w:t>
      </w:r>
      <w:r>
        <w:t xml:space="preserve"> </w:t>
      </w:r>
      <w:r>
        <w:t xml:space="preserve">y las subdelegaciones son oficinas del IMSS, y los empleos se registran donde la empresa dio</w:t>
      </w:r>
      <w:r>
        <w:t xml:space="preserve"> </w:t>
      </w:r>
      <w:r>
        <w:t xml:space="preserve">de alta su registro patronal. Por eso solo se usan como dato complementario.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Columnas cambiantes:</w:t>
      </w:r>
      <w:r>
        <w:t xml:space="preserve"> </w:t>
      </w:r>
      <w:r>
        <w:t xml:space="preserve">el IMSS agregó</w:t>
      </w:r>
      <w:r>
        <w:t xml:space="preserve"> </w:t>
      </w:r>
      <w:r>
        <w:rPr>
          <w:rStyle w:val="VerbatimChar"/>
        </w:rPr>
        <w:t xml:space="preserve">rango_uma</w:t>
      </w:r>
      <w:r>
        <w:t xml:space="preserve"> </w:t>
      </w:r>
      <w:r>
        <w:t xml:space="preserve">en febrero de 2017 y</w:t>
      </w:r>
      <w:r>
        <w:t xml:space="preserve"> </w:t>
      </w:r>
      <w:r>
        <w:rPr>
          <w:rStyle w:val="VerbatimChar"/>
        </w:rPr>
        <w:t xml:space="preserve">ptpd</w:t>
      </w:r>
      <w:r>
        <w:t xml:space="preserve"> </w:t>
      </w:r>
      <w:r>
        <w:t xml:space="preserve">en 2026, y en 7 meses publicó un nombre de columna mal codificado. El código</w:t>
      </w:r>
      <w:r>
        <w:t xml:space="preserve"> </w:t>
      </w:r>
      <w:r>
        <w:t xml:space="preserve">lee solo las columnas necesarias, con el nombre que tengan en cada archivo.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Vacíos en el rango salarial:</w:t>
      </w:r>
      <w:r>
        <w:t xml:space="preserve"> </w:t>
      </w:r>
      <w:r>
        <w:t xml:space="preserve">el 99.7 % corresponde a asegurados sin empleo, que no</w:t>
      </w:r>
      <w:r>
        <w:t xml:space="preserve"> </w:t>
      </w:r>
      <w:r>
        <w:t xml:space="preserve">tienen salario, así que no se imputan. Los puestos sin rango (menos del 0.5 %) van a una</w:t>
      </w:r>
      <w:r>
        <w:t xml:space="preserve"> </w:t>
      </w:r>
      <w:r>
        <w:t xml:space="preserve">categoría</w:t>
      </w:r>
      <w:r>
        <w:t xml:space="preserve"> </w:t>
      </w:r>
      <w:r>
        <w:t xml:space="preserve">“sin dato”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Rango de UMA en 2016:</w:t>
      </w:r>
      <w:r>
        <w:t xml:space="preserve"> </w:t>
      </w:r>
      <w:r>
        <w:t xml:space="preserve">se copió el rango en salarios mínimos, porque en 2016 la UMA</w:t>
      </w:r>
      <w:r>
        <w:t xml:space="preserve"> </w:t>
      </w:r>
      <w:r>
        <w:t xml:space="preserve">valía lo mismo que el salario mínimo ($73.04). Enero de 2017 queda aproximado.</w:t>
      </w:r>
    </w:p>
    <w:bookmarkEnd w:id="88"/>
    <w:bookmarkStart w:id="90" w:name="validación."/>
    <w:p>
      <w:pPr>
        <w:pStyle w:val="Heading4"/>
      </w:pPr>
      <w:r>
        <w:t xml:space="preserve">Validación.</w:t>
      </w:r>
    </w:p>
    <w:p>
      <w:pPr>
        <w:pStyle w:val="FirstParagraph"/>
      </w:pPr>
      <w:r>
        <w:t xml:space="preserve">No faltan meses. Hombres, mujeres y no binario suman exactamente los</w:t>
      </w:r>
      <w:r>
        <w:t xml:space="preserve"> </w:t>
      </w:r>
      <w:r>
        <w:t xml:space="preserve">puestos, y los rangos salariales también. Diciembre de 2019 coincide con la cifra calculada</w:t>
      </w:r>
      <w:r>
        <w:t xml:space="preserve"> </w:t>
      </w:r>
      <w:r>
        <w:t xml:space="preserve">directamente del archivo original (3,470,048 puestos).</w:t>
      </w:r>
    </w:p>
    <w:bookmarkStart w:id="89" w:name="tab:imss"/>
    <w:p>
      <w:pPr>
        <w:pStyle w:val="TableCaption"/>
      </w:pPr>
      <w:r>
        <w:t xml:space="preserve">Puestos de trabajo formales en la CDMX (IMSS).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Puestos de trabajo formales en la CDMX (IMSS)."/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Puestos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Mujeres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Salario diario (nominal)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Diciembre 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3,470,048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1,447,069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Diciembre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3,246,669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1,347,572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Marzo 2021 (mínimo)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3,213,626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1,338,652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Diciembre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3,479,354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1,518,611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Agosto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3,689,815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1,585,251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$801</w:t>
            </w:r>
          </w:p>
        </w:tc>
      </w:tr>
    </w:tbl>
    <w:bookmarkEnd w:id="89"/>
    <w:bookmarkEnd w:id="90"/>
    <w:bookmarkStart w:id="91" w:name="primeros-resultados.-1"/>
    <w:p>
      <w:pPr>
        <w:pStyle w:val="Heading4"/>
      </w:pPr>
      <w:r>
        <w:t xml:space="preserve">Primeros resultados.</w:t>
      </w:r>
    </w:p>
    <w:p>
      <w:pPr>
        <w:pStyle w:val="FirstParagraph"/>
      </w:pPr>
      <w:r>
        <w:t xml:space="preserve">Entre febrero y diciembre de 2020 se perdieron unos 200 mil</w:t>
      </w:r>
      <w:r>
        <w:t xml:space="preserve"> </w:t>
      </w:r>
      <w:r>
        <w:t xml:space="preserve">empleos formales, y el punto más bajo llegó en marzo de 2021, con unos 233 mil puestos menos que en</w:t>
      </w:r>
      <w:r>
        <w:t xml:space="preserve"> </w:t>
      </w:r>
      <w:r>
        <w:t xml:space="preserve">febrero de 2020. El promedio anual volvió a 99.6 (2019 = 100) en 2023 y a 101.2 en 2024. El</w:t>
      </w:r>
      <w:r>
        <w:t xml:space="preserve"> </w:t>
      </w:r>
      <w:r>
        <w:t xml:space="preserve">empleo formal se recuperó mucho antes que la afluencia del Metro, que sigue entre 73 y 79, lo cual</w:t>
      </w:r>
      <w:r>
        <w:t xml:space="preserve"> </w:t>
      </w:r>
      <w:r>
        <w:t xml:space="preserve">apoya la hipótesis H3.</w:t>
      </w:r>
    </w:p>
    <w:bookmarkEnd w:id="91"/>
    <w:bookmarkStart w:id="92" w:name="advertencia-sobre-los-rangos-salariales."/>
    <w:p>
      <w:pPr>
        <w:pStyle w:val="Heading4"/>
      </w:pPr>
      <w:r>
        <w:t xml:space="preserve">Advertencia sobre los rangos salariales.</w:t>
      </w:r>
    </w:p>
    <w:p>
      <w:pPr>
        <w:pStyle w:val="FirstParagraph"/>
      </w:pPr>
      <w:r>
        <w:t xml:space="preserve">El grupo</w:t>
      </w:r>
      <w:r>
        <w:t xml:space="preserve"> </w:t>
      </w:r>
      <w:r>
        <w:t xml:space="preserve">“hasta 2 UMA”</w:t>
      </w:r>
      <w:r>
        <w:t xml:space="preserve"> </w:t>
      </w:r>
      <w:r>
        <w:t xml:space="preserve">pasa de</w:t>
      </w:r>
      <w:r>
        <w:t xml:space="preserve"> </w:t>
      </w:r>
      <w:r>
        <w:t xml:space="preserve">1.17 millones de puestos en 2019 a 21 mil en 2024. No es un error: el salario mínimo subió hasta</w:t>
      </w:r>
      <w:r>
        <w:t xml:space="preserve"> </w:t>
      </w:r>
      <w:r>
        <w:t xml:space="preserve">equivaler a unas 2.3 UMA, así que ya nadie puede ganar legalmente menos de 2 UMA. Por eso, para</w:t>
      </w:r>
      <w:r>
        <w:t xml:space="preserve"> </w:t>
      </w:r>
      <w:r>
        <w:t xml:space="preserve">comparar salarios antes y después de la pandemia se usará el salario promedio</w:t>
      </w:r>
      <w:r>
        <w:t xml:space="preserve"> </w:t>
      </w:r>
      <w:r>
        <w:rPr>
          <w:i/>
          <w:iCs/>
        </w:rPr>
        <w:t xml:space="preserve">deflactado</w:t>
      </w:r>
      <w:r>
        <w:t xml:space="preserve"> </w:t>
      </w:r>
      <w:r>
        <w:t xml:space="preserve">con el INPC. El salario nominal subió 55 % entre 2019 y 2024, con una inflación cercana al 30 %.</w:t>
      </w:r>
    </w:p>
    <w:bookmarkEnd w:id="92"/>
    <w:bookmarkStart w:id="105" w:name="gráficas."/>
    <w:p>
      <w:pPr>
        <w:pStyle w:val="Heading4"/>
      </w:pPr>
      <w:r>
        <w:t xml:space="preserve">Gráficas.</w:t>
      </w:r>
    </w:p>
    <w:p>
      <w:pPr>
        <w:pStyle w:val="FirstParagraph"/>
      </w:pPr>
      <w:r>
        <w:t xml:space="preserve">La Figura </w:t>
      </w:r>
      <w:hyperlink w:anchor="fig:imss_top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muestra las cinco subdelegaciones con más empleo</w:t>
      </w:r>
      <w:r>
        <w:t xml:space="preserve"> </w:t>
      </w:r>
      <w:r>
        <w:t xml:space="preserve">formal. Polanco concentra cerca de 700 mil puestos porque ahí registran su plantilla muchas empresas</w:t>
      </w:r>
      <w:r>
        <w:t xml:space="preserve"> </w:t>
      </w:r>
      <w:r>
        <w:t xml:space="preserve">grandes, no porque ahí trabaje toda esa gente. Desde finales de 2025, San Ángel presenta saltos de</w:t>
      </w:r>
      <w:r>
        <w:t xml:space="preserve"> </w:t>
      </w:r>
      <w:r>
        <w:t xml:space="preserve">hasta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60 mil puestos de un mes a otro, que no aparecen en el total de la ciudad. Probablemente se</w:t>
      </w:r>
      <w:r>
        <w:t xml:space="preserve"> </w:t>
      </w:r>
      <w:r>
        <w:t xml:space="preserve">deben a reasignaciones administrativas de registros patronales entre subdelegaciones, así que no deben</w:t>
      </w:r>
      <w:r>
        <w:t xml:space="preserve"> </w:t>
      </w:r>
      <w:r>
        <w:t xml:space="preserve">interpretarse como cambios de empleo.</w:t>
      </w:r>
    </w:p>
    <w:bookmarkStart w:id="96" w:name="fig:imss_top"/>
    <w:p>
      <w:pPr>
        <w:pStyle w:val="CaptionedFigure"/>
      </w:pPr>
      <w:r>
        <w:drawing>
          <wp:inline>
            <wp:extent cx="5334000" cy="2222499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figuras/imss_top_subdelegacione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Puestos de trabajo formales en las cinco subdelegaciones del IMSS con más empleo en 2019.</w:t>
      </w:r>
    </w:p>
    <w:bookmarkEnd w:id="96"/>
    <w:p>
      <w:pPr>
        <w:pStyle w:val="BodyText"/>
      </w:pPr>
      <w:r>
        <w:t xml:space="preserve">La Figura </w:t>
      </w:r>
      <w:hyperlink w:anchor="fig:imss_rango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muestra la distribución por rango salarial. Hay dos caídas abruptas</w:t>
      </w:r>
      <w:r>
        <w:t xml:space="preserve"> </w:t>
      </w:r>
      <w:r>
        <w:t xml:space="preserve">del grupo</w:t>
      </w:r>
      <w:r>
        <w:t xml:space="preserve"> </w:t>
      </w:r>
      <w:r>
        <w:t xml:space="preserve">“hasta 2 UMA”</w:t>
      </w:r>
      <w:r>
        <w:t xml:space="preserve">, en enero de 2022 (a 0.3 %, y en febrero regresa a 22 %) y en</w:t>
      </w:r>
      <w:r>
        <w:t xml:space="preserve"> </w:t>
      </w:r>
      <w:r>
        <w:t xml:space="preserve">enero de 2023 (definitiva). Se explican por el calendario: el salario mínimo sube el 1 de enero y la</w:t>
      </w:r>
      <w:r>
        <w:t xml:space="preserve"> </w:t>
      </w:r>
      <w:r>
        <w:t xml:space="preserve">UMA hasta el 1 de febrero. En enero de 2022, el salario mínimo integrado (</w:t>
      </w:r>
      <m:oMath>
        <m:r>
          <m:rPr>
            <m:sty m:val="p"/>
          </m:rPr>
          <m:t>≈</m:t>
        </m:r>
      </m:oMath>
      <w:r>
        <w:t xml:space="preserve">$180.7) quedó</w:t>
      </w:r>
      <w:r>
        <w:t xml:space="preserve"> </w:t>
      </w:r>
      <w:r>
        <w:t xml:space="preserve">apenas por encima de 2 UMA de 2021 ($179.24); en febrero, con la UMA nueva, volvió a quedar por</w:t>
      </w:r>
      <w:r>
        <w:t xml:space="preserve"> </w:t>
      </w:r>
      <w:r>
        <w:t xml:space="preserve">debajo. Desde 2023 el mínimo supera las 2 UMA de forma permanente. Es un efecto de la política</w:t>
      </w:r>
      <w:r>
        <w:t xml:space="preserve"> </w:t>
      </w:r>
      <w:r>
        <w:t xml:space="preserve">salarial y no un error de los datos.</w:t>
      </w:r>
    </w:p>
    <w:bookmarkStart w:id="100" w:name="fig:imss_rangos"/>
    <w:p>
      <w:pPr>
        <w:pStyle w:val="CaptionedFigure"/>
      </w:pPr>
      <w:r>
        <w:drawing>
          <wp:inline>
            <wp:extent cx="5334000" cy="222249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figuras/imss_rangos_uma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 los puestos de trabajo por rango salarial en UMA, CDMX.</w:t>
      </w:r>
    </w:p>
    <w:bookmarkEnd w:id="100"/>
    <w:bookmarkStart w:id="104" w:name="fig:imss_salario"/>
    <w:p>
      <w:pPr>
        <w:pStyle w:val="CaptionedFigure"/>
      </w:pPr>
      <w:r>
        <w:drawing>
          <wp:inline>
            <wp:extent cx="5334000" cy="222249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figuras/imss_salario_subdelegacione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Salario diario promedio (pesos corrientes) por subdelegación y promedio de la CDMX.</w:t>
      </w:r>
    </w:p>
    <w:bookmarkEnd w:id="104"/>
    <w:bookmarkEnd w:id="105"/>
    <w:bookmarkEnd w:id="106"/>
    <w:bookmarkStart w:id="111" w:name="ocupación-hotelera"/>
    <w:p>
      <w:pPr>
        <w:pStyle w:val="Heading2"/>
      </w:pPr>
      <w:r>
        <w:t xml:space="preserve">Ocupación hotelera</w:t>
      </w:r>
    </w:p>
    <w:p>
      <w:pPr>
        <w:pStyle w:val="FirstParagraph"/>
      </w:pPr>
      <w:r>
        <w:t xml:space="preserve">La serie mensual del porcentaje de ocupación hotelera (octubre de 2018 a julio de 2024) no tiene</w:t>
      </w:r>
      <w:r>
        <w:t xml:space="preserve"> </w:t>
      </w:r>
      <w:r>
        <w:t xml:space="preserve">vacíos, meses faltantes, duplicados ni valores fuera del rango 0–100 %. Los valores de abril a</w:t>
      </w:r>
      <w:r>
        <w:t xml:space="preserve"> </w:t>
      </w:r>
      <w:r>
        <w:t xml:space="preserve">junio de 2020 (1.6 a 3.4 %) son reales, porque corresponden al confinamiento, y se conservan. La</w:t>
      </w:r>
      <w:r>
        <w:t xml:space="preserve"> </w:t>
      </w:r>
      <w:r>
        <w:t xml:space="preserve">limpieza, hecha en el notebook 01, consistió en tres pasos: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Redondeo a dos decimales.</w:t>
      </w:r>
      <w:r>
        <w:t xml:space="preserve"> </w:t>
      </w:r>
      <w:r>
        <w:t xml:space="preserve">47 de los 70 valores, entre febrero de 2020 y abril de</w:t>
      </w:r>
      <w:r>
        <w:t xml:space="preserve"> </w:t>
      </w:r>
      <w:r>
        <w:t xml:space="preserve">2024, traían más de dos decimales. Los demás traían dos. Esto sugiere que la fuente cambió</w:t>
      </w:r>
      <w:r>
        <w:t xml:space="preserve"> </w:t>
      </w:r>
      <w:r>
        <w:t xml:space="preserve">su forma de calcular el dato al inicio de la pandemia.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Fecha al primer día del mes,</w:t>
      </w:r>
      <w:r>
        <w:t xml:space="preserve"> </w:t>
      </w:r>
      <w:r>
        <w:t xml:space="preserve">en lugar del último, para poder unirla con las demás</w:t>
      </w:r>
      <w:r>
        <w:t xml:space="preserve"> </w:t>
      </w:r>
      <w:r>
        <w:t xml:space="preserve">fuentes.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Nombre de columna</w:t>
      </w:r>
      <w:r>
        <w:t xml:space="preserve"> </w:t>
      </w:r>
      <w:r>
        <w:rPr>
          <w:rStyle w:val="VerbatimChar"/>
        </w:rPr>
        <w:t xml:space="preserve">ocupacion_pct</w:t>
      </w:r>
      <w:r>
        <w:t xml:space="preserve">.</w:t>
      </w:r>
    </w:p>
    <w:p>
      <w:pPr>
        <w:pStyle w:val="FirstParagraph"/>
      </w:pPr>
      <w:r>
        <w:t xml:space="preserve">El resultado se guardó en</w:t>
      </w:r>
      <w:r>
        <w:t xml:space="preserve"> </w:t>
      </w:r>
      <w:r>
        <w:rPr>
          <w:rStyle w:val="VerbatimChar"/>
        </w:rPr>
        <w:t xml:space="preserve">data/interim/hoteles_mes.csv</w:t>
      </w:r>
      <w:r>
        <w:t xml:space="preserve">. La ocupación promedio fue de</w:t>
      </w:r>
      <w:r>
        <w:t xml:space="preserve"> </w:t>
      </w:r>
      <w:r>
        <w:t xml:space="preserve">67.7 % en 2019. Bajó a 1.55 % en mayo de 2020 y en 2023 fue de 63.6 %, es decir, unos 4 puntos</w:t>
      </w:r>
      <w:r>
        <w:t xml:space="preserve"> </w:t>
      </w:r>
      <w:r>
        <w:t xml:space="preserve">por debajo del nivel previo a la pandemia. Queda pendiente estimar 2016 a septiembre de 2018 con</w:t>
      </w:r>
      <w:r>
        <w:t xml:space="preserve"> </w:t>
      </w:r>
      <w:r>
        <w:rPr>
          <w:i/>
          <w:iCs/>
        </w:rPr>
        <w:t xml:space="preserve">backcasting</w:t>
      </w:r>
      <w:r>
        <w:t xml:space="preserve">, en el paso de completar (Figura </w:t>
      </w:r>
      <w:hyperlink w:anchor="fig:hoteles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110" w:name="fig:hoteles"/>
    <w:p>
      <w:pPr>
        <w:pStyle w:val="CaptionedFigure"/>
      </w:pPr>
      <w:r>
        <w:drawing>
          <wp:inline>
            <wp:extent cx="5334000" cy="177799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figuras/hoteles_ocupacio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Ocupación hotelera mensual en la CDMX. La línea punteada es el promedio de 2019.</w:t>
      </w:r>
    </w:p>
    <w:bookmarkEnd w:id="110"/>
    <w:bookmarkEnd w:id="111"/>
    <w:bookmarkStart w:id="132" w:name="hechos-de-tránsito"/>
    <w:p>
      <w:pPr>
        <w:pStyle w:val="Heading2"/>
      </w:pPr>
      <w:r>
        <w:t xml:space="preserve">Hechos de tránsito</w:t>
      </w:r>
    </w:p>
    <w:p>
      <w:pPr>
        <w:pStyle w:val="FirstParagraph"/>
      </w:pPr>
      <w:r>
        <w:t xml:space="preserve">Se unieron la serie ampliada (2018–2023) y la de 2024, y se construyó una tabla con el número de</w:t>
      </w:r>
      <w:r>
        <w:t xml:space="preserve"> </w:t>
      </w:r>
      <w:r>
        <w:t xml:space="preserve">accidentes por mes, alcaldía y tipo, junto con las personas lesionadas y fallecidas. Son 8,064 filas:</w:t>
      </w:r>
      <w:r>
        <w:t xml:space="preserve"> </w:t>
      </w:r>
      <w:r>
        <w:t xml:space="preserve">84 meses por 16 alcaldías por 6 tipos. Las combinaciones sin accidentes se registran como 0, porque no</w:t>
      </w:r>
      <w:r>
        <w:t xml:space="preserve"> </w:t>
      </w:r>
      <w:r>
        <w:t xml:space="preserve">son datos faltantes. El notebook 01 incluye al final de la sección una tabla con todos los errores</w:t>
      </w:r>
      <w:r>
        <w:t xml:space="preserve"> </w:t>
      </w:r>
      <w:r>
        <w:t xml:space="preserve">encontrados, los registros afectados y la decisión tomada. Los principales fueron: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Formatos distintos</w:t>
      </w:r>
      <w:r>
        <w:t xml:space="preserve"> </w:t>
      </w:r>
      <w:r>
        <w:t xml:space="preserve">de fecha (aaaa-mm-dd frente a dd/mm/aaaa) y de hora entre los</w:t>
      </w:r>
      <w:r>
        <w:t xml:space="preserve"> </w:t>
      </w:r>
      <w:r>
        <w:t xml:space="preserve">dos archivos.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Folio</w:t>
      </w:r>
      <w:r>
        <w:rPr>
          <w:b/>
          <w:bCs/>
        </w:rPr>
        <w:t xml:space="preserve"> </w:t>
      </w:r>
      <w:r>
        <w:rPr>
          <w:b/>
          <w:bCs/>
        </w:rPr>
        <w:t xml:space="preserve">“SD”</w:t>
      </w:r>
      <w:r>
        <w:t xml:space="preserve"> </w:t>
      </w:r>
      <w:r>
        <w:t xml:space="preserve">(sin dato) en 7,288 registros, casi todos de 2018. Los folios</w:t>
      </w:r>
      <w:r>
        <w:t xml:space="preserve"> </w:t>
      </w:r>
      <w:r>
        <w:t xml:space="preserve">repetidos corresponden a accidentes distintos, así que se contaron filas y no folios.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28 duplicados reales</w:t>
      </w:r>
      <w:r>
        <w:t xml:space="preserve">, con la misma fecha, hora, tipo y coordenadas. Se eliminaron.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Nombres de alcaldía no estándar</w:t>
      </w:r>
      <w:r>
        <w:t xml:space="preserve">, como</w:t>
      </w:r>
      <w:r>
        <w:t xml:space="preserve"> </w:t>
      </w:r>
      <w:r>
        <w:t xml:space="preserve">“GUSTAVO A MADERO”</w:t>
      </w:r>
      <w:r>
        <w:t xml:space="preserve">,</w:t>
      </w:r>
      <w:r>
        <w:t xml:space="preserve"> </w:t>
      </w:r>
      <w:r>
        <w:t xml:space="preserve">“CUAJIMALPA”</w:t>
      </w:r>
      <w:r>
        <w:t xml:space="preserve"> </w:t>
      </w:r>
      <w:r>
        <w:t xml:space="preserve">o la errata</w:t>
      </w:r>
      <w:r>
        <w:t xml:space="preserve"> </w:t>
      </w:r>
      <w:r>
        <w:t xml:space="preserve">“CUAHUTEMOC”</w:t>
      </w:r>
      <w:r>
        <w:t xml:space="preserve">, y una avenida registrada como alcaldía</w:t>
      </w:r>
      <w:r>
        <w:t xml:space="preserve"> </w:t>
      </w:r>
      <w:r>
        <w:t xml:space="preserve">(</w:t>
      </w:r>
      <w:r>
        <w:t xml:space="preserve">“AV INSURGENTES”</w:t>
      </w:r>
      <w:r>
        <w:t xml:space="preserve">). Se unificaron a la clave INEGI; la avenida se asignó por</w:t>
      </w:r>
      <w:r>
        <w:t xml:space="preserve"> </w:t>
      </w:r>
      <w:r>
        <w:t xml:space="preserve">coordenadas.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El nombre de la alcaldía coincide con las coordenadas en el 95.8 % de los casos</w:t>
      </w:r>
      <w:r>
        <w:t xml:space="preserve">,</w:t>
      </w:r>
      <w:r>
        <w:t xml:space="preserve"> </w:t>
      </w:r>
      <w:r>
        <w:t xml:space="preserve">frente al 99.7 % de la FGJ. Se conservó la alcaldía del registro. La diferencia</w:t>
      </w:r>
      <w:r>
        <w:t xml:space="preserve"> </w:t>
      </w:r>
      <w:r>
        <w:t xml:space="preserve">probablemente se debe a accidentes en los límites entre alcaldías.</w:t>
      </w:r>
    </w:p>
    <w:bookmarkStart w:id="112" w:name="tab:transito"/>
    <w:p>
      <w:pPr>
        <w:pStyle w:val="TableCaption"/>
      </w:pPr>
      <w:r>
        <w:t xml:space="preserve">Hechos de tránsito por año (164,706 accidentes).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Hechos de tránsito por año (164,706 accidentes).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Choque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Atropellado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Caída de ciclista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Fallecidos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</w:t>
            </w:r>
          </w:p>
        </w:tc>
      </w:tr>
    </w:tbl>
    <w:bookmarkEnd w:id="112"/>
    <w:bookmarkStart w:id="113" w:name="tabla-diaria."/>
    <w:p>
      <w:pPr>
        <w:pStyle w:val="Heading4"/>
      </w:pPr>
      <w:r>
        <w:t xml:space="preserve">Tabla diaria.</w:t>
      </w:r>
    </w:p>
    <w:p>
      <w:pPr>
        <w:pStyle w:val="FirstParagraph"/>
      </w:pPr>
      <w:r>
        <w:t xml:space="preserve">Por si el análisis la requiere, se generó también</w:t>
      </w:r>
      <w:r>
        <w:t xml:space="preserve"> </w:t>
      </w:r>
      <w:r>
        <w:rPr>
          <w:rStyle w:val="VerbatimChar"/>
        </w:rPr>
        <w:t xml:space="preserve">transito_alcaldia_dia</w:t>
      </w:r>
      <w:r>
        <w:t xml:space="preserve">, con los mismos accidentes por día, alcaldía y tipo: 245,472 filas</w:t>
      </w:r>
      <w:r>
        <w:t xml:space="preserve"> </w:t>
      </w:r>
      <w:r>
        <w:t xml:space="preserve">(2,557 días por 16 alcaldías por 6 tipos). Sus sumas coinciden mes por mes con la tabla mensual. No</w:t>
      </w:r>
      <w:r>
        <w:t xml:space="preserve"> </w:t>
      </w:r>
      <w:r>
        <w:t xml:space="preserve">falta ningún día, pero siete días tienen menos del 40 % de los registros normales según la mediana</w:t>
      </w:r>
      <w:r>
        <w:t xml:space="preserve"> </w:t>
      </w:r>
      <w:r>
        <w:t xml:space="preserve">móvil de 29 días. Por ejemplo, el 7 de mayo de 2018 tiene 4 accidentes y el 26 de junio de 2023 tiene</w:t>
      </w:r>
      <w:r>
        <w:t xml:space="preserve"> </w:t>
      </w:r>
      <w:r>
        <w:t xml:space="preserve">10, cuando lo normal es alrededor de 30 y 80. Probablemente son días con registro incompleto: se</w:t>
      </w:r>
      <w:r>
        <w:t xml:space="preserve"> </w:t>
      </w:r>
      <w:r>
        <w:t xml:space="preserve">conservan y se marcan con la columna</w:t>
      </w:r>
      <w:r>
        <w:t xml:space="preserve"> </w:t>
      </w:r>
      <w:r>
        <w:rPr>
          <w:rStyle w:val="VerbatimChar"/>
        </w:rPr>
        <w:t xml:space="preserve">registro_bajo</w:t>
      </w:r>
      <w:r>
        <w:t xml:space="preserve">.</w:t>
      </w:r>
    </w:p>
    <w:bookmarkEnd w:id="113"/>
    <w:bookmarkStart w:id="114" w:name="problemas-detectados-al-graficar."/>
    <w:p>
      <w:pPr>
        <w:pStyle w:val="Heading4"/>
      </w:pPr>
      <w:r>
        <w:t xml:space="preserve">Problemas detectados al graficar.</w:t>
      </w:r>
    </w:p>
    <w:p>
      <w:pPr>
        <w:pStyle w:val="FirstParagraph"/>
      </w:pPr>
      <w:r>
        <w:t xml:space="preserve">Las gráficas revelaron dos cortes de registro que</w:t>
      </w:r>
      <w:r>
        <w:t xml:space="preserve"> </w:t>
      </w:r>
      <w:r>
        <w:t xml:space="preserve">no se veían en las tablas, y que se agregaron a la tabla de errores del notebook: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Caídas de ciclista:</w:t>
      </w:r>
      <w:r>
        <w:t xml:space="preserve"> </w:t>
      </w:r>
      <w:r>
        <w:t xml:space="preserve">pasan de unas 11 a unas 65 al mes en</w:t>
      </w:r>
      <w:r>
        <w:t xml:space="preserve"> </w:t>
      </w:r>
      <w:r>
        <w:rPr>
          <w:i/>
          <w:iCs/>
        </w:rPr>
        <w:t xml:space="preserve">febrero de 2020</w:t>
      </w:r>
      <w:r>
        <w:t xml:space="preserve">,</w:t>
      </w:r>
      <w:r>
        <w:t xml:space="preserve"> </w:t>
      </w:r>
      <w:r>
        <w:t xml:space="preserve">antes del confinamiento. Un salto tan brusco y previo a la pandemia indica un cambio en la</w:t>
      </w:r>
      <w:r>
        <w:t xml:space="preserve"> </w:t>
      </w:r>
      <w:r>
        <w:t xml:space="preserve">forma de registrar este tipo de accidente, no un aumento de ciclistas. Por eso no se usa para</w:t>
      </w:r>
      <w:r>
        <w:t xml:space="preserve"> </w:t>
      </w:r>
      <w:r>
        <w:t xml:space="preserve">comparar antes y después.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Primer semestre de 2018:</w:t>
      </w:r>
      <w:r>
        <w:t xml:space="preserve"> </w:t>
      </w:r>
      <w:r>
        <w:t xml:space="preserve">los atropellados son la mitad que en el segundo semestre</w:t>
      </w:r>
      <w:r>
        <w:t xml:space="preserve"> </w:t>
      </w:r>
      <w:r>
        <w:t xml:space="preserve">(unos 230 contra 450 al mes), y en 2018 el 43 % de los registros no tiene folio. El registro</w:t>
      </w:r>
      <w:r>
        <w:t xml:space="preserve"> </w:t>
      </w:r>
      <w:r>
        <w:t xml:space="preserve">parece incompleto, así que la línea base de esta fuente es 2019.</w:t>
      </w:r>
    </w:p>
    <w:bookmarkEnd w:id="114"/>
    <w:bookmarkStart w:id="131" w:name="primeros-resultados.-2"/>
    <w:p>
      <w:pPr>
        <w:pStyle w:val="Heading4"/>
      </w:pPr>
      <w:r>
        <w:t xml:space="preserve">Primeros resultados.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atropellados</w:t>
      </w:r>
      <w:r>
        <w:t xml:space="preserve"> </w:t>
      </w:r>
      <w:r>
        <w:t xml:space="preserve">son el indicador más confiable de esta</w:t>
      </w:r>
      <w:r>
        <w:t xml:space="preserve"> </w:t>
      </w:r>
      <w:r>
        <w:t xml:space="preserve">fuente. Cayeron un 68 % en abril–mayo de 2020 (134 al mes, frente a 424 en 2019) y en 2024</w:t>
      </w:r>
      <w:r>
        <w:t xml:space="preserve"> </w:t>
      </w:r>
      <w:r>
        <w:t xml:space="preserve">volvieron al 95 % del nivel de 2019 (Figura </w:t>
      </w:r>
      <w:hyperlink w:anchor="fig:transito_peatones">
        <w:r>
          <w:rPr>
            <w:rStyle w:val="Hyperlink"/>
          </w:rPr>
          <w:t xml:space="preserve">9</w:t>
        </w:r>
      </w:hyperlink>
      <w:r>
        <w:t xml:space="preserve">). Por alcaldía</w:t>
      </w:r>
      <w:r>
        <w:t xml:space="preserve"> </w:t>
      </w:r>
      <w:r>
        <w:t xml:space="preserve">(Figura </w:t>
      </w:r>
      <w:hyperlink w:anchor="fig:transito_alcaldia">
        <w:r>
          <w:rPr>
            <w:rStyle w:val="Hyperlink"/>
          </w:rPr>
          <w:t xml:space="preserve">10</w:t>
        </w:r>
      </w:hyperlink>
      <w:r>
        <w:t xml:space="preserve">), la caída de 2020 fue mayor en las alcaldías centrales y de</w:t>
      </w:r>
      <w:r>
        <w:t xml:space="preserve"> </w:t>
      </w:r>
      <w:r>
        <w:t xml:space="preserve">oficinas que en las periféricas y populares:</w:t>
      </w:r>
    </w:p>
    <w:p>
      <w:pPr>
        <w:numPr>
          <w:ilvl w:val="0"/>
          <w:numId w:val="1021"/>
        </w:numPr>
      </w:pPr>
      <w:r>
        <w:t xml:space="preserve">Centrales: Coyoacán 38, Miguel Hidalgo 43, Cuauhtémoc 45 y Benito Juárez 48 (2019 = 100).</w:t>
      </w:r>
    </w:p>
    <w:p>
      <w:pPr>
        <w:numPr>
          <w:ilvl w:val="0"/>
          <w:numId w:val="1021"/>
        </w:numPr>
      </w:pPr>
      <w:r>
        <w:t xml:space="preserve">Periféricas: Iztapalapa 63, Gustavo A. Madero 68 e Iztacalco 68.</w:t>
      </w:r>
    </w:p>
    <w:p>
      <w:pPr>
        <w:numPr>
          <w:ilvl w:val="0"/>
          <w:numId w:val="1021"/>
        </w:numPr>
      </w:pPr>
      <w:r>
        <w:t xml:space="preserve">Excepciones: Milpa Alta, periférica, cayó tanto como las centrales (43), y Venustiano</w:t>
      </w:r>
      <w:r>
        <w:t xml:space="preserve"> </w:t>
      </w:r>
      <w:r>
        <w:t xml:space="preserve">Carranza, central, cayó poco (68). Milpa Alta tiene pocos atropellados al año, así que su</w:t>
      </w:r>
      <w:r>
        <w:t xml:space="preserve"> </w:t>
      </w:r>
      <w:r>
        <w:t xml:space="preserve">índice varía mucho.</w:t>
      </w:r>
    </w:p>
    <w:p>
      <w:pPr>
        <w:pStyle w:val="FirstParagraph"/>
      </w:pPr>
      <w:r>
        <w:t xml:space="preserve">Esto es coherente con la hipótesis H4: donde más gente pudo trabajar desde casa, menos personas</w:t>
      </w:r>
      <w:r>
        <w:t xml:space="preserve"> </w:t>
      </w:r>
      <w:r>
        <w:t xml:space="preserve">salieron a la calle. Las muertes en hechos de tránsito se mantuvieron en unas 395 al año entre 2018 y</w:t>
      </w:r>
      <w:r>
        <w:t xml:space="preserve"> </w:t>
      </w:r>
      <w:r>
        <w:t xml:space="preserve">2020 y subieron hasta 533 en 2022 y 2024 (Figura </w:t>
      </w:r>
      <w:hyperlink w:anchor="fig:transito_fallecidos">
        <w:r>
          <w:rPr>
            <w:rStyle w:val="Hyperlink"/>
          </w:rPr>
          <w:t xml:space="preserve">11</w:t>
        </w:r>
      </w:hyperlink>
      <w:r>
        <w:t xml:space="preserve">). El aumento se</w:t>
      </w:r>
      <w:r>
        <w:t xml:space="preserve"> </w:t>
      </w:r>
      <w:r>
        <w:t xml:space="preserve">concentra en los derrapados, típicamente de motocicleta (de 33 a 106), aunque parte puede deberse al</w:t>
      </w:r>
      <w:r>
        <w:t xml:space="preserve"> </w:t>
      </w:r>
      <w:r>
        <w:t xml:space="preserve">cambio de registro.</w:t>
      </w:r>
    </w:p>
    <w:bookmarkStart w:id="118" w:name="fig:transito_tipos"/>
    <w:p>
      <w:pPr>
        <w:pStyle w:val="CaptionedFigure"/>
      </w:pPr>
      <w:r>
        <w:drawing>
          <wp:inline>
            <wp:extent cx="5334000" cy="200025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figuras/transito_tipos_mes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Hechos de tránsito mensuales por tipo. El salto de 2021–2022 se debe en parte al cambio de registro.</w:t>
      </w:r>
    </w:p>
    <w:bookmarkEnd w:id="118"/>
    <w:bookmarkStart w:id="122" w:name="fig:transito_peatones"/>
    <w:p>
      <w:pPr>
        <w:pStyle w:val="CaptionedFigure"/>
      </w:pPr>
      <w:r>
        <w:drawing>
          <wp:inline>
            <wp:extent cx="5334000" cy="288925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figuras/transito_peatones_ciclistas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Atropellados y caídas de ciclista por mes. Obsérvese el corte de registro de febrero de 2020 en las caídas de ciclista.</w:t>
      </w:r>
    </w:p>
    <w:bookmarkEnd w:id="122"/>
    <w:bookmarkStart w:id="126" w:name="fig:transito_alcaldia"/>
    <w:p>
      <w:pPr>
        <w:pStyle w:val="CaptionedFigure"/>
      </w:pPr>
      <w:r>
        <w:drawing>
          <wp:inline>
            <wp:extent cx="5334000" cy="37338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figuras/transito_atropellados_alcaldi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Atropellados por alcaldía, índice 2019 = 100. Los valores de 2018 están subestimados por registro incompleto.</w:t>
      </w:r>
    </w:p>
    <w:bookmarkEnd w:id="126"/>
    <w:bookmarkStart w:id="130" w:name="fig:transito_fallecidos"/>
    <w:p>
      <w:pPr>
        <w:pStyle w:val="CaptionedFigure"/>
      </w:pPr>
      <w:r>
        <w:drawing>
          <wp:inline>
            <wp:extent cx="5334000" cy="24003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figuras/transito_fallecidos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Personas fallecidas en hechos de tránsito por año y tipo de accidente.</w:t>
      </w:r>
    </w:p>
    <w:bookmarkEnd w:id="130"/>
    <w:bookmarkEnd w:id="131"/>
    <w:bookmarkEnd w:id="132"/>
    <w:bookmarkStart w:id="151" w:name="afluencia-del-metro"/>
    <w:p>
      <w:pPr>
        <w:pStyle w:val="Heading2"/>
      </w:pPr>
      <w:r>
        <w:t xml:space="preserve">Afluencia del Metro</w:t>
      </w:r>
    </w:p>
    <w:p>
      <w:pPr>
        <w:pStyle w:val="FirstParagraph"/>
      </w:pPr>
      <w:r>
        <w:t xml:space="preserve">La limpieza se hizo por pasos en el notebook 01, a partir de</w:t>
      </w:r>
      <w:r>
        <w:t xml:space="preserve"> </w:t>
      </w:r>
      <w:r>
        <w:rPr>
          <w:rStyle w:val="VerbatimChar"/>
        </w:rPr>
        <w:t xml:space="preserve">afluencia_metro_simple.csv</w:t>
      </w:r>
      <w:r>
        <w:t xml:space="preserve"> </w:t>
      </w:r>
      <w:r>
        <w:t xml:space="preserve">(1,180,920 registros: 195 estaciones por día entre enero de 2010 y julio de 2026). La versión</w:t>
      </w:r>
      <w:r>
        <w:t xml:space="preserve"> </w:t>
      </w:r>
      <w:r>
        <w:t xml:space="preserve">desglosada por tipo de pago solo existe desde 2021 y suma exactamente lo mismo día por día, así que no</w:t>
      </w:r>
      <w:r>
        <w:t xml:space="preserve"> </w:t>
      </w:r>
      <w:r>
        <w:t xml:space="preserve">se usó. No hay celdas vacías, días faltantes ni valores negativos; los problemas estaban en los</w:t>
      </w:r>
      <w:r>
        <w:t xml:space="preserve"> </w:t>
      </w:r>
      <w:r>
        <w:t xml:space="preserve">nombres y en el significado de los ceros (Tabla </w:t>
      </w:r>
      <w:hyperlink w:anchor="tab:limpieza_metro">
        <w:r>
          <w:rPr>
            <w:rStyle w:val="Hyperlink"/>
          </w:rPr>
          <w:t xml:space="preserve">14</w:t>
        </w:r>
      </w:hyperlink>
      <w:r>
        <w:t xml:space="preserve">).</w:t>
      </w:r>
    </w:p>
    <w:bookmarkStart w:id="133" w:name="tab:limpieza_metro"/>
    <w:p>
      <w:pPr>
        <w:pStyle w:val="TableCaption"/>
      </w:pPr>
      <w:r>
        <w:t xml:space="preserve">Errores encontrados en la limpieza del Metro.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Errores encontrados en la limpieza del Metro."/>
      </w:tblPr>
      <w:tblGrid>
        <w:gridCol w:w="312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escrita</w:t>
            </w:r>
            <w:r>
              <w:t xml:space="preserve"> </w:t>
            </w:r>
            <w:r>
              <w:rPr>
                <w:rStyle w:val="VerbatimChar"/>
              </w:rPr>
              <w:t xml:space="preserve">LÃ</w:t>
            </w:r>
            <w:r>
              <w:rPr>
                <w:rStyle w:val="VerbatimChar"/>
              </w:rPr>
              <w:softHyphen/>
            </w:r>
            <w:r>
              <w:rPr>
                <w:rStyle w:val="VerbatimChar"/>
              </w:rPr>
              <w:t xml:space="preserve">nea N</w:t>
            </w:r>
            <w:r>
              <w:t xml:space="preserve"> </w:t>
            </w:r>
            <w:r>
              <w:t xml:space="preserve">(2021–2023) y</w:t>
            </w:r>
            <w:r>
              <w:t xml:space="preserve"> </w:t>
            </w:r>
            <w:r>
              <w:rPr>
                <w:rStyle w:val="VerbatimChar"/>
              </w:rPr>
              <w:t xml:space="preserve">Linea N</w:t>
            </w:r>
            <w:r>
              <w:t xml:space="preserve"> </w:t>
            </w:r>
            <w:r>
              <w:t xml:space="preserve">(resto)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171,795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repara y se unifica a</w:t>
            </w:r>
            <w:r>
              <w:t xml:space="preserve"> </w:t>
            </w:r>
            <w:r>
              <w:rPr>
                <w:rStyle w:val="VerbatimChar"/>
              </w:rPr>
              <w:t xml:space="preserve">Línea N</w:t>
            </w:r>
            <w:r>
              <w:t xml:space="preserve"> </w:t>
            </w:r>
            <w:r>
              <w:t xml:space="preserve">(24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 estación con</w:t>
            </w:r>
            <w:r>
              <w:t xml:space="preserve"> </w:t>
            </w:r>
            <w:r>
              <w:rPr>
                <w:i/>
                <w:iCs/>
              </w:rPr>
              <w:t xml:space="preserve">mojibake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CatÃ³lica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379,245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repara con</w:t>
            </w:r>
            <w:r>
              <w:t xml:space="preserve"> </w:t>
            </w:r>
            <w:r>
              <w:rPr>
                <w:rStyle w:val="VerbatimChar"/>
              </w:rPr>
              <w:t xml:space="preserve">ftfy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Gómez Farias / Peñón viejo (desde 2023-06)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unifican a la escritura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 B, dic-2020:</w:t>
            </w:r>
            <w:r>
              <w:t xml:space="preserve"> </w:t>
            </w:r>
            <w:r>
              <w:t xml:space="preserve">“Oceanía”</w:t>
            </w:r>
            <w:r>
              <w:t xml:space="preserve"> </w:t>
            </w:r>
            <w:r>
              <w:t xml:space="preserve">dos veces por día y falta</w:t>
            </w:r>
            <w:r>
              <w:t xml:space="preserve"> </w:t>
            </w:r>
            <w:r>
              <w:t xml:space="preserve">“Deportivo Oceanía”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2.º registro se reasigna a Deportivo Oceanía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Ceros de la Línea 12 antes de su inauguración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Vacío; estado</w:t>
            </w:r>
            <w:r>
              <w:t xml:space="preserve"> </w:t>
            </w:r>
            <w:r>
              <w:rPr>
                <w:rStyle w:val="VerbatimChar"/>
              </w:rPr>
              <w:t xml:space="preserve">no_existia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completo en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0 (servicio gratuito: 16–17 mar 2016 y 20–27 sep 2017)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Vacío; estado</w:t>
            </w:r>
            <w:r>
              <w:t xml:space="preserve"> </w:t>
            </w:r>
            <w:r>
              <w:rPr>
                <w:rStyle w:val="VerbatimChar"/>
              </w:rPr>
              <w:t xml:space="preserve">sin_registro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cerrada (COVID, obras de L1 y L12, incendio del PCC)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0 real; estado</w:t>
            </w:r>
            <w:r>
              <w:t xml:space="preserve"> </w:t>
            </w:r>
            <w:r>
              <w:rPr>
                <w:rStyle w:val="VerbatimChar"/>
              </w:rPr>
              <w:t xml:space="preserve">cerrada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Días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4 veces la mediana móvil de 29 días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conservan (12 de diciembre, conciertos, reaperturas)</w:t>
            </w:r>
          </w:p>
        </w:tc>
      </w:tr>
    </w:tbl>
    <w:bookmarkEnd w:id="133"/>
    <w:bookmarkStart w:id="134" w:name="duplicado-de-oceanía."/>
    <w:p>
      <w:pPr>
        <w:pStyle w:val="Heading4"/>
      </w:pPr>
      <w:r>
        <w:t xml:space="preserve">Duplicado de Oceanía.</w:t>
      </w:r>
    </w:p>
    <w:p>
      <w:pPr>
        <w:pStyle w:val="FirstParagraph"/>
      </w:pPr>
      <w:r>
        <w:t xml:space="preserve">En diciembre de 2020 la estación Oceanía de la Línea B aparece dos</w:t>
      </w:r>
      <w:r>
        <w:t xml:space="preserve"> </w:t>
      </w:r>
      <w:r>
        <w:t xml:space="preserve">veces por día y Deportivo Oceanía no aparece. El primer registro promedia 5,307 viajes, parecido a</w:t>
      </w:r>
      <w:r>
        <w:t xml:space="preserve"> </w:t>
      </w:r>
      <w:r>
        <w:t xml:space="preserve">Oceanía en noviembre (5,625), y el segundo 7,054, parecido a Deportivo Oceanía (7,310). Además, el</w:t>
      </w:r>
      <w:r>
        <w:t xml:space="preserve"> </w:t>
      </w:r>
      <w:r>
        <w:t xml:space="preserve">segundo ocupa en el archivo el lugar de Deportivo Oceanía en el orden de la línea. Por eso se trató</w:t>
      </w:r>
      <w:r>
        <w:t xml:space="preserve"> </w:t>
      </w:r>
      <w:r>
        <w:t xml:space="preserve">como un error de etiqueta y se reasignó en lugar de borrarse.</w:t>
      </w:r>
    </w:p>
    <w:bookmarkEnd w:id="134"/>
    <w:bookmarkStart w:id="135" w:name="tres-tipos-de-ceros."/>
    <w:p>
      <w:pPr>
        <w:pStyle w:val="Heading4"/>
      </w:pPr>
      <w:r>
        <w:t xml:space="preserve">Tres tipos de ceros.</w:t>
      </w:r>
    </w:p>
    <w:p>
      <w:pPr>
        <w:pStyle w:val="FirstParagraph"/>
      </w:pPr>
      <w:r>
        <w:t xml:space="preserve">Un cero puede significar que la estación no existía, que el Metro</w:t>
      </w:r>
      <w:r>
        <w:t xml:space="preserve"> </w:t>
      </w:r>
      <w:r>
        <w:t xml:space="preserve">funcionó sin contar pasajeros o que la estación estuvo cerrada. Solo el último es un cero real. Los</w:t>
      </w:r>
      <w:r>
        <w:t xml:space="preserve"> </w:t>
      </w:r>
      <w:r>
        <w:t xml:space="preserve">días sin conteo se detectaron porque el total de todo el sistema fue menor al 10 % de su mediana</w:t>
      </w:r>
      <w:r>
        <w:t xml:space="preserve"> </w:t>
      </w:r>
      <w:r>
        <w:t xml:space="preserve">móvil. Coinciden con el servicio gratuito posterior al sismo del 19-S y con la contingencia ambiental</w:t>
      </w:r>
      <w:r>
        <w:t xml:space="preserve"> </w:t>
      </w:r>
      <w:r>
        <w:t xml:space="preserve">de marzo de 2016. Se dejaron vacíos para no simular que nadie usó el Metro, y los promedios mensuales</w:t>
      </w:r>
      <w:r>
        <w:t xml:space="preserve"> </w:t>
      </w:r>
      <w:r>
        <w:t xml:space="preserve">se calculan solo con los días que tienen dato.</w:t>
      </w:r>
    </w:p>
    <w:bookmarkEnd w:id="135"/>
    <w:bookmarkStart w:id="136" w:name="salidas.-1"/>
    <w:p>
      <w:pPr>
        <w:pStyle w:val="Heading4"/>
      </w:pPr>
      <w:r>
        <w:t xml:space="preserve">Salidas.</w:t>
      </w:r>
    </w:p>
    <w:p>
      <w:pPr>
        <w:pStyle w:val="FirstParagraph"/>
      </w:pPr>
      <w:r>
        <w:t xml:space="preserve">La tabla por estación y día supera el límite de filas de Excel, así que se</w:t>
      </w:r>
      <w:r>
        <w:t xml:space="preserve"> </w:t>
      </w:r>
      <w:r>
        <w:t xml:space="preserve">guardaron tres agregados en CSV y Parquet:</w:t>
      </w:r>
      <w:r>
        <w:t xml:space="preserve"> </w:t>
      </w:r>
      <w:r>
        <w:rPr>
          <w:rStyle w:val="VerbatimChar"/>
        </w:rPr>
        <w:t xml:space="preserve">metro_linea_dia</w:t>
      </w:r>
      <w:r>
        <w:t xml:space="preserve"> </w:t>
      </w:r>
      <w:r>
        <w:t xml:space="preserve">(71,633 filas),</w:t>
      </w:r>
      <w:r>
        <w:t xml:space="preserve"> </w:t>
      </w:r>
      <w:r>
        <w:rPr>
          <w:rStyle w:val="VerbatimChar"/>
        </w:rPr>
        <w:t xml:space="preserve">metro_estacion_mes</w:t>
      </w:r>
      <w:r>
        <w:t xml:space="preserve"> </w:t>
      </w:r>
      <w:r>
        <w:t xml:space="preserve">(38,125) y</w:t>
      </w:r>
      <w:r>
        <w:t xml:space="preserve"> </w:t>
      </w:r>
      <w:r>
        <w:rPr>
          <w:rStyle w:val="VerbatimChar"/>
        </w:rPr>
        <w:t xml:space="preserve">metro_mes</w:t>
      </w:r>
      <w:r>
        <w:t xml:space="preserve"> </w:t>
      </w:r>
      <w:r>
        <w:t xml:space="preserve">(199 meses, con el total, los días con</w:t>
      </w:r>
      <w:r>
        <w:t xml:space="preserve"> </w:t>
      </w:r>
      <w:r>
        <w:t xml:space="preserve">dato, las estaciones cerradas en promedio y una columna por línea). Los totales de las tres tablas</w:t>
      </w:r>
      <w:r>
        <w:t xml:space="preserve"> </w:t>
      </w:r>
      <w:r>
        <w:t xml:space="preserve">coinciden con los de la base depurada (23,155 millones de viajes).</w:t>
      </w:r>
    </w:p>
    <w:bookmarkEnd w:id="136"/>
    <w:bookmarkStart w:id="137" w:name="cierres-de-líneas.-1"/>
    <w:p>
      <w:pPr>
        <w:pStyle w:val="Heading4"/>
      </w:pPr>
      <w:r>
        <w:t xml:space="preserve">Cierres de líneas.</w:t>
      </w:r>
    </w:p>
    <w:p>
      <w:pPr>
        <w:pStyle w:val="FirstParagraph"/>
      </w:pPr>
      <w:r>
        <w:t xml:space="preserve">La Línea 12 estuvo cerrada por completo desde el colapso del 3 de</w:t>
      </w:r>
      <w:r>
        <w:t xml:space="preserve"> </w:t>
      </w:r>
      <w:r>
        <w:t xml:space="preserve">mayo de 2021, reabrió por tramos desde enero de 2023 y por completo en enero de 2024. La Línea 1</w:t>
      </w:r>
      <w:r>
        <w:t xml:space="preserve"> </w:t>
      </w:r>
      <w:r>
        <w:t xml:space="preserve">cerró 12 estaciones por modernización desde julio de 2022 y reabrió por etapas hasta diciembre de 2025</w:t>
      </w:r>
      <w:r>
        <w:t xml:space="preserve"> </w:t>
      </w:r>
      <w:r>
        <w:t xml:space="preserve">(Figura </w:t>
      </w:r>
      <w:hyperlink w:anchor="fig:metro_cierres">
        <w:r>
          <w:rPr>
            <w:rStyle w:val="Hyperlink"/>
          </w:rPr>
          <w:t xml:space="preserve">14</w:t>
        </w:r>
      </w:hyperlink>
      <w:r>
        <w:t xml:space="preserve">). Estos cierres quedan marcados en los datos para no confundirlos con</w:t>
      </w:r>
      <w:r>
        <w:t xml:space="preserve"> </w:t>
      </w:r>
      <w:r>
        <w:t xml:space="preserve">la falta de recuperación de la demanda.</w:t>
      </w:r>
    </w:p>
    <w:bookmarkEnd w:id="137"/>
    <w:bookmarkStart w:id="150" w:name="primeros-resultados.-3"/>
    <w:p>
      <w:pPr>
        <w:pStyle w:val="Heading4"/>
      </w:pPr>
      <w:r>
        <w:t xml:space="preserve">Primeros resultados.</w:t>
      </w:r>
    </w:p>
    <w:p>
      <w:pPr>
        <w:pStyle w:val="FirstParagraph"/>
      </w:pPr>
      <w:r>
        <w:t xml:space="preserve">En mayo de 2020 la afluencia diaria fue el 26 % de la de 2019, y</w:t>
      </w:r>
      <w:r>
        <w:t xml:space="preserve"> </w:t>
      </w:r>
      <w:r>
        <w:t xml:space="preserve">el promedio de 2020 fue el 56 %, lo que apoya la hipótesis H1 (Figura </w:t>
      </w:r>
      <w:hyperlink w:anchor="fig:metro_mensual">
        <w:r>
          <w:rPr>
            <w:rStyle w:val="Hyperlink"/>
          </w:rPr>
          <w:t xml:space="preserve">12</w:t>
        </w:r>
      </w:hyperlink>
      <w:r>
        <w:t xml:space="preserve">). En</w:t>
      </w:r>
      <w:r>
        <w:t xml:space="preserve"> </w:t>
      </w:r>
      <w:r>
        <w:t xml:space="preserve">2025 el Metro llegó al 79 % de 2019. Sin las Líneas 1 y 12 llega al 83 %: los cierres por obra</w:t>
      </w:r>
      <w:r>
        <w:t xml:space="preserve"> </w:t>
      </w:r>
      <w:r>
        <w:t xml:space="preserve">explican solo una parte de la diferencia y la demanda todavía no ha vuelto. La recuperación también</w:t>
      </w:r>
      <w:r>
        <w:t xml:space="preserve"> </w:t>
      </w:r>
      <w:r>
        <w:t xml:space="preserve">es desigual entre líneas (Figura </w:t>
      </w:r>
      <w:hyperlink w:anchor="fig:metro_lineas">
        <w:r>
          <w:rPr>
            <w:rStyle w:val="Hyperlink"/>
          </w:rPr>
          <w:t xml:space="preserve">13</w:t>
        </w:r>
      </w:hyperlink>
      <w:r>
        <w:t xml:space="preserve">). En 2025 las Líneas A, 9, 8, 12 y 4 están</w:t>
      </w:r>
      <w:r>
        <w:t xml:space="preserve"> </w:t>
      </w:r>
      <w:r>
        <w:t xml:space="preserve">entre 87 y 96, y las Líneas 2, 3, 5, 6, 7 y B entre 73 y 82. La Línea 1, todavía en obras</w:t>
      </w:r>
      <w:r>
        <w:t xml:space="preserve"> </w:t>
      </w:r>
      <w:r>
        <w:t xml:space="preserve">buena parte del año, llegó a 51.</w:t>
      </w:r>
    </w:p>
    <w:bookmarkStart w:id="141" w:name="fig:metro_mensual"/>
    <w:p>
      <w:pPr>
        <w:pStyle w:val="CaptionedFigure"/>
      </w:pPr>
      <w:r>
        <w:drawing>
          <wp:inline>
            <wp:extent cx="5334000" cy="200025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figuras/metro_limpio_mensual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Afluencia diaria promedio mensual del Metro, completo y sin las Líneas 1 y 12. Las bandas marcan los periodos de choque, transición y post-pandemia.</w:t>
      </w:r>
    </w:p>
    <w:bookmarkEnd w:id="141"/>
    <w:bookmarkStart w:id="145" w:name="fig:metro_lineas"/>
    <w:p>
      <w:pPr>
        <w:pStyle w:val="CaptionedFigure"/>
      </w:pPr>
      <w:r>
        <w:drawing>
          <wp:inline>
            <wp:extent cx="5334000" cy="3259666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figuras/metro_lineas_indice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Afluencia diaria promedio por línea y año, índice 2019 = 100.</w:t>
      </w:r>
    </w:p>
    <w:bookmarkEnd w:id="145"/>
    <w:bookmarkStart w:id="149" w:name="fig:metro_cierres"/>
    <w:p>
      <w:pPr>
        <w:pStyle w:val="CaptionedFigure"/>
      </w:pPr>
      <w:r>
        <w:drawing>
          <wp:inline>
            <wp:extent cx="5334000" cy="17780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figuras/metro_cierres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Estaciones del Metro cerradas por día. El pico de enero de 2021 corresponde al incendio del Puesto Central de Control.</w:t>
      </w:r>
    </w:p>
    <w:bookmarkEnd w:id="149"/>
    <w:bookmarkEnd w:id="150"/>
    <w:bookmarkEnd w:id="151"/>
    <w:bookmarkStart w:id="159" w:name="casos-positivos-de-covid-19"/>
    <w:p>
      <w:pPr>
        <w:pStyle w:val="Heading2"/>
      </w:pPr>
      <w:r>
        <w:t xml:space="preserve">Casos positivos de COVID-19</w:t>
      </w:r>
    </w:p>
    <w:p>
      <w:pPr>
        <w:pStyle w:val="FirstParagraph"/>
      </w:pPr>
      <w:r>
        <w:t xml:space="preserve">Es la variable de control que mide la intensidad de la pandemia. El archivo tiene una fila por día</w:t>
      </w:r>
      <w:r>
        <w:t xml:space="preserve"> </w:t>
      </w:r>
      <w:r>
        <w:t xml:space="preserve">de toma de muestra entre el 5 de marzo de 2020 y el 8 de abril de 2023, con pruebas y positivos del</w:t>
      </w:r>
      <w:r>
        <w:t xml:space="preserve"> </w:t>
      </w:r>
      <w:r>
        <w:t xml:space="preserve">total de personas atendidas y de los residentes de la CDMX. Se usan los de residentes. No tiene</w:t>
      </w:r>
      <w:r>
        <w:t xml:space="preserve"> </w:t>
      </w:r>
      <w:r>
        <w:t xml:space="preserve">celdas vacías, y las tasas de positividad del archivo están bien calculadas. La limpieza se hizo en</w:t>
      </w:r>
      <w:r>
        <w:t xml:space="preserve"> </w:t>
      </w:r>
      <w:r>
        <w:t xml:space="preserve">el notebook 01 (Tabla </w:t>
      </w:r>
      <w:hyperlink w:anchor="tab:limpieza_covid">
        <w:r>
          <w:rPr>
            <w:rStyle w:val="Hyperlink"/>
          </w:rPr>
          <w:t xml:space="preserve">15</w:t>
        </w:r>
      </w:hyperlink>
      <w:r>
        <w:t xml:space="preserve">).</w:t>
      </w:r>
    </w:p>
    <w:bookmarkStart w:id="152" w:name="tab:limpieza_covid"/>
    <w:p>
      <w:pPr>
        <w:pStyle w:val="TableCaption"/>
      </w:pPr>
      <w:r>
        <w:t xml:space="preserve">Errores encontrados en la limpieza de los casos COVID.</w:t>
      </w:r>
    </w:p>
    <w:tbl>
      <w:tblPr>
        <w:tblStyle w:val="Table"/>
        <w:tblW w:type="pct" w:w="5000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ook w:firstRow="1" w:lastRow="0" w:firstColumn="0" w:lastColumn="0" w:noHBand="0" w:noVBand="0" w:val="0020"/>
        <w:tblCaption w:val="Errores encontrados en la limpieza de los casos COVID."/>
      </w:tblPr>
      <w:tblGrid>
        <w:gridCol w:w="312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Días de marzo de 2020 sin fila (sin muestras tomadas)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agregan con 0 y se marcan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Antes del 5-abr-2020, menos de 70 pruebas por día (arranque del registro)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conservan y se marcan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29-mar-2020: positivos de residentes (6) mayores que el total (5)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sube el total a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Fines de semana con muchas menos pruebas (el domingo, unas 4 veces menos que entre semana)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error: promedio móvil de 7 días y análisis semanal</w:t>
            </w:r>
          </w:p>
        </w:tc>
      </w:tr>
    </w:tbl>
    <w:bookmarkEnd w:id="152"/>
    <w:bookmarkStart w:id="153" w:name="salidas.-2"/>
    <w:p>
      <w:pPr>
        <w:pStyle w:val="Heading4"/>
      </w:pPr>
      <w:r>
        <w:t xml:space="preserve">Salidas.</w:t>
      </w:r>
    </w:p>
    <w:p>
      <w:pPr>
        <w:pStyle w:val="FirstParagraph"/>
      </w:pPr>
      <w:r>
        <w:rPr>
          <w:rStyle w:val="VerbatimChar"/>
        </w:rPr>
        <w:t xml:space="preserve">covid_dia</w:t>
      </w:r>
      <w:r>
        <w:t xml:space="preserve"> </w:t>
      </w:r>
      <w:r>
        <w:t xml:space="preserve">(1,130 días),</w:t>
      </w:r>
      <w:r>
        <w:t xml:space="preserve"> </w:t>
      </w:r>
      <w:r>
        <w:rPr>
          <w:rStyle w:val="VerbatimChar"/>
        </w:rPr>
        <w:t xml:space="preserve">covid_semana</w:t>
      </w:r>
      <w:r>
        <w:t xml:space="preserve"> </w:t>
      </w:r>
      <w:r>
        <w:t xml:space="preserve">(162 semanas, con la</w:t>
      </w:r>
      <w:r>
        <w:t xml:space="preserve"> </w:t>
      </w:r>
      <w:r>
        <w:t xml:space="preserve">misma semana ISO que el semáforo para poder unirlos) y</w:t>
      </w:r>
      <w:r>
        <w:t xml:space="preserve"> </w:t>
      </w:r>
      <w:r>
        <w:rPr>
          <w:rStyle w:val="VerbatimChar"/>
        </w:rPr>
        <w:t xml:space="preserve">covid_mes</w:t>
      </w:r>
      <w:r>
        <w:t xml:space="preserve"> </w:t>
      </w:r>
      <w:r>
        <w:t xml:space="preserve">(38 meses). Las tasas</w:t>
      </w:r>
      <w:r>
        <w:t xml:space="preserve"> </w:t>
      </w:r>
      <w:r>
        <w:t xml:space="preserve">semanales y mensuales se calculan con las sumas del periodo, no como promedio de tasas diarias. La</w:t>
      </w:r>
      <w:r>
        <w:t xml:space="preserve"> </w:t>
      </w:r>
      <w:r>
        <w:t xml:space="preserve">primera y la última semana y el primer y el último mes están incompletos y se marcan. Después de</w:t>
      </w:r>
      <w:r>
        <w:t xml:space="preserve"> </w:t>
      </w:r>
      <w:r>
        <w:t xml:space="preserve">abril de 2023 no hay dato: al integrar se debe dejar vacío, no en 0.</w:t>
      </w:r>
    </w:p>
    <w:bookmarkEnd w:id="153"/>
    <w:bookmarkStart w:id="158" w:name="primeros-resultados.-4"/>
    <w:p>
      <w:pPr>
        <w:pStyle w:val="Heading4"/>
      </w:pPr>
      <w:r>
        <w:t xml:space="preserve">Primeros resultados.</w:t>
      </w:r>
    </w:p>
    <w:p>
      <w:pPr>
        <w:pStyle w:val="FirstParagraph"/>
      </w:pPr>
      <w:r>
        <w:t xml:space="preserve">Se observan cuatro olas grandes (Figura </w:t>
      </w:r>
      <w:hyperlink w:anchor="fig:covid">
        <w:r>
          <w:rPr>
            <w:rStyle w:val="Hyperlink"/>
          </w:rPr>
          <w:t xml:space="preserve">15</w:t>
        </w:r>
      </w:hyperlink>
      <w:r>
        <w:t xml:space="preserve">): la de</w:t>
      </w:r>
      <w:r>
        <w:t xml:space="preserve"> </w:t>
      </w:r>
      <w:r>
        <w:t xml:space="preserve">invierno 2020–2021 (unos 33 mil positivos por semana), Delta (23 mil), Ómicron, que es el máximo de</w:t>
      </w:r>
      <w:r>
        <w:t xml:space="preserve"> </w:t>
      </w:r>
      <w:r>
        <w:t xml:space="preserve">la serie con casi 60 mil en la tercera semana de 2022, y BA.5 a mitad de 2022 (46 mil). La</w:t>
      </w:r>
      <w:r>
        <w:t xml:space="preserve"> </w:t>
      </w:r>
      <w:r>
        <w:t xml:space="preserve">positividad llegó al 45 % a mitad de 2020, al 46 % con Ómicron y al 59 % con BA.5, así que</w:t>
      </w:r>
      <w:r>
        <w:t xml:space="preserve"> </w:t>
      </w:r>
      <w:r>
        <w:t xml:space="preserve">en esos momentos muchos contagios no se detectaban. Por eso, como control, conviene usar la tasa de</w:t>
      </w:r>
      <w:r>
        <w:t xml:space="preserve"> </w:t>
      </w:r>
      <w:r>
        <w:t xml:space="preserve">positividad junto con los positivos.</w:t>
      </w:r>
    </w:p>
    <w:bookmarkStart w:id="157" w:name="fig:covid"/>
    <w:p>
      <w:pPr>
        <w:pStyle w:val="CaptionedFigure"/>
      </w:pPr>
      <w:r>
        <w:drawing>
          <wp:inline>
            <wp:extent cx="5334000" cy="288925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figuras/covid_semanal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Casos positivos de COVID-19 por semana y tasa de positividad (residentes de la CDMX).</w:t>
      </w:r>
    </w:p>
    <w:bookmarkEnd w:id="157"/>
    <w:bookmarkEnd w:id="158"/>
    <w:bookmarkEnd w:id="159"/>
    <w:bookmarkStart w:id="160" w:name="semáforo-epidemiológico"/>
    <w:p>
      <w:pPr>
        <w:pStyle w:val="Heading2"/>
      </w:pPr>
      <w:r>
        <w:t xml:space="preserve">Semáforo epidemiológico</w:t>
      </w:r>
    </w:p>
    <w:p>
      <w:pPr>
        <w:pStyle w:val="FirstParagraph"/>
      </w:pPr>
      <w:r>
        <w:t xml:space="preserve">Es la segunda variable de control: indica qué restricciones estaban vigentes cada semana. El archivo</w:t>
      </w:r>
      <w:r>
        <w:t xml:space="preserve"> </w:t>
      </w:r>
      <w:r>
        <w:t xml:space="preserve">viene en formato ancho, con una fila por entidad y una columna por semana ISO. La limpieza, hecha en el</w:t>
      </w:r>
      <w:r>
        <w:t xml:space="preserve"> </w:t>
      </w:r>
      <w:r>
        <w:t xml:space="preserve">notebook 01, consistió en cuatro pasos: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Filtrar la CDMX</w:t>
      </w:r>
      <w:r>
        <w:t xml:space="preserve"> </w:t>
      </w:r>
      <w:r>
        <w:t xml:space="preserve">y pasar a formato largo, con una fila por semana.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Fecha de la semana:</w:t>
      </w:r>
      <w:r>
        <w:t xml:space="preserve"> </w:t>
      </w:r>
      <w:r>
        <w:t xml:space="preserve">el lunes de cada semana ISO, igual que en</w:t>
      </w:r>
      <w:r>
        <w:t xml:space="preserve"> </w:t>
      </w:r>
      <w:r>
        <w:rPr>
          <w:rStyle w:val="VerbatimChar"/>
        </w:rPr>
        <w:t xml:space="preserve">covid_semana</w:t>
      </w:r>
      <w:r>
        <w:t xml:space="preserve">,</w:t>
      </w:r>
      <w:r>
        <w:t xml:space="preserve"> </w:t>
      </w:r>
      <w:r>
        <w:t xml:space="preserve">para poder unir las dos fuentes.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Semanas faltantes.</w:t>
      </w:r>
      <w:r>
        <w:t xml:space="preserve"> </w:t>
      </w:r>
      <w:r>
        <w:t xml:space="preserve">La revisión con</w:t>
      </w:r>
      <w:r>
        <w:t xml:space="preserve"> </w:t>
      </w:r>
      <w:r>
        <w:rPr>
          <w:rStyle w:val="VerbatimChar"/>
        </w:rPr>
        <w:t xml:space="preserve">isna()</w:t>
      </w:r>
      <w:r>
        <w:t xml:space="preserve"> </w:t>
      </w:r>
      <w:r>
        <w:t xml:space="preserve">no encontró vacíos, pero al</w:t>
      </w:r>
      <w:r>
        <w:t xml:space="preserve"> </w:t>
      </w:r>
      <w:r>
        <w:t xml:space="preserve">comparar contra el calendario completo faltaban dos semanas: 2020-W53 (2020 tuvo 53 semanas</w:t>
      </w:r>
      <w:r>
        <w:t xml:space="preserve"> </w:t>
      </w:r>
      <w:r>
        <w:t xml:space="preserve">ISO) y 2022-W01.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Relleno.</w:t>
      </w:r>
      <w:r>
        <w:t xml:space="preserve"> </w:t>
      </w:r>
      <w:r>
        <w:t xml:space="preserve">En ambos casos la semana anterior y la siguiente tienen el mismo color (rojo</w:t>
      </w:r>
      <w:r>
        <w:t xml:space="preserve"> </w:t>
      </w:r>
      <w:r>
        <w:t xml:space="preserve">y verde, respectivamente), así que se rellenaron con ese color y se marcaron con la columna</w:t>
      </w:r>
      <w:r>
        <w:t xml:space="preserve"> </w:t>
      </w:r>
      <w:r>
        <w:rPr>
          <w:rStyle w:val="VerbatimChar"/>
        </w:rPr>
        <w:t xml:space="preserve">imputado</w:t>
      </w:r>
      <w:r>
        <w:t xml:space="preserve">. Si los colores vecinos hubieran sido distintos, no se habría rellenado.</w:t>
      </w:r>
    </w:p>
    <w:p>
      <w:pPr>
        <w:pStyle w:val="FirstParagraph"/>
      </w:pPr>
      <w:r>
        <w:t xml:space="preserve">El resultado,</w:t>
      </w:r>
      <w:r>
        <w:t xml:space="preserve"> </w:t>
      </w:r>
      <w:r>
        <w:rPr>
          <w:rStyle w:val="VerbatimChar"/>
        </w:rPr>
        <w:t xml:space="preserve">semaforo_cdmx_semana.csv</w:t>
      </w:r>
      <w:r>
        <w:t xml:space="preserve">, tiene 160 semanas, de 2020-W22 a 2023-W24: 15 en</w:t>
      </w:r>
      <w:r>
        <w:t xml:space="preserve"> </w:t>
      </w:r>
      <w:r>
        <w:t xml:space="preserve">rojo, 42 en naranja, 20 en amarillo y 83 en verde.</w:t>
      </w:r>
    </w:p>
    <w:bookmarkEnd w:id="160"/>
    <w:bookmarkEnd w:id="161"/>
    <w:bookmarkStart w:id="168" w:name="sec:pendientes"/>
    <w:p>
      <w:pPr>
        <w:pStyle w:val="Heading1"/>
      </w:pPr>
      <w:r>
        <w:t xml:space="preserve">Plan de trabajo y actividades pendientes</w:t>
      </w:r>
    </w:p>
    <w:bookmarkStart w:id="162" w:name="preparación"/>
    <w:p>
      <w:pPr>
        <w:pStyle w:val="Heading2"/>
      </w:pPr>
      <w:r>
        <w:t xml:space="preserve">Preparación</w:t>
      </w:r>
    </w:p>
    <w:p>
      <w:pPr>
        <w:numPr>
          <w:ilvl w:val="0"/>
          <w:numId w:val="1023"/>
        </w:numPr>
      </w:pPr>
      <w:r>
        <w:t xml:space="preserve">☑ Definir la pregunta y el problema.</w:t>
      </w:r>
    </w:p>
    <w:p>
      <w:pPr>
        <w:numPr>
          <w:ilvl w:val="0"/>
          <w:numId w:val="1023"/>
        </w:numPr>
      </w:pPr>
      <w:r>
        <w:t xml:space="preserve">☑ Identificar las fuentes de información.</w:t>
      </w:r>
    </w:p>
    <w:p>
      <w:pPr>
        <w:numPr>
          <w:ilvl w:val="0"/>
          <w:numId w:val="1023"/>
        </w:numPr>
      </w:pPr>
      <w:r>
        <w:t xml:space="preserve">☑ Crear el entorno de Python (</w:t>
      </w:r>
      <w:r>
        <w:rPr>
          <w:rStyle w:val="VerbatimChar"/>
        </w:rPr>
        <w:t xml:space="preserve">.venv</w:t>
      </w:r>
      <w:r>
        <w:t xml:space="preserve">) y el notebook de contexto (</w:t>
      </w:r>
      <w:r>
        <w:rPr>
          <w:rStyle w:val="VerbatimChar"/>
        </w:rPr>
        <w:t xml:space="preserve">notebooks/00_contexto_y_datasets.ipynb</w:t>
      </w:r>
      <w:r>
        <w:t xml:space="preserve">).</w:t>
      </w:r>
    </w:p>
    <w:p>
      <w:pPr>
        <w:numPr>
          <w:ilvl w:val="0"/>
          <w:numId w:val="1023"/>
        </w:numPr>
      </w:pPr>
      <w:r>
        <w:t xml:space="preserve">☐ Completar la estructura de carpetas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data/interim/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).</w:t>
      </w:r>
    </w:p>
    <w:p>
      <w:pPr>
        <w:numPr>
          <w:ilvl w:val="0"/>
          <w:numId w:val="1023"/>
        </w:numPr>
      </w:pPr>
      <w:r>
        <w:t xml:space="preserve">☐ Crear el control de versiones y el archivo</w:t>
      </w:r>
      <w:r>
        <w:t xml:space="preserve"> </w:t>
      </w:r>
      <w:r>
        <w:rPr>
          <w:rStyle w:val="VerbatimChar"/>
        </w:rPr>
        <w:t xml:space="preserve">data/raw/MANIFEST.csv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☐ Confirmar los cortes de los periodos de análisis.</w:t>
      </w:r>
    </w:p>
    <w:bookmarkEnd w:id="162"/>
    <w:bookmarkStart w:id="163" w:name="descarga-14-conjuntos-seleccionados"/>
    <w:p>
      <w:pPr>
        <w:pStyle w:val="Heading2"/>
      </w:pPr>
      <w:r>
        <w:t xml:space="preserve">Descarga (14 conjuntos seleccionados)</w:t>
      </w:r>
    </w:p>
    <w:p>
      <w:pPr>
        <w:numPr>
          <w:ilvl w:val="0"/>
          <w:numId w:val="1024"/>
        </w:numPr>
      </w:pPr>
      <w:r>
        <w:t xml:space="preserve">☑ Seleccionar los conjuntos de datos (Tabla </w:t>
      </w:r>
      <w:hyperlink w:anchor="tab:seleccion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24"/>
        </w:numPr>
      </w:pPr>
      <w:r>
        <w:t xml:space="preserve">☑ Scripts de descarga con MANIFEST (Sección </w:t>
      </w:r>
      <w:hyperlink w:anchor="sec:descarga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24"/>
        </w:numPr>
      </w:pPr>
      <w:r>
        <w:t xml:space="preserve">☑ Movilidad: Metro, Metrobús, Ecobici, hechos de tránsito (comparable, ampliada y 2024).</w:t>
      </w:r>
    </w:p>
    <w:p>
      <w:pPr>
        <w:numPr>
          <w:ilvl w:val="0"/>
          <w:numId w:val="1024"/>
        </w:numPr>
      </w:pPr>
      <w:r>
        <w:t xml:space="preserve">☑ Seguridad: carpetas FGJ 2016–2024, llamadas al 911 2019–2022.</w:t>
      </w:r>
    </w:p>
    <w:p>
      <w:pPr>
        <w:numPr>
          <w:ilvl w:val="0"/>
          <w:numId w:val="1024"/>
        </w:numPr>
      </w:pPr>
      <w:r>
        <w:t xml:space="preserve">☐ Seguridad: SESNSP municipal (descarga manual).</w:t>
      </w:r>
    </w:p>
    <w:p>
      <w:pPr>
        <w:numPr>
          <w:ilvl w:val="0"/>
          <w:numId w:val="1024"/>
        </w:numPr>
      </w:pPr>
      <w:r>
        <w:t xml:space="preserve">☑ Economía: DENUE, ocupación hotelera, ENOE (35 trimestres), IMSS (128 meses).</w:t>
      </w:r>
    </w:p>
    <w:p>
      <w:pPr>
        <w:numPr>
          <w:ilvl w:val="0"/>
          <w:numId w:val="1024"/>
        </w:numPr>
      </w:pPr>
      <w:r>
        <w:t xml:space="preserve">☑ Pandemia y referencia: casos COVID, semáforo federal, Censo 2020, Marco Geoestadístico.</w:t>
      </w:r>
    </w:p>
    <w:bookmarkEnd w:id="163"/>
    <w:bookmarkStart w:id="164" w:name="tareas-surgidas-en-la-descarga"/>
    <w:p>
      <w:pPr>
        <w:pStyle w:val="Heading2"/>
      </w:pPr>
      <w:r>
        <w:t xml:space="preserve">Tareas surgidas en la descarga</w:t>
      </w:r>
    </w:p>
    <w:p>
      <w:pPr>
        <w:numPr>
          <w:ilvl w:val="0"/>
          <w:numId w:val="1025"/>
        </w:numPr>
      </w:pPr>
      <w:r>
        <w:t xml:space="preserve">☐ Unificar los formatos de fecha del 911 y revisar los traslapes entre semestres.</w:t>
      </w:r>
    </w:p>
    <w:p>
      <w:pPr>
        <w:numPr>
          <w:ilvl w:val="0"/>
          <w:numId w:val="1025"/>
        </w:numPr>
      </w:pPr>
      <w:r>
        <w:t xml:space="preserve">☐ Documentar el cambio de registro de los hechos de tránsito (2021–2022).</w:t>
      </w:r>
    </w:p>
    <w:p>
      <w:pPr>
        <w:numPr>
          <w:ilvl w:val="0"/>
          <w:numId w:val="1025"/>
        </w:numPr>
      </w:pPr>
      <w:r>
        <w:t xml:space="preserve">☐ Fijar la ventana post-pandemia común (2023-01 – 2024-07).</w:t>
      </w:r>
    </w:p>
    <w:p>
      <w:pPr>
        <w:numPr>
          <w:ilvl w:val="0"/>
          <w:numId w:val="1025"/>
        </w:numPr>
      </w:pPr>
      <w:r>
        <w:t xml:space="preserve">☑ Rellenar las semanas 2020-W53 y 2022-W01 del semáforo.</w:t>
      </w:r>
    </w:p>
    <w:bookmarkEnd w:id="164"/>
    <w:bookmarkStart w:id="165" w:name="exploración"/>
    <w:p>
      <w:pPr>
        <w:pStyle w:val="Heading2"/>
      </w:pPr>
      <w:r>
        <w:t xml:space="preserve">Exploración</w:t>
      </w:r>
    </w:p>
    <w:p>
      <w:pPr>
        <w:numPr>
          <w:ilvl w:val="0"/>
          <w:numId w:val="1026"/>
        </w:numPr>
      </w:pPr>
      <w:r>
        <w:t xml:space="preserve">Obtener el perfil de cada conjunto: filas, columnas, rango de fechas, % de nulos, tipos y categorías.</w:t>
      </w:r>
    </w:p>
    <w:p>
      <w:pPr>
        <w:numPr>
          <w:ilvl w:val="0"/>
          <w:numId w:val="1027"/>
        </w:numPr>
      </w:pPr>
      <w:r>
        <w:t xml:space="preserve">Documentar los cambios metodológicos de cada fuente.</w:t>
      </w:r>
    </w:p>
    <w:bookmarkEnd w:id="165"/>
    <w:bookmarkStart w:id="166" w:name="limpieza-selección-final"/>
    <w:p>
      <w:pPr>
        <w:pStyle w:val="Heading2"/>
      </w:pPr>
      <w:r>
        <w:t xml:space="preserve">Limpieza (selección final)</w:t>
      </w:r>
    </w:p>
    <w:p>
      <w:pPr>
        <w:numPr>
          <w:ilvl w:val="0"/>
          <w:numId w:val="1028"/>
        </w:numPr>
      </w:pPr>
      <w:r>
        <w:t xml:space="preserve">☑ Catálogo de alcaldías (clave INEGI y polígonos) y normalización de texto.</w:t>
      </w:r>
    </w:p>
    <w:p>
      <w:pPr>
        <w:numPr>
          <w:ilvl w:val="0"/>
          <w:numId w:val="1028"/>
        </w:numPr>
      </w:pPr>
      <w:r>
        <w:t xml:space="preserve">☑ Carpetas FGJ, Metrobús e IMSS.</w:t>
      </w:r>
    </w:p>
    <w:p>
      <w:pPr>
        <w:numPr>
          <w:ilvl w:val="0"/>
          <w:numId w:val="1028"/>
        </w:numPr>
      </w:pPr>
      <w:r>
        <w:t xml:space="preserve">☑ Metro: codificación, nombres, duplicados, tipos de ceros y cierres de las Líneas 1 y 12 marcados.</w:t>
      </w:r>
    </w:p>
    <w:p>
      <w:pPr>
        <w:numPr>
          <w:ilvl w:val="0"/>
          <w:numId w:val="1028"/>
        </w:numPr>
      </w:pPr>
      <w:r>
        <w:t xml:space="preserve">☐ Metro: usar en la integración el promedio diario y una variante sin las Líneas 1 y 12.</w:t>
      </w:r>
    </w:p>
    <w:p>
      <w:pPr>
        <w:numPr>
          <w:ilvl w:val="0"/>
          <w:numId w:val="1028"/>
        </w:numPr>
      </w:pPr>
      <w:r>
        <w:t xml:space="preserve">☑ Semáforo: rellenar 2020-W53 y 2022-W01 (mismo color que las semanas vecinas, marcadas con</w:t>
      </w:r>
      <w:r>
        <w:t xml:space="preserve"> </w:t>
      </w:r>
      <w:r>
        <w:rPr>
          <w:rStyle w:val="VerbatimChar"/>
        </w:rPr>
        <w:t xml:space="preserve">imputado</w:t>
      </w:r>
      <w:r>
        <w:t xml:space="preserve">).</w:t>
      </w:r>
    </w:p>
    <w:p>
      <w:pPr>
        <w:numPr>
          <w:ilvl w:val="0"/>
          <w:numId w:val="1028"/>
        </w:numPr>
      </w:pPr>
      <w:r>
        <w:t xml:space="preserve">☑ Hechos de tránsito (mensual y diario), ocupación hotelera y casos COVID (diario, semanal y mensual).</w:t>
      </w:r>
    </w:p>
    <w:p>
      <w:pPr>
        <w:numPr>
          <w:ilvl w:val="0"/>
          <w:numId w:val="1028"/>
        </w:numPr>
      </w:pPr>
      <w:r>
        <w:t xml:space="preserve">☐ Ocupación hotelera:</w:t>
      </w:r>
      <w:r>
        <w:t xml:space="preserve"> </w:t>
      </w:r>
      <w:r>
        <w:rPr>
          <w:i/>
          <w:iCs/>
        </w:rPr>
        <w:t xml:space="preserve">backcasting</w:t>
      </w:r>
      <w:r>
        <w:t xml:space="preserve"> </w:t>
      </w:r>
      <w:r>
        <w:t xml:space="preserve">2016–2018.</w:t>
      </w:r>
    </w:p>
    <w:p>
      <w:pPr>
        <w:numPr>
          <w:ilvl w:val="0"/>
          <w:numId w:val="1028"/>
        </w:numPr>
      </w:pPr>
      <w:r>
        <w:t xml:space="preserve">☐ Población por alcaldía (Censo 2020) para calcular tasas.</w:t>
      </w:r>
    </w:p>
    <w:bookmarkEnd w:id="166"/>
    <w:bookmarkStart w:id="167" w:name="integración-y-entrega"/>
    <w:p>
      <w:pPr>
        <w:pStyle w:val="Heading2"/>
      </w:pPr>
      <w:r>
        <w:t xml:space="preserve">Integración y entrega</w:t>
      </w:r>
    </w:p>
    <w:p>
      <w:pPr>
        <w:numPr>
          <w:ilvl w:val="0"/>
          <w:numId w:val="1029"/>
        </w:numPr>
      </w:pPr>
      <w:r>
        <w:t xml:space="preserve">Construir las bases</w:t>
      </w:r>
      <w:r>
        <w:t xml:space="preserve"> </w:t>
      </w:r>
      <w:r>
        <w:rPr>
          <w:rStyle w:val="VerbatimChar"/>
        </w:rPr>
        <w:t xml:space="preserve">cdmx_mensual_alcaldia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cdmx_semanal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Calcular las tasas y los índices, y añadir las variables de periodo y semáforo.</w:t>
      </w:r>
    </w:p>
    <w:p>
      <w:pPr>
        <w:numPr>
          <w:ilvl w:val="0"/>
          <w:numId w:val="1031"/>
        </w:numPr>
      </w:pPr>
      <w:r>
        <w:t xml:space="preserve">Validar contra las cifras oficiales y elaborar el diccionario de datos.</w:t>
      </w:r>
    </w:p>
    <w:p>
      <w:pPr>
        <w:numPr>
          <w:ilvl w:val="0"/>
          <w:numId w:val="1032"/>
        </w:numPr>
      </w:pPr>
      <w:r>
        <w:t xml:space="preserve">Hacer un análisis descriptivo con gráficas antes, durante y después de la pandemia.</w:t>
      </w:r>
    </w:p>
    <w:bookmarkEnd w:id="167"/>
    <w:bookmarkEnd w:id="168"/>
    <w:bookmarkStart w:id="203" w:name="app:enlaces"/>
    <w:p>
      <w:pPr>
        <w:pStyle w:val="Heading1"/>
      </w:pPr>
      <w:r>
        <w:t xml:space="preserve">Enlaces a las fuentes</w:t>
      </w:r>
    </w:p>
    <w:bookmarkStart w:id="179" w:name="movilidad-1"/>
    <w:p>
      <w:pPr>
        <w:pStyle w:val="Heading2"/>
      </w:pPr>
      <w:r>
        <w:t xml:space="preserve">Movilidad</w:t>
      </w:r>
    </w:p>
    <w:p>
      <w:pPr>
        <w:numPr>
          <w:ilvl w:val="0"/>
          <w:numId w:val="1033"/>
        </w:numPr>
      </w:pPr>
      <w:r>
        <w:t xml:space="preserve">Metro:</w:t>
      </w:r>
      <w:r>
        <w:t xml:space="preserve"> </w:t>
      </w:r>
      <w:hyperlink r:id="rId169">
        <w:r>
          <w:rPr>
            <w:rStyle w:val="Hyperlink"/>
          </w:rPr>
          <w:t xml:space="preserve">https://datos.cdmx.gob.mx/dataset/afluencia-diaria-del-metro-cdmx</w:t>
        </w:r>
      </w:hyperlink>
    </w:p>
    <w:p>
      <w:pPr>
        <w:numPr>
          <w:ilvl w:val="0"/>
          <w:numId w:val="1033"/>
        </w:numPr>
      </w:pPr>
      <w:r>
        <w:t xml:space="preserve">Metrobús:</w:t>
      </w:r>
      <w:r>
        <w:t xml:space="preserve"> </w:t>
      </w:r>
      <w:hyperlink r:id="rId170">
        <w:r>
          <w:rPr>
            <w:rStyle w:val="Hyperlink"/>
          </w:rPr>
          <w:t xml:space="preserve">https://datos.cdmx.gob.mx/dataset/afluencia-diaria-de-metrobus-cdmx</w:t>
        </w:r>
      </w:hyperlink>
    </w:p>
    <w:p>
      <w:pPr>
        <w:numPr>
          <w:ilvl w:val="0"/>
          <w:numId w:val="1033"/>
        </w:numPr>
      </w:pPr>
      <w:r>
        <w:t xml:space="preserve">STE:</w:t>
      </w:r>
      <w:r>
        <w:t xml:space="preserve"> </w:t>
      </w:r>
      <w:hyperlink r:id="rId171">
        <w:r>
          <w:rPr>
            <w:rStyle w:val="Hyperlink"/>
          </w:rPr>
          <w:t xml:space="preserve">https://datos.cdmx.gob.mx/dataset/afluencia-diaria-servicio-de-transportes-electricos</w:t>
        </w:r>
      </w:hyperlink>
    </w:p>
    <w:p>
      <w:pPr>
        <w:numPr>
          <w:ilvl w:val="0"/>
          <w:numId w:val="1033"/>
        </w:numPr>
      </w:pPr>
      <w:r>
        <w:t xml:space="preserve">RTP:</w:t>
      </w:r>
      <w:r>
        <w:t xml:space="preserve"> </w:t>
      </w:r>
      <w:hyperlink r:id="rId172">
        <w:r>
          <w:rPr>
            <w:rStyle w:val="Hyperlink"/>
          </w:rPr>
          <w:t xml:space="preserve">https://datos.cdmx.gob.mx/dataset/afluencia-diaria-de-la-red-de-transporte-de-pasajeros</w:t>
        </w:r>
      </w:hyperlink>
    </w:p>
    <w:p>
      <w:pPr>
        <w:numPr>
          <w:ilvl w:val="0"/>
          <w:numId w:val="1033"/>
        </w:numPr>
      </w:pPr>
      <w:r>
        <w:t xml:space="preserve">Afluencia preliminar:</w:t>
      </w:r>
      <w:r>
        <w:t xml:space="preserve"> </w:t>
      </w:r>
      <w:hyperlink r:id="rId173">
        <w:r>
          <w:rPr>
            <w:rStyle w:val="Hyperlink"/>
          </w:rPr>
          <w:t xml:space="preserve">https://datos.cdmx.gob.mx/dataset/afluencia-preliminar-en-transporte-publico</w:t>
        </w:r>
      </w:hyperlink>
    </w:p>
    <w:p>
      <w:pPr>
        <w:numPr>
          <w:ilvl w:val="0"/>
          <w:numId w:val="1033"/>
        </w:numPr>
      </w:pPr>
      <w:r>
        <w:t xml:space="preserve">Ecobici:</w:t>
      </w:r>
      <w:r>
        <w:t xml:space="preserve"> </w:t>
      </w:r>
      <w:hyperlink r:id="rId174">
        <w:r>
          <w:rPr>
            <w:rStyle w:val="Hyperlink"/>
          </w:rPr>
          <w:t xml:space="preserve">https://datos.cdmx.gob.mx/dataset/afluencia-diaria-del-sistema-ecobici</w:t>
        </w:r>
      </w:hyperlink>
    </w:p>
    <w:p>
      <w:pPr>
        <w:numPr>
          <w:ilvl w:val="0"/>
          <w:numId w:val="1033"/>
        </w:numPr>
      </w:pPr>
      <w:r>
        <w:t xml:space="preserve">Movilidad histórico COVID-19:</w:t>
      </w:r>
      <w:r>
        <w:t xml:space="preserve"> </w:t>
      </w:r>
      <w:hyperlink r:id="rId175">
        <w:r>
          <w:rPr>
            <w:rStyle w:val="Hyperlink"/>
          </w:rPr>
          <w:t xml:space="preserve">https://datos.cdmx.gob.mx/dataset/movilidad-historico-covid-19</w:t>
        </w:r>
      </w:hyperlink>
    </w:p>
    <w:p>
      <w:pPr>
        <w:numPr>
          <w:ilvl w:val="0"/>
          <w:numId w:val="1033"/>
        </w:numPr>
      </w:pPr>
      <w:r>
        <w:t xml:space="preserve">Hechos de tránsito SSC:</w:t>
      </w:r>
      <w:r>
        <w:t xml:space="preserve"> </w:t>
      </w:r>
      <w:hyperlink r:id="rId176">
        <w:r>
          <w:rPr>
            <w:rStyle w:val="Hyperlink"/>
          </w:rPr>
          <w:t xml:space="preserve">https://datos.cdmx.gob.mx/dataset/hechos-de-transito-reportados-por-ssc-base-comparativa</w:t>
        </w:r>
      </w:hyperlink>
    </w:p>
    <w:p>
      <w:pPr>
        <w:numPr>
          <w:ilvl w:val="0"/>
          <w:numId w:val="1033"/>
        </w:numPr>
      </w:pPr>
      <w:r>
        <w:t xml:space="preserve">Hechos de tránsito usados en el proyecto (Google Drive):</w:t>
      </w:r>
      <w:r>
        <w:t xml:space="preserve"> </w:t>
      </w:r>
      <w:hyperlink r:id="rId67">
        <w:r>
          <w:rPr>
            <w:rStyle w:val="Hyperlink"/>
          </w:rPr>
          <w:t xml:space="preserve">https://drive.google.com/drive/folders/1_Ih0f-9izLZPIRkHpHvWx1OMLO0lkmAK</w:t>
        </w:r>
      </w:hyperlink>
    </w:p>
    <w:p>
      <w:pPr>
        <w:numPr>
          <w:ilvl w:val="0"/>
          <w:numId w:val="1033"/>
        </w:numPr>
      </w:pPr>
      <w:r>
        <w:t xml:space="preserve">Google Mobility:</w:t>
      </w:r>
      <w:r>
        <w:t xml:space="preserve"> </w:t>
      </w:r>
      <w:hyperlink r:id="rId177">
        <w:r>
          <w:rPr>
            <w:rStyle w:val="Hyperlink"/>
          </w:rPr>
          <w:t xml:space="preserve">https://www.google.com/covid19/mobility/</w:t>
        </w:r>
      </w:hyperlink>
    </w:p>
    <w:p>
      <w:pPr>
        <w:numPr>
          <w:ilvl w:val="0"/>
          <w:numId w:val="1033"/>
        </w:numPr>
      </w:pPr>
      <w:r>
        <w:t xml:space="preserve">GTFS:</w:t>
      </w:r>
      <w:r>
        <w:t xml:space="preserve"> </w:t>
      </w:r>
      <w:hyperlink r:id="rId178">
        <w:r>
          <w:rPr>
            <w:rStyle w:val="Hyperlink"/>
          </w:rPr>
          <w:t xml:space="preserve">https://datos.cdmx.gob.mx/dataset/gtfs</w:t>
        </w:r>
      </w:hyperlink>
    </w:p>
    <w:bookmarkEnd w:id="179"/>
    <w:bookmarkStart w:id="186" w:name="seguridad-1"/>
    <w:p>
      <w:pPr>
        <w:pStyle w:val="Heading2"/>
      </w:pPr>
      <w:r>
        <w:t xml:space="preserve">Seguridad</w:t>
      </w:r>
    </w:p>
    <w:p>
      <w:pPr>
        <w:numPr>
          <w:ilvl w:val="0"/>
          <w:numId w:val="1034"/>
        </w:numPr>
      </w:pPr>
      <w:r>
        <w:t xml:space="preserve">Carpetas FGJ:</w:t>
      </w:r>
      <w:r>
        <w:t xml:space="preserve"> </w:t>
      </w:r>
      <w:hyperlink r:id="rId180">
        <w:r>
          <w:rPr>
            <w:rStyle w:val="Hyperlink"/>
          </w:rPr>
          <w:t xml:space="preserve">https://datos.cdmx.gob.mx/dataset/carpetas-de-investigacion-fgj-de-la-ciudad-de-mexico</w:t>
        </w:r>
      </w:hyperlink>
    </w:p>
    <w:p>
      <w:pPr>
        <w:numPr>
          <w:ilvl w:val="0"/>
          <w:numId w:val="1034"/>
        </w:numPr>
      </w:pPr>
      <w:r>
        <w:t xml:space="preserve">Víctimas FGJ:</w:t>
      </w:r>
      <w:r>
        <w:t xml:space="preserve"> </w:t>
      </w:r>
      <w:hyperlink r:id="rId181">
        <w:r>
          <w:rPr>
            <w:rStyle w:val="Hyperlink"/>
          </w:rPr>
          <w:t xml:space="preserve">https://datos.cdmx.gob.mx/dataset/victimas-en-carpetas-de-investigacion-fgj</w:t>
        </w:r>
      </w:hyperlink>
    </w:p>
    <w:p>
      <w:pPr>
        <w:numPr>
          <w:ilvl w:val="0"/>
          <w:numId w:val="1034"/>
        </w:numPr>
      </w:pPr>
      <w:r>
        <w:t xml:space="preserve">Llamadas 911:</w:t>
      </w:r>
      <w:r>
        <w:t xml:space="preserve"> </w:t>
      </w:r>
      <w:hyperlink r:id="rId182">
        <w:r>
          <w:rPr>
            <w:rStyle w:val="Hyperlink"/>
          </w:rPr>
          <w:t xml:space="preserve">https://datos.cdmx.gob.mx/dataset/llamadas-numero-de-atencion-a-emergencias-911</w:t>
        </w:r>
      </w:hyperlink>
    </w:p>
    <w:p>
      <w:pPr>
        <w:numPr>
          <w:ilvl w:val="0"/>
          <w:numId w:val="1034"/>
        </w:numPr>
      </w:pPr>
      <w:r>
        <w:t xml:space="preserve">SESNSP:</w:t>
      </w:r>
      <w:r>
        <w:t xml:space="preserve"> </w:t>
      </w:r>
      <w:hyperlink r:id="rId183">
        <w:r>
          <w:rPr>
            <w:rStyle w:val="Hyperlink"/>
          </w:rPr>
          <w:t xml:space="preserve">https://www.gob.mx/sesnsp/acciones-y-programas/datos-abiertos-de-incidencia-delictiva</w:t>
        </w:r>
      </w:hyperlink>
    </w:p>
    <w:p>
      <w:pPr>
        <w:numPr>
          <w:ilvl w:val="0"/>
          <w:numId w:val="1034"/>
        </w:numPr>
      </w:pPr>
      <w:r>
        <w:t xml:space="preserve">ENSU:</w:t>
      </w:r>
      <w:r>
        <w:t xml:space="preserve"> </w:t>
      </w:r>
      <w:hyperlink r:id="rId184">
        <w:r>
          <w:rPr>
            <w:rStyle w:val="Hyperlink"/>
          </w:rPr>
          <w:t xml:space="preserve">https://www.inegi.org.mx/programas/ensu/</w:t>
        </w:r>
      </w:hyperlink>
    </w:p>
    <w:p>
      <w:pPr>
        <w:numPr>
          <w:ilvl w:val="0"/>
          <w:numId w:val="1034"/>
        </w:numPr>
      </w:pPr>
      <w:r>
        <w:t xml:space="preserve">ENVIPE:</w:t>
      </w:r>
      <w:r>
        <w:t xml:space="preserve"> </w:t>
      </w:r>
      <w:hyperlink r:id="rId185">
        <w:r>
          <w:rPr>
            <w:rStyle w:val="Hyperlink"/>
          </w:rPr>
          <w:t xml:space="preserve">https://www.inegi.org.mx/programas/envipe/</w:t>
        </w:r>
      </w:hyperlink>
    </w:p>
    <w:bookmarkEnd w:id="186"/>
    <w:bookmarkStart w:id="195" w:name="actividad-económica-1"/>
    <w:p>
      <w:pPr>
        <w:pStyle w:val="Heading2"/>
      </w:pPr>
      <w:r>
        <w:t xml:space="preserve">Actividad económica</w:t>
      </w:r>
    </w:p>
    <w:p>
      <w:pPr>
        <w:numPr>
          <w:ilvl w:val="0"/>
          <w:numId w:val="1035"/>
        </w:numPr>
      </w:pPr>
      <w:r>
        <w:t xml:space="preserve">IMSS:</w:t>
      </w:r>
      <w:r>
        <w:t xml:space="preserve"> </w:t>
      </w:r>
      <w:hyperlink r:id="rId187">
        <w:r>
          <w:rPr>
            <w:rStyle w:val="Hyperlink"/>
          </w:rPr>
          <w:t xml:space="preserve">http://datos.imss.gob.mx/</w:t>
        </w:r>
      </w:hyperlink>
    </w:p>
    <w:p>
      <w:pPr>
        <w:numPr>
          <w:ilvl w:val="0"/>
          <w:numId w:val="1035"/>
        </w:numPr>
      </w:pPr>
      <w:r>
        <w:t xml:space="preserve">ENOE:</w:t>
      </w:r>
      <w:r>
        <w:t xml:space="preserve"> </w:t>
      </w:r>
      <w:hyperlink r:id="rId188">
        <w:r>
          <w:rPr>
            <w:rStyle w:val="Hyperlink"/>
          </w:rPr>
          <w:t xml:space="preserve">https://www.inegi.org.mx/programas/enoe/15ymas/</w:t>
        </w:r>
      </w:hyperlink>
    </w:p>
    <w:p>
      <w:pPr>
        <w:numPr>
          <w:ilvl w:val="0"/>
          <w:numId w:val="1035"/>
        </w:numPr>
      </w:pPr>
      <w:r>
        <w:t xml:space="preserve">ITAEE:</w:t>
      </w:r>
      <w:r>
        <w:t xml:space="preserve"> </w:t>
      </w:r>
      <w:hyperlink r:id="rId189">
        <w:r>
          <w:rPr>
            <w:rStyle w:val="Hyperlink"/>
          </w:rPr>
          <w:t xml:space="preserve">https://www.inegi.org.mx/temas/itaee/</w:t>
        </w:r>
      </w:hyperlink>
    </w:p>
    <w:p>
      <w:pPr>
        <w:numPr>
          <w:ilvl w:val="0"/>
          <w:numId w:val="1035"/>
        </w:numPr>
      </w:pPr>
      <w:r>
        <w:t xml:space="preserve">DENUE:</w:t>
      </w:r>
      <w:r>
        <w:t xml:space="preserve"> </w:t>
      </w:r>
      <w:hyperlink r:id="rId190">
        <w:r>
          <w:rPr>
            <w:rStyle w:val="Hyperlink"/>
          </w:rPr>
          <w:t xml:space="preserve">https://www.inegi.org.mx/app/descarga/?ti=6</w:t>
        </w:r>
      </w:hyperlink>
    </w:p>
    <w:p>
      <w:pPr>
        <w:numPr>
          <w:ilvl w:val="0"/>
          <w:numId w:val="1035"/>
        </w:numPr>
      </w:pPr>
      <w:r>
        <w:t xml:space="preserve">Directorio de unidades económicas:</w:t>
      </w:r>
      <w:r>
        <w:t xml:space="preserve"> </w:t>
      </w:r>
      <w:hyperlink r:id="rId191">
        <w:r>
          <w:rPr>
            <w:rStyle w:val="Hyperlink"/>
          </w:rPr>
          <w:t xml:space="preserve">https://datos.cdmx.gob.mx/dataset/directorio-estadistico-de-unidades-economicas-ciudad-de-mexico</w:t>
        </w:r>
      </w:hyperlink>
    </w:p>
    <w:p>
      <w:pPr>
        <w:numPr>
          <w:ilvl w:val="0"/>
          <w:numId w:val="1035"/>
        </w:numPr>
      </w:pPr>
      <w:r>
        <w:t xml:space="preserve">Seguro de desempleo:</w:t>
      </w:r>
      <w:r>
        <w:t xml:space="preserve"> </w:t>
      </w:r>
      <w:hyperlink r:id="rId192">
        <w:r>
          <w:rPr>
            <w:rStyle w:val="Hyperlink"/>
          </w:rPr>
          <w:t xml:space="preserve">https://datos.cdmx.gob.mx/dataset/solicitudes-seguro-de-desempleo</w:t>
        </w:r>
      </w:hyperlink>
    </w:p>
    <w:p>
      <w:pPr>
        <w:numPr>
          <w:ilvl w:val="0"/>
          <w:numId w:val="1035"/>
        </w:numPr>
      </w:pPr>
      <w:r>
        <w:t xml:space="preserve">Ocupación hotelera:</w:t>
      </w:r>
      <w:r>
        <w:t xml:space="preserve"> </w:t>
      </w:r>
      <w:hyperlink r:id="rId193">
        <w:r>
          <w:rPr>
            <w:rStyle w:val="Hyperlink"/>
          </w:rPr>
          <w:t xml:space="preserve">https://datos.cdmx.gob.mx/dataset/ocupacion-hotelera-en-la-ciudad-de-mexico</w:t>
        </w:r>
      </w:hyperlink>
    </w:p>
    <w:p>
      <w:pPr>
        <w:numPr>
          <w:ilvl w:val="0"/>
          <w:numId w:val="1035"/>
        </w:numPr>
      </w:pPr>
      <w:r>
        <w:t xml:space="preserve">Monitor Estadístico:</w:t>
      </w:r>
      <w:r>
        <w:t xml:space="preserve"> </w:t>
      </w:r>
      <w:hyperlink r:id="rId194">
        <w:r>
          <w:rPr>
            <w:rStyle w:val="Hyperlink"/>
          </w:rPr>
          <w:t xml:space="preserve">https://datos.cdmx.gob.mx/dataset/indicadores-monitor-estadistico-de-la-ciudad-de-mexico</w:t>
        </w:r>
      </w:hyperlink>
    </w:p>
    <w:bookmarkEnd w:id="195"/>
    <w:bookmarkStart w:id="202" w:name="pandemia"/>
    <w:p>
      <w:pPr>
        <w:pStyle w:val="Heading2"/>
      </w:pPr>
      <w:r>
        <w:t xml:space="preserve">Pandemia</w:t>
      </w:r>
    </w:p>
    <w:p>
      <w:pPr>
        <w:numPr>
          <w:ilvl w:val="0"/>
          <w:numId w:val="1036"/>
        </w:numPr>
      </w:pPr>
      <w:r>
        <w:t xml:space="preserve">Casos y positividad:</w:t>
      </w:r>
      <w:r>
        <w:t xml:space="preserve"> </w:t>
      </w:r>
      <w:hyperlink r:id="rId196">
        <w:r>
          <w:rPr>
            <w:rStyle w:val="Hyperlink"/>
          </w:rPr>
          <w:t xml:space="preserve">https://datos.cdmx.gob.mx/dataset/total-de-pruebas-total-de-positivos-y-tasa-de-positividad</w:t>
        </w:r>
      </w:hyperlink>
    </w:p>
    <w:p>
      <w:pPr>
        <w:numPr>
          <w:ilvl w:val="0"/>
          <w:numId w:val="1036"/>
        </w:numPr>
      </w:pPr>
      <w:r>
        <w:t xml:space="preserve">SINAVE:</w:t>
      </w:r>
      <w:r>
        <w:t xml:space="preserve"> </w:t>
      </w:r>
      <w:hyperlink r:id="rId197">
        <w:r>
          <w:rPr>
            <w:rStyle w:val="Hyperlink"/>
          </w:rPr>
          <w:t xml:space="preserve">https://datos.cdmx.gob.mx/dataset/base-covid-sinave</w:t>
        </w:r>
      </w:hyperlink>
    </w:p>
    <w:p>
      <w:pPr>
        <w:numPr>
          <w:ilvl w:val="0"/>
          <w:numId w:val="1036"/>
        </w:numPr>
      </w:pPr>
      <w:r>
        <w:t xml:space="preserve">Casos por colonia:</w:t>
      </w:r>
      <w:r>
        <w:t xml:space="preserve"> </w:t>
      </w:r>
      <w:hyperlink r:id="rId198">
        <w:r>
          <w:rPr>
            <w:rStyle w:val="Hyperlink"/>
          </w:rPr>
          <w:t xml:space="preserve">https://datos.cdmx.gob.mx/dataset/covid-19-sinave-ciudad-de-mexico-a-nivel-colonia</w:t>
        </w:r>
      </w:hyperlink>
    </w:p>
    <w:p>
      <w:pPr>
        <w:numPr>
          <w:ilvl w:val="0"/>
          <w:numId w:val="1036"/>
        </w:numPr>
      </w:pPr>
      <w:r>
        <w:t xml:space="preserve">Capacidad hospitalaria:</w:t>
      </w:r>
      <w:r>
        <w:t xml:space="preserve"> </w:t>
      </w:r>
      <w:hyperlink r:id="rId199">
        <w:r>
          <w:rPr>
            <w:rStyle w:val="Hyperlink"/>
          </w:rPr>
          <w:t xml:space="preserve">https://datos.cdmx.gob.mx/dataset/capacidad-hospitalaria</w:t>
        </w:r>
      </w:hyperlink>
    </w:p>
    <w:p>
      <w:pPr>
        <w:numPr>
          <w:ilvl w:val="0"/>
          <w:numId w:val="1036"/>
        </w:numPr>
      </w:pPr>
      <w:r>
        <w:t xml:space="preserve">Semáforo:</w:t>
      </w:r>
      <w:r>
        <w:t xml:space="preserve"> </w:t>
      </w:r>
      <w:hyperlink r:id="rId200">
        <w:r>
          <w:rPr>
            <w:rStyle w:val="Hyperlink"/>
          </w:rPr>
          <w:t xml:space="preserve">https://covid19.cdmx.gob.mx/</w:t>
        </w:r>
      </w:hyperlink>
    </w:p>
    <w:p>
      <w:pPr>
        <w:numPr>
          <w:ilvl w:val="0"/>
          <w:numId w:val="1036"/>
        </w:numPr>
      </w:pPr>
      <w:r>
        <w:t xml:space="preserve">Secretaría de Salud:</w:t>
      </w:r>
      <w:r>
        <w:t xml:space="preserve"> </w:t>
      </w:r>
      <w:hyperlink r:id="rId201">
        <w:r>
          <w:rPr>
            <w:rStyle w:val="Hyperlink"/>
          </w:rPr>
          <w:t xml:space="preserve">https://www.gob.mx/salud/documentos/datos-abiertos-152127</w:t>
        </w:r>
      </w:hyperlink>
    </w:p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4" Target="media/rId154.png" /><Relationship Type="http://schemas.openxmlformats.org/officeDocument/2006/relationships/image" Id="rId74" Target="media/rId74.png" /><Relationship Type="http://schemas.openxmlformats.org/officeDocument/2006/relationships/image" Id="rId107" Target="media/rId107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93" Target="media/rId93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46" Target="media/rId146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51" Target="media/rId51.png" /><Relationship Type="http://schemas.openxmlformats.org/officeDocument/2006/relationships/image" Id="rId82" Target="media/rId82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19" Target="media/rId119.png" /><Relationship Type="http://schemas.openxmlformats.org/officeDocument/2006/relationships/image" Id="rId115" Target="media/rId115.png" /><Relationship Type="http://schemas.openxmlformats.org/officeDocument/2006/relationships/hyperlink" Id="rId187" Target="http://datos.imss.gob.mx/" TargetMode="External" /><Relationship Type="http://schemas.openxmlformats.org/officeDocument/2006/relationships/hyperlink" Id="rId200" Target="https://covid19.cdmx.gob.mx/" TargetMode="External" /><Relationship Type="http://schemas.openxmlformats.org/officeDocument/2006/relationships/hyperlink" Id="rId26" Target="https://datos.cdmx.gob.mx" TargetMode="External" /><Relationship Type="http://schemas.openxmlformats.org/officeDocument/2006/relationships/hyperlink" Id="rId172" Target="https://datos.cdmx.gob.mx/dataset/afluencia-diaria-de-la-red-de-transporte-de-pasajeros" TargetMode="External" /><Relationship Type="http://schemas.openxmlformats.org/officeDocument/2006/relationships/hyperlink" Id="rId170" Target="https://datos.cdmx.gob.mx/dataset/afluencia-diaria-de-metrobus-cdmx" TargetMode="External" /><Relationship Type="http://schemas.openxmlformats.org/officeDocument/2006/relationships/hyperlink" Id="rId169" Target="https://datos.cdmx.gob.mx/dataset/afluencia-diaria-del-metro-cdmx" TargetMode="External" /><Relationship Type="http://schemas.openxmlformats.org/officeDocument/2006/relationships/hyperlink" Id="rId174" Target="https://datos.cdmx.gob.mx/dataset/afluencia-diaria-del-sistema-ecobici" TargetMode="External" /><Relationship Type="http://schemas.openxmlformats.org/officeDocument/2006/relationships/hyperlink" Id="rId171" Target="https://datos.cdmx.gob.mx/dataset/afluencia-diaria-servicio-de-transportes-electricos" TargetMode="External" /><Relationship Type="http://schemas.openxmlformats.org/officeDocument/2006/relationships/hyperlink" Id="rId173" Target="https://datos.cdmx.gob.mx/dataset/afluencia-preliminar-en-transporte-publico" TargetMode="External" /><Relationship Type="http://schemas.openxmlformats.org/officeDocument/2006/relationships/hyperlink" Id="rId197" Target="https://datos.cdmx.gob.mx/dataset/base-covid-sinave" TargetMode="External" /><Relationship Type="http://schemas.openxmlformats.org/officeDocument/2006/relationships/hyperlink" Id="rId199" Target="https://datos.cdmx.gob.mx/dataset/capacidad-hospitalaria" TargetMode="External" /><Relationship Type="http://schemas.openxmlformats.org/officeDocument/2006/relationships/hyperlink" Id="rId180" Target="https://datos.cdmx.gob.mx/dataset/carpetas-de-investigacion-fgj-de-la-ciudad-de-mexico" TargetMode="External" /><Relationship Type="http://schemas.openxmlformats.org/officeDocument/2006/relationships/hyperlink" Id="rId198" Target="https://datos.cdmx.gob.mx/dataset/covid-19-sinave-ciudad-de-mexico-a-nivel-colonia" TargetMode="External" /><Relationship Type="http://schemas.openxmlformats.org/officeDocument/2006/relationships/hyperlink" Id="rId191" Target="https://datos.cdmx.gob.mx/dataset/directorio-estadistico-de-unidades-economicas-ciudad-de-mexico" TargetMode="External" /><Relationship Type="http://schemas.openxmlformats.org/officeDocument/2006/relationships/hyperlink" Id="rId178" Target="https://datos.cdmx.gob.mx/dataset/gtfs" TargetMode="External" /><Relationship Type="http://schemas.openxmlformats.org/officeDocument/2006/relationships/hyperlink" Id="rId176" Target="https://datos.cdmx.gob.mx/dataset/hechos-de-transito-reportados-por-ssc-base-comparativa" TargetMode="External" /><Relationship Type="http://schemas.openxmlformats.org/officeDocument/2006/relationships/hyperlink" Id="rId194" Target="https://datos.cdmx.gob.mx/dataset/indicadores-monitor-estadistico-de-la-ciudad-de-mexico" TargetMode="External" /><Relationship Type="http://schemas.openxmlformats.org/officeDocument/2006/relationships/hyperlink" Id="rId182" Target="https://datos.cdmx.gob.mx/dataset/llamadas-numero-de-atencion-a-emergencias-911" TargetMode="External" /><Relationship Type="http://schemas.openxmlformats.org/officeDocument/2006/relationships/hyperlink" Id="rId175" Target="https://datos.cdmx.gob.mx/dataset/movilidad-historico-covid-19" TargetMode="External" /><Relationship Type="http://schemas.openxmlformats.org/officeDocument/2006/relationships/hyperlink" Id="rId193" Target="https://datos.cdmx.gob.mx/dataset/ocupacion-hotelera-en-la-ciudad-de-mexico" TargetMode="External" /><Relationship Type="http://schemas.openxmlformats.org/officeDocument/2006/relationships/hyperlink" Id="rId192" Target="https://datos.cdmx.gob.mx/dataset/solicitudes-seguro-de-desempleo" TargetMode="External" /><Relationship Type="http://schemas.openxmlformats.org/officeDocument/2006/relationships/hyperlink" Id="rId196" Target="https://datos.cdmx.gob.mx/dataset/total-de-pruebas-total-de-positivos-y-tasa-de-positividad" TargetMode="External" /><Relationship Type="http://schemas.openxmlformats.org/officeDocument/2006/relationships/hyperlink" Id="rId181" Target="https://datos.cdmx.gob.mx/dataset/victimas-en-carpetas-de-investigacion-fgj" TargetMode="External" /><Relationship Type="http://schemas.openxmlformats.org/officeDocument/2006/relationships/hyperlink" Id="rId67" Target="https://drive.google.com/drive/folders/1_Ih0f-9izLZPIRkHpHvWx1OMLO0lkmAK" TargetMode="External" /><Relationship Type="http://schemas.openxmlformats.org/officeDocument/2006/relationships/hyperlink" Id="rId201" Target="https://www.gob.mx/salud/documentos/datos-abiertos-152127" TargetMode="External" /><Relationship Type="http://schemas.openxmlformats.org/officeDocument/2006/relationships/hyperlink" Id="rId183" Target="https://www.gob.mx/sesnsp/acciones-y-programas/datos-abiertos-de-incidencia-delictiva" TargetMode="External" /><Relationship Type="http://schemas.openxmlformats.org/officeDocument/2006/relationships/hyperlink" Id="rId177" Target="https://www.google.com/covid19/mobility/" TargetMode="External" /><Relationship Type="http://schemas.openxmlformats.org/officeDocument/2006/relationships/hyperlink" Id="rId190" Target="https://www.inegi.org.mx/app/descarga/?ti=6" TargetMode="External" /><Relationship Type="http://schemas.openxmlformats.org/officeDocument/2006/relationships/hyperlink" Id="rId188" Target="https://www.inegi.org.mx/programas/enoe/15ymas/" TargetMode="External" /><Relationship Type="http://schemas.openxmlformats.org/officeDocument/2006/relationships/hyperlink" Id="rId184" Target="https://www.inegi.org.mx/programas/ensu/" TargetMode="External" /><Relationship Type="http://schemas.openxmlformats.org/officeDocument/2006/relationships/hyperlink" Id="rId185" Target="https://www.inegi.org.mx/programas/envipe/" TargetMode="External" /><Relationship Type="http://schemas.openxmlformats.org/officeDocument/2006/relationships/hyperlink" Id="rId189" Target="https://www.inegi.org.mx/temas/itae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http://datos.imss.gob.mx/" TargetMode="External" /><Relationship Type="http://schemas.openxmlformats.org/officeDocument/2006/relationships/hyperlink" Id="rId200" Target="https://covid19.cdmx.gob.mx/" TargetMode="External" /><Relationship Type="http://schemas.openxmlformats.org/officeDocument/2006/relationships/hyperlink" Id="rId26" Target="https://datos.cdmx.gob.mx" TargetMode="External" /><Relationship Type="http://schemas.openxmlformats.org/officeDocument/2006/relationships/hyperlink" Id="rId172" Target="https://datos.cdmx.gob.mx/dataset/afluencia-diaria-de-la-red-de-transporte-de-pasajeros" TargetMode="External" /><Relationship Type="http://schemas.openxmlformats.org/officeDocument/2006/relationships/hyperlink" Id="rId170" Target="https://datos.cdmx.gob.mx/dataset/afluencia-diaria-de-metrobus-cdmx" TargetMode="External" /><Relationship Type="http://schemas.openxmlformats.org/officeDocument/2006/relationships/hyperlink" Id="rId169" Target="https://datos.cdmx.gob.mx/dataset/afluencia-diaria-del-metro-cdmx" TargetMode="External" /><Relationship Type="http://schemas.openxmlformats.org/officeDocument/2006/relationships/hyperlink" Id="rId174" Target="https://datos.cdmx.gob.mx/dataset/afluencia-diaria-del-sistema-ecobici" TargetMode="External" /><Relationship Type="http://schemas.openxmlformats.org/officeDocument/2006/relationships/hyperlink" Id="rId171" Target="https://datos.cdmx.gob.mx/dataset/afluencia-diaria-servicio-de-transportes-electricos" TargetMode="External" /><Relationship Type="http://schemas.openxmlformats.org/officeDocument/2006/relationships/hyperlink" Id="rId173" Target="https://datos.cdmx.gob.mx/dataset/afluencia-preliminar-en-transporte-publico" TargetMode="External" /><Relationship Type="http://schemas.openxmlformats.org/officeDocument/2006/relationships/hyperlink" Id="rId197" Target="https://datos.cdmx.gob.mx/dataset/base-covid-sinave" TargetMode="External" /><Relationship Type="http://schemas.openxmlformats.org/officeDocument/2006/relationships/hyperlink" Id="rId199" Target="https://datos.cdmx.gob.mx/dataset/capacidad-hospitalaria" TargetMode="External" /><Relationship Type="http://schemas.openxmlformats.org/officeDocument/2006/relationships/hyperlink" Id="rId180" Target="https://datos.cdmx.gob.mx/dataset/carpetas-de-investigacion-fgj-de-la-ciudad-de-mexico" TargetMode="External" /><Relationship Type="http://schemas.openxmlformats.org/officeDocument/2006/relationships/hyperlink" Id="rId198" Target="https://datos.cdmx.gob.mx/dataset/covid-19-sinave-ciudad-de-mexico-a-nivel-colonia" TargetMode="External" /><Relationship Type="http://schemas.openxmlformats.org/officeDocument/2006/relationships/hyperlink" Id="rId191" Target="https://datos.cdmx.gob.mx/dataset/directorio-estadistico-de-unidades-economicas-ciudad-de-mexico" TargetMode="External" /><Relationship Type="http://schemas.openxmlformats.org/officeDocument/2006/relationships/hyperlink" Id="rId178" Target="https://datos.cdmx.gob.mx/dataset/gtfs" TargetMode="External" /><Relationship Type="http://schemas.openxmlformats.org/officeDocument/2006/relationships/hyperlink" Id="rId176" Target="https://datos.cdmx.gob.mx/dataset/hechos-de-transito-reportados-por-ssc-base-comparativa" TargetMode="External" /><Relationship Type="http://schemas.openxmlformats.org/officeDocument/2006/relationships/hyperlink" Id="rId194" Target="https://datos.cdmx.gob.mx/dataset/indicadores-monitor-estadistico-de-la-ciudad-de-mexico" TargetMode="External" /><Relationship Type="http://schemas.openxmlformats.org/officeDocument/2006/relationships/hyperlink" Id="rId182" Target="https://datos.cdmx.gob.mx/dataset/llamadas-numero-de-atencion-a-emergencias-911" TargetMode="External" /><Relationship Type="http://schemas.openxmlformats.org/officeDocument/2006/relationships/hyperlink" Id="rId175" Target="https://datos.cdmx.gob.mx/dataset/movilidad-historico-covid-19" TargetMode="External" /><Relationship Type="http://schemas.openxmlformats.org/officeDocument/2006/relationships/hyperlink" Id="rId193" Target="https://datos.cdmx.gob.mx/dataset/ocupacion-hotelera-en-la-ciudad-de-mexico" TargetMode="External" /><Relationship Type="http://schemas.openxmlformats.org/officeDocument/2006/relationships/hyperlink" Id="rId192" Target="https://datos.cdmx.gob.mx/dataset/solicitudes-seguro-de-desempleo" TargetMode="External" /><Relationship Type="http://schemas.openxmlformats.org/officeDocument/2006/relationships/hyperlink" Id="rId196" Target="https://datos.cdmx.gob.mx/dataset/total-de-pruebas-total-de-positivos-y-tasa-de-positividad" TargetMode="External" /><Relationship Type="http://schemas.openxmlformats.org/officeDocument/2006/relationships/hyperlink" Id="rId181" Target="https://datos.cdmx.gob.mx/dataset/victimas-en-carpetas-de-investigacion-fgj" TargetMode="External" /><Relationship Type="http://schemas.openxmlformats.org/officeDocument/2006/relationships/hyperlink" Id="rId67" Target="https://drive.google.com/drive/folders/1_Ih0f-9izLZPIRkHpHvWx1OMLO0lkmAK" TargetMode="External" /><Relationship Type="http://schemas.openxmlformats.org/officeDocument/2006/relationships/hyperlink" Id="rId201" Target="https://www.gob.mx/salud/documentos/datos-abiertos-152127" TargetMode="External" /><Relationship Type="http://schemas.openxmlformats.org/officeDocument/2006/relationships/hyperlink" Id="rId183" Target="https://www.gob.mx/sesnsp/acciones-y-programas/datos-abiertos-de-incidencia-delictiva" TargetMode="External" /><Relationship Type="http://schemas.openxmlformats.org/officeDocument/2006/relationships/hyperlink" Id="rId177" Target="https://www.google.com/covid19/mobility/" TargetMode="External" /><Relationship Type="http://schemas.openxmlformats.org/officeDocument/2006/relationships/hyperlink" Id="rId190" Target="https://www.inegi.org.mx/app/descarga/?ti=6" TargetMode="External" /><Relationship Type="http://schemas.openxmlformats.org/officeDocument/2006/relationships/hyperlink" Id="rId188" Target="https://www.inegi.org.mx/programas/enoe/15ymas/" TargetMode="External" /><Relationship Type="http://schemas.openxmlformats.org/officeDocument/2006/relationships/hyperlink" Id="rId184" Target="https://www.inegi.org.mx/programas/ensu/" TargetMode="External" /><Relationship Type="http://schemas.openxmlformats.org/officeDocument/2006/relationships/hyperlink" Id="rId185" Target="https://www.inegi.org.mx/programas/envipe/" TargetMode="External" /><Relationship Type="http://schemas.openxmlformats.org/officeDocument/2006/relationships/hyperlink" Id="rId189" Target="https://www.inegi.org.mx/temas/itae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Cambios en movilidad, seguridad y actividad económica de la Ciudad de México antes, durante y después del COVID-19 Proyecto de minería de datos — Fase 1: recolección y limpieza de datos</dc:title>
  <dc:creator>Garcia Martinez Angel Yahel Soto Peña Israel Materia: Minería de Datos</dc:creator>
  <dc:language>es-MX</dc:language>
  <cp:keywords/>
  <dcterms:created xsi:type="dcterms:W3CDTF">2026-10-03T00:45:59Z</dcterms:created>
  <dcterms:modified xsi:type="dcterms:W3CDTF">2026-10-03T00:45:59Z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documento reúne el trabajo de la primera fase del proyecto: la definición del problema, la identificación de fuentes de datos abiertos, su recolección y los criterios y resultados de su limpieza. El objetivo de la fase es construir una base de datos integrada, limpia y documentada sobre movilidad, seguridad y actividad económica en la Ciudad de México para el periodo 2016–2026. Esa base será el insumo de un modelo predictivo en la fase siguiente.</vt:lpwstr>
  </property>
  <property fmtid="{D5CDD505-2E9C-101B-9397-08002B2CF9AE}" pid="3" name="date">
    <vt:lpwstr>2026-10-02</vt:lpwstr>
  </property>
  <property fmtid="{D5CDD505-2E9C-101B-9397-08002B2CF9AE}" pid="4" name="lof-title">
    <vt:lpwstr>Índice de figuras</vt:lpwstr>
  </property>
  <property fmtid="{D5CDD505-2E9C-101B-9397-08002B2CF9AE}" pid="5" name="lot-title">
    <vt:lpwstr>Índice de tablas</vt:lpwstr>
  </property>
  <property fmtid="{D5CDD505-2E9C-101B-9397-08002B2CF9AE}" pid="6" name="toc-title">
    <vt:lpwstr>Índice</vt:lpwstr>
  </property>
</Properties>
</file>