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15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4.xml" ContentType="application/vnd.openxmlformats-officedocument.wordprocessingml.footer+xml"/>
  <Override PartName="/word/footer4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600" w:after="0"/>
        <w:rPr/>
      </w:pPr>
      <w:r>
        <w:rPr/>
      </w:r>
    </w:p>
    <w:p>
      <w:pPr>
        <w:pStyle w:val="Normal"/>
        <w:jc w:val="center"/>
        <w:rPr/>
      </w:pPr>
      <w:r>
        <w:rPr>
          <w:color w:val="555555"/>
          <w:sz w:val="32"/>
          <w:szCs w:val="32"/>
        </w:rPr>
        <w:t>Práctica II</w:t>
      </w:r>
    </w:p>
    <w:p>
      <w:pPr>
        <w:pStyle w:val="Normal"/>
        <w:spacing w:before="200" w:after="200"/>
        <w:jc w:val="center"/>
        <w:rPr/>
      </w:pPr>
      <w:r>
        <w:rPr>
          <w:b/>
          <w:bCs/>
          <w:color w:val="1F3864"/>
          <w:sz w:val="48"/>
          <w:szCs w:val="48"/>
        </w:rPr>
        <w:t>Recuperación de artículos científicos con el Modelo de Espacio Vectorial</w:t>
      </w:r>
    </w:p>
    <w:p>
      <w:pPr>
        <w:pStyle w:val="Normal"/>
        <w:pBdr>
          <w:bottom w:val="single" w:sz="8" w:space="8" w:color="1F3864"/>
        </w:pBdr>
        <w:spacing w:before="0" w:after="600"/>
        <w:jc w:val="center"/>
        <w:rPr/>
      </w:pPr>
      <w:r>
        <w:rPr>
          <w:color w:val="404040"/>
          <w:sz w:val="26"/>
          <w:szCs w:val="26"/>
        </w:rPr>
        <w:t>Reporte técnico: corpus, representaciones, benchmark y evaluación de 12 configuraciones</w:t>
      </w:r>
    </w:p>
    <w:p>
      <w:pPr>
        <w:pStyle w:val="Normal"/>
        <w:jc w:val="center"/>
        <w:rPr/>
      </w:pPr>
      <w:r>
        <w:rPr>
          <w:b/>
          <w:bCs/>
          <w:sz w:val="24"/>
          <w:szCs w:val="24"/>
        </w:rPr>
        <w:t>Integrantes del equipo</w:t>
      </w:r>
    </w:p>
    <w:p>
      <w:pPr>
        <w:pStyle w:val="Normal"/>
        <w:jc w:val="center"/>
        <w:rPr/>
      </w:pPr>
      <w:r>
        <w:rPr>
          <w:sz w:val="24"/>
          <w:szCs w:val="24"/>
        </w:rPr>
        <w:t>Garcia Martinez Angel Yahel</w:t>
      </w:r>
    </w:p>
    <w:p>
      <w:pPr>
        <w:pStyle w:val="Normal"/>
        <w:spacing w:before="0" w:after="600"/>
        <w:jc w:val="center"/>
        <w:rPr>
          <w:color w:val="555555"/>
          <w:sz w:val="22"/>
          <w:szCs w:val="22"/>
        </w:rPr>
      </w:pPr>
      <w:r>
        <w:rPr>
          <w:sz w:val="24"/>
          <w:szCs w:val="24"/>
        </w:rPr>
        <w:t>Bren</w:t>
      </w:r>
    </w:p>
    <w:p>
      <w:pPr>
        <w:pStyle w:val="Normal"/>
        <w:jc w:val="center"/>
        <w:rPr/>
      </w:pPr>
      <w:r>
        <w:rPr>
          <w:color w:val="555555"/>
          <w:sz w:val="22"/>
          <w:szCs w:val="22"/>
        </w:rPr>
        <w:t>23 de octubre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F3864"/>
          <w:sz w:val="32"/>
          <w:szCs w:val="32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 Introducción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 Corpus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2.1 Recolección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2.2 Longitud de los textos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 Normalización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 Representación vectorial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 Recuperación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 Benchmark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6.1 Consultas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6.2 Anotación de relevancia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7. Métricas de evaluación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8. Resultados globales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8.1 Comparación de las 12 configuraciones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8.2 Resultados por nivel de dificultad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9. Resultados por consulta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9.1 Efecto de cada parámetro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10. Análisis por consulta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10.1 Consultas fáciles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10.2 Consultas medias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10.3 Consultas difíciles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11. Limitaciones y problemas detectados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12. Conclusiones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Anexo A. Métricas por consulta de cada configuración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A.1 title · unigram · frequency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A.2 title · unigram · binary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A.3 title · unigram · tfidf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A.4 title · bigram · frequency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A.5 title · bigram · binary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A.6 title · bigram · tfidf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A.7 abstract · unigram · frequency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A.8 abstract · unigram · binary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A.9 abstract · unigram · tfidf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A.10 abstract · bigram · frequency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A.11 abstract · bigram · binary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hyperlink w:anchor="_Toc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A.12 abstract · bigram · tfidf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hyperlink w:anchor="_Toc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Anexo B. Estructura del repositorio y reproducción</w:t>
              <w:tab/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0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Toc1"/>
      <w:r>
        <w:rPr/>
        <w:t>1. Introducción</w:t>
      </w:r>
      <w:bookmarkEnd w:id="0"/>
    </w:p>
    <w:p>
      <w:pPr>
        <w:pStyle w:val="Normal"/>
        <w:spacing w:lineRule="auto" w:line="276" w:before="0" w:after="120"/>
        <w:jc w:val="both"/>
        <w:rPr/>
      </w:pPr>
      <w:r>
        <w:rPr/>
        <w:t xml:space="preserve">El objetivo de la práctica es construir un sistema que, dada una consulta en texto libre, devuelva los 10 artículos científicos más parecidos de un corpus, usando el </w:t>
      </w:r>
      <w:r>
        <w:rPr>
          <w:b/>
          <w:bCs/>
        </w:rPr>
        <w:t>Modelo de Espacio Vectorial (VSM)</w:t>
      </w:r>
      <w:r>
        <w:rPr/>
        <w:t xml:space="preserve"> con similitud coseno. Además del sistema, se construyó un benchmark de 15 consultas con juicios de relevancia anotados a mano para medir la calidad de los resultados.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Se evaluaron las </w:t>
      </w:r>
      <w:r>
        <w:rPr>
          <w:b/>
          <w:bCs/>
        </w:rPr>
        <w:t>12 configuraciones</w:t>
      </w:r>
      <w:r>
        <w:rPr/>
        <w:t xml:space="preserve"> que resultan de combinar el campo indexado (título o abstract), el tipo de n-grama (unigramas o bigramas) y la representación de los documentos (frecuencia, binaria o TF-IDF). Para cada configuración se reportan métricas por consulta y promedios por nivel de dificultad.</w:t>
      </w:r>
    </w:p>
    <w:p>
      <w:pPr>
        <w:pStyle w:val="Normal"/>
        <w:spacing w:lineRule="auto" w:line="276" w:before="0" w:after="120"/>
        <w:jc w:val="both"/>
        <w:rPr/>
      </w:pPr>
      <w:r>
        <w:rPr/>
        <w:t>El flujo completo es:</w:t>
      </w:r>
    </w:p>
    <w:p>
      <w:pPr>
        <w:pStyle w:val="ListParagraph"/>
        <w:numPr>
          <w:ilvl w:val="0"/>
          <w:numId w:val="7"/>
        </w:numPr>
        <w:spacing w:lineRule="auto" w:line="264" w:before="0" w:after="80"/>
        <w:rPr/>
      </w:pPr>
      <w:r>
        <w:rPr>
          <w:b/>
          <w:bCs/>
        </w:rPr>
        <w:t>Recolección</w:t>
      </w:r>
      <w:r>
        <w:rPr/>
        <w:t xml:space="preserve"> de 500 artículos desde la API de arXiv.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Normalización</w:t>
      </w:r>
      <w:r>
        <w:rPr/>
        <w:t xml:space="preserve"> de títulos y abstracts con spaCy (lematización y eliminación de stopwords por categoría gramatical).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Representación</w:t>
      </w:r>
      <w:r>
        <w:rPr/>
        <w:t xml:space="preserve"> vectorial: 12 vectorizadores y matrices documento-término.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Recuperación</w:t>
      </w:r>
      <w:r>
        <w:rPr/>
        <w:t>: la consulta se normaliza igual que el corpus y se ordenan los documentos por similitud coseno.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Benchmark</w:t>
      </w:r>
      <w:r>
        <w:rPr/>
        <w:t>: 15 consultas en tres niveles de dificultad y 218 juicios de relevancia.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Evaluación</w:t>
      </w:r>
      <w:r>
        <w:rPr/>
        <w:t xml:space="preserve"> con P@10, R@10, F1@10, RR/MRR y nDCG@10, y </w:t>
      </w:r>
      <w:r>
        <w:rPr>
          <w:b/>
          <w:bCs/>
        </w:rPr>
        <w:t>análisis de errores</w:t>
      </w:r>
      <w:r>
        <w:rPr/>
        <w:t>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Las instrucciones para ejecutar la aplicación (CLI e interfaz web) están en el archivo </w:t>
      </w:r>
      <w:r>
        <w:rPr>
          <w:rFonts w:eastAsia="Consolas" w:cs="Consolas" w:ascii="Consolas" w:hAnsi="Consolas"/>
          <w:sz w:val="20"/>
          <w:szCs w:val="20"/>
        </w:rPr>
        <w:t>README.md</w:t>
      </w:r>
      <w:r>
        <w:rPr/>
        <w:t xml:space="preserve"> del repositorio.</w:t>
      </w:r>
    </w:p>
    <w:p>
      <w:pPr>
        <w:pStyle w:val="Heading1"/>
        <w:rPr/>
      </w:pPr>
      <w:bookmarkStart w:id="1" w:name="_Toc2"/>
      <w:r>
        <w:rPr/>
        <w:t>2. Corpus</w:t>
      </w:r>
      <w:bookmarkEnd w:id="1"/>
    </w:p>
    <w:p>
      <w:pPr>
        <w:pStyle w:val="Heading2"/>
        <w:rPr/>
      </w:pPr>
      <w:bookmarkStart w:id="2" w:name="_Toc3"/>
      <w:r>
        <w:rPr/>
        <w:t>2.1 Recolección</w:t>
      </w:r>
      <w:bookmarkEnd w:id="2"/>
    </w:p>
    <w:p>
      <w:pPr>
        <w:pStyle w:val="Normal"/>
        <w:spacing w:lineRule="auto" w:line="276" w:before="0" w:after="120"/>
        <w:jc w:val="both"/>
        <w:rPr/>
      </w:pPr>
      <w:r>
        <w:rPr/>
        <w:t>Los artículos se descargaron de la API oficial de arXiv (</w:t>
      </w:r>
      <w:r>
        <w:rPr>
          <w:rFonts w:eastAsia="Consolas" w:cs="Consolas" w:ascii="Consolas" w:hAnsi="Consolas"/>
          <w:sz w:val="20"/>
          <w:szCs w:val="20"/>
        </w:rPr>
        <w:t>export.arxiv.org/api/query</w:t>
      </w:r>
      <w:r>
        <w:rPr/>
        <w:t xml:space="preserve">) con la consulta </w:t>
      </w:r>
      <w:r>
        <w:rPr>
          <w:rFonts w:eastAsia="Consolas" w:cs="Consolas" w:ascii="Consolas" w:hAnsi="Consolas"/>
          <w:sz w:val="20"/>
          <w:szCs w:val="20"/>
        </w:rPr>
        <w:t>cat:&lt;categoría&gt; AND submittedDate:[202601010000 TO 202609302359]</w:t>
      </w:r>
      <w:r>
        <w:rPr/>
        <w:t xml:space="preserve">, ordenada por fecha de envío descendente. Se eligieron cuatro categorías de computación con solapamiento temático, útil para las consultas difíciles: </w:t>
      </w:r>
      <w:r>
        <w:rPr>
          <w:b/>
          <w:bCs/>
        </w:rPr>
        <w:t>cs.CL</w:t>
      </w:r>
      <w:r>
        <w:rPr/>
        <w:t xml:space="preserve"> (lenguaje), </w:t>
      </w:r>
      <w:r>
        <w:rPr>
          <w:b/>
          <w:bCs/>
        </w:rPr>
        <w:t>cs.CV</w:t>
      </w:r>
      <w:r>
        <w:rPr/>
        <w:t xml:space="preserve"> (visión), </w:t>
      </w:r>
      <w:r>
        <w:rPr>
          <w:b/>
          <w:bCs/>
        </w:rPr>
        <w:t>cs.IR</w:t>
      </w:r>
      <w:r>
        <w:rPr/>
        <w:t xml:space="preserve"> (recuperación de información) y </w:t>
      </w:r>
      <w:r>
        <w:rPr>
          <w:b/>
          <w:bCs/>
        </w:rPr>
        <w:t>cs.LG</w:t>
      </w:r>
      <w:r>
        <w:rPr/>
        <w:t xml:space="preserve"> (aprendizaje automático).</w:t>
      </w:r>
    </w:p>
    <w:p>
      <w:pPr>
        <w:pStyle w:val="ListParagraph"/>
        <w:numPr>
          <w:ilvl w:val="0"/>
          <w:numId w:val="8"/>
        </w:numPr>
        <w:spacing w:lineRule="auto" w:line="264" w:before="0" w:after="60"/>
        <w:rPr/>
      </w:pPr>
      <w:r>
        <w:rPr/>
        <w:t xml:space="preserve">Se conservaron </w:t>
      </w:r>
      <w:r>
        <w:rPr>
          <w:b/>
          <w:bCs/>
        </w:rPr>
        <w:t>125 artículos por categoría primaria</w:t>
      </w:r>
      <w:r>
        <w:rPr/>
        <w:t xml:space="preserve"> (500 en total). Los artículos cuya categoría primaria era otra (cross-listing) se descartaron para que cada uno contara en una sola categoría.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No hubo duplicados ni abstracts vacíos. Todos los artículos son de septiembre de 2026 (del 17 al 30).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 xml:space="preserve">Las respuestas XML originales se guardaron en </w:t>
      </w:r>
      <w:r>
        <w:rPr>
          <w:rFonts w:eastAsia="Consolas" w:cs="Consolas" w:ascii="Consolas" w:hAnsi="Consolas"/>
          <w:sz w:val="20"/>
          <w:szCs w:val="20"/>
        </w:rPr>
        <w:t>data/raw/</w:t>
      </w:r>
      <w:r>
        <w:rPr/>
        <w:t xml:space="preserve"> y el proceso se registró en </w:t>
      </w:r>
      <w:r>
        <w:rPr>
          <w:rFonts w:eastAsia="Consolas" w:cs="Consolas" w:ascii="Consolas" w:hAnsi="Consolas"/>
          <w:sz w:val="20"/>
          <w:szCs w:val="20"/>
        </w:rPr>
        <w:t>logs/acquisition.log</w:t>
      </w:r>
      <w:r>
        <w:rPr/>
        <w:t>. Al final se verificaron en vivo 10 títulos y 10 abstracts contra arXiv: 10/10 coincidieron.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Campos del corpus (</w:t>
      </w:r>
      <w:r>
        <w:rPr>
          <w:rFonts w:eastAsia="Consolas" w:cs="Consolas" w:ascii="Consolas" w:hAnsi="Consolas"/>
          <w:sz w:val="20"/>
          <w:szCs w:val="20"/>
        </w:rPr>
        <w:t>data/scientific_raw_corpus.tsv</w:t>
      </w:r>
      <w:r>
        <w:rPr/>
        <w:t xml:space="preserve">): </w:t>
      </w:r>
      <w:r>
        <w:rPr>
          <w:rFonts w:eastAsia="Consolas" w:cs="Consolas" w:ascii="Consolas" w:hAnsi="Consolas"/>
          <w:sz w:val="20"/>
          <w:szCs w:val="20"/>
        </w:rPr>
        <w:t>arxiv_id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doi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title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authors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abstract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categories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primary_category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date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url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retrieved_at</w:t>
      </w:r>
      <w:r>
        <w:rPr/>
        <w:t xml:space="preserve">. El identificador de documento en todos los archivos es el </w:t>
      </w:r>
      <w:r>
        <w:rPr>
          <w:rFonts w:eastAsia="Consolas" w:cs="Consolas" w:ascii="Consolas" w:hAnsi="Consolas"/>
          <w:sz w:val="20"/>
          <w:szCs w:val="20"/>
        </w:rPr>
        <w:t>arxiv_id</w:t>
      </w:r>
      <w:r>
        <w:rPr/>
        <w:t>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37"/>
        <w:gridCol w:w="1283"/>
        <w:gridCol w:w="1538"/>
        <w:gridCol w:w="1537"/>
        <w:gridCol w:w="1666"/>
        <w:gridCol w:w="1799"/>
      </w:tblGrid>
      <w:tr>
        <w:trPr>
          <w:tblHeader w:val="true"/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Vistos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Otra primaria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Conservados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Total en la API</w:t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 cross-listing</w:t>
            </w:r>
          </w:p>
        </w:tc>
      </w:tr>
      <w:tr>
        <w:trPr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cs.CL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182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57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125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21 739</w:t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56.0 %</w:t>
            </w:r>
          </w:p>
        </w:tc>
      </w:tr>
      <w:tr>
        <w:trPr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cs.CV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150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25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125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29 710</w:t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43.2 %</w:t>
            </w:r>
          </w:p>
        </w:tc>
      </w:tr>
      <w:tr>
        <w:trPr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cs.IR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224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99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125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4 113</w:t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43.2 %</w:t>
            </w:r>
          </w:p>
        </w:tc>
      </w:tr>
      <w:tr>
        <w:trPr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cs.LG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209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84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125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42 587</w:t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59.2 %</w:t>
            </w:r>
          </w:p>
        </w:tc>
      </w:tr>
      <w:tr>
        <w:trPr>
          <w:cantSplit/>
        </w:trPr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8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765</w:t>
            </w:r>
          </w:p>
        </w:tc>
        <w:tc>
          <w:tcPr>
            <w:tcW w:w="15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265</w:t>
            </w:r>
          </w:p>
        </w:tc>
        <w:tc>
          <w:tcPr>
            <w:tcW w:w="15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500</w:t>
            </w:r>
          </w:p>
        </w:tc>
        <w:tc>
          <w:tcPr>
            <w:tcW w:w="166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1. Estadísticas de la recolección por categoría. «Con cross-listing» es la proporción de artículos conservados que también están en otras categorías.</w:t>
      </w:r>
    </w:p>
    <w:p>
      <w:pPr>
        <w:pStyle w:val="Heading2"/>
        <w:rPr/>
      </w:pPr>
      <w:bookmarkStart w:id="3" w:name="_Toc4"/>
      <w:r>
        <w:rPr/>
        <w:t>2.2 Longitud de los textos</w:t>
      </w:r>
      <w:bookmarkEnd w:id="3"/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74"/>
        <w:gridCol w:w="1336"/>
        <w:gridCol w:w="1338"/>
        <w:gridCol w:w="1336"/>
        <w:gridCol w:w="1338"/>
        <w:gridCol w:w="1338"/>
      </w:tblGrid>
      <w:tr>
        <w:trPr>
          <w:tblHeader w:val="true"/>
          <w:cantSplit/>
        </w:trPr>
        <w:tc>
          <w:tcPr>
            <w:tcW w:w="26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Desv. est.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Mínimo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Mediana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Máximo</w:t>
            </w:r>
          </w:p>
        </w:tc>
      </w:tr>
      <w:tr>
        <w:trPr>
          <w:cantSplit/>
        </w:trPr>
        <w:tc>
          <w:tcPr>
            <w:tcW w:w="26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Título (palabras)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9.8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2.9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</w:t>
            </w:r>
          </w:p>
        </w:tc>
      </w:tr>
      <w:tr>
        <w:trPr>
          <w:cantSplit/>
        </w:trPr>
        <w:tc>
          <w:tcPr>
            <w:tcW w:w="26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(palabras)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195.1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43.9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84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194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326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2. Longitud de títulos y abstracts antes de normalizar.</w:t>
      </w:r>
    </w:p>
    <w:p>
      <w:pPr>
        <w:pStyle w:val="Normal"/>
        <w:spacing w:lineRule="auto" w:line="276" w:before="0" w:after="120"/>
        <w:jc w:val="both"/>
        <w:rPr/>
      </w:pPr>
      <w:r>
        <w:rPr/>
        <w:t>El título tiene unas 20 veces menos palabras que el abstract. Esta diferencia explica buena parte de los resultados: el título es muy preciso cuando coincide con la consulta, pero casi nunca contiene sinónimos ni contexto.</w:t>
      </w:r>
    </w:p>
    <w:p>
      <w:pPr>
        <w:pStyle w:val="Heading1"/>
        <w:rPr/>
      </w:pPr>
      <w:bookmarkStart w:id="4" w:name="_Toc5"/>
      <w:r>
        <w:rPr/>
        <w:t>3. Normalización</w:t>
      </w:r>
      <w:bookmarkEnd w:id="4"/>
    </w:p>
    <w:p>
      <w:pPr>
        <w:pStyle w:val="Normal"/>
        <w:spacing w:lineRule="auto" w:line="276" w:before="0" w:after="120"/>
        <w:jc w:val="both"/>
        <w:rPr/>
      </w:pPr>
      <w:r>
        <w:rPr/>
        <w:t xml:space="preserve">Corpus y consultas pasan por la </w:t>
      </w:r>
      <w:r>
        <w:rPr>
          <w:b/>
          <w:bCs/>
        </w:rPr>
        <w:t>misma función</w:t>
      </w:r>
      <w:r>
        <w:rPr/>
        <w:t xml:space="preserve"> </w:t>
      </w:r>
      <w:r>
        <w:rPr>
          <w:rFonts w:eastAsia="Consolas" w:cs="Consolas" w:ascii="Consolas" w:hAnsi="Consolas"/>
          <w:sz w:val="20"/>
          <w:szCs w:val="20"/>
        </w:rPr>
        <w:t>normalize()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src/normalize.py</w:t>
      </w:r>
      <w:r>
        <w:rPr/>
        <w:t xml:space="preserve">), para que sus términos coincidan con el vocabulario de los vectorizadores. Se usa spaCy 3.8.16 con el modelo </w:t>
      </w:r>
      <w:r>
        <w:rPr>
          <w:rFonts w:eastAsia="Consolas" w:cs="Consolas" w:ascii="Consolas" w:hAnsi="Consolas"/>
          <w:sz w:val="20"/>
          <w:szCs w:val="20"/>
        </w:rPr>
        <w:t>en_core_web_sm</w:t>
      </w:r>
      <w:r>
        <w:rPr/>
        <w:t xml:space="preserve"> 3.8.0 (el reconocimiento de entidades se desactiva porque no cambia lemas ni etiquetas y hace el proceso más lento). Pasos:</w:t>
      </w:r>
    </w:p>
    <w:p>
      <w:pPr>
        <w:pStyle w:val="ListParagraph"/>
        <w:numPr>
          <w:ilvl w:val="0"/>
          <w:numId w:val="9"/>
        </w:numPr>
        <w:spacing w:lineRule="auto" w:line="264" w:before="0" w:after="80"/>
        <w:rPr/>
      </w:pPr>
      <w:r>
        <w:rPr/>
        <w:t>Tokenización y etiquetado gramatical (POS) con spaCy.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 xml:space="preserve">Eliminación de puntuación, espacios y de las categorías gramaticales tratadas como stopwords: </w:t>
      </w:r>
      <w:r>
        <w:rPr>
          <w:b/>
          <w:bCs/>
        </w:rPr>
        <w:t>DET</w:t>
      </w:r>
      <w:r>
        <w:rPr/>
        <w:t xml:space="preserve"> (the, a), </w:t>
      </w:r>
      <w:r>
        <w:rPr>
          <w:b/>
          <w:bCs/>
        </w:rPr>
        <w:t>ADP</w:t>
      </w:r>
      <w:r>
        <w:rPr/>
        <w:t xml:space="preserve"> (of, in, with), </w:t>
      </w:r>
      <w:r>
        <w:rPr>
          <w:b/>
          <w:bCs/>
        </w:rPr>
        <w:t>CCONJ</w:t>
      </w:r>
      <w:r>
        <w:rPr/>
        <w:t xml:space="preserve"> (and, or), </w:t>
      </w:r>
      <w:r>
        <w:rPr>
          <w:b/>
          <w:bCs/>
        </w:rPr>
        <w:t>SCONJ</w:t>
      </w:r>
      <w:r>
        <w:rPr/>
        <w:t xml:space="preserve"> (that, if), </w:t>
      </w:r>
      <w:r>
        <w:rPr>
          <w:b/>
          <w:bCs/>
        </w:rPr>
        <w:t>PRON</w:t>
      </w:r>
      <w:r>
        <w:rPr/>
        <w:t xml:space="preserve"> (we, it) y </w:t>
      </w:r>
      <w:r>
        <w:rPr>
          <w:b/>
          <w:bCs/>
        </w:rPr>
        <w:t>AUX</w:t>
      </w:r>
      <w:r>
        <w:rPr/>
        <w:t xml:space="preserve"> (be, have, can). Quitar los auxiliares fue una decisión del equipo: aparecen en casi todos los abstracts y no aportan tema.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>Lematización y paso a minúsculas.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Ejemplo: </w:t>
      </w:r>
      <w:r>
        <w:rPr>
          <w:i/>
          <w:iCs/>
        </w:rPr>
        <w:t>sequential recommendation with user behavior sequences</w:t>
      </w:r>
      <w:r>
        <w:rPr/>
        <w:t xml:space="preserve"> → </w:t>
      </w:r>
      <w:r>
        <w:rPr>
          <w:rFonts w:eastAsia="Consolas" w:cs="Consolas" w:ascii="Consolas" w:hAnsi="Consolas"/>
          <w:sz w:val="20"/>
          <w:szCs w:val="20"/>
        </w:rPr>
        <w:t>sequential recommendation user behavior sequence</w:t>
      </w:r>
      <w:r>
        <w:rPr/>
        <w:t>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Los bigramas se forman </w:t>
      </w:r>
      <w:r>
        <w:rPr>
          <w:b/>
          <w:bCs/>
        </w:rPr>
        <w:t>después</w:t>
      </w:r>
      <w:r>
        <w:rPr/>
        <w:t xml:space="preserve"> de quitar las stopwords, de modo que </w:t>
      </w:r>
      <w:r>
        <w:rPr>
          <w:i/>
          <w:iCs/>
        </w:rPr>
        <w:t>analysis of text</w:t>
      </w:r>
      <w:r>
        <w:rPr/>
        <w:t xml:space="preserve"> produce el bigrama </w:t>
      </w:r>
      <w:r>
        <w:rPr>
          <w:rFonts w:eastAsia="Consolas" w:cs="Consolas" w:ascii="Consolas" w:hAnsi="Consolas"/>
          <w:sz w:val="20"/>
          <w:szCs w:val="20"/>
        </w:rPr>
        <w:t>analysis text</w:t>
      </w:r>
      <w:r>
        <w:rPr/>
        <w:t>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426"/>
        <w:gridCol w:w="1732"/>
        <w:gridCol w:w="1734"/>
        <w:gridCol w:w="1732"/>
        <w:gridCol w:w="1736"/>
      </w:tblGrid>
      <w:tr>
        <w:trPr>
          <w:tblHeader w:val="true"/>
          <w:cantSplit/>
        </w:trPr>
        <w:tc>
          <w:tcPr>
            <w:tcW w:w="2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Tokens antes</w:t>
            </w:r>
          </w:p>
        </w:tc>
        <w:tc>
          <w:tcPr>
            <w:tcW w:w="17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Tokens después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Reducción</w:t>
            </w:r>
          </w:p>
        </w:tc>
        <w:tc>
          <w:tcPr>
            <w:tcW w:w="17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Vocabulario</w:t>
            </w:r>
          </w:p>
        </w:tc>
      </w:tr>
      <w:tr>
        <w:trPr>
          <w:cantSplit/>
        </w:trPr>
        <w:tc>
          <w:tcPr>
            <w:tcW w:w="2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Título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5 417</w:t>
            </w:r>
          </w:p>
        </w:tc>
        <w:tc>
          <w:tcPr>
            <w:tcW w:w="17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4 336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20 %</w:t>
            </w:r>
          </w:p>
        </w:tc>
        <w:tc>
          <w:tcPr>
            <w:tcW w:w="17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1 863</w:t>
            </w:r>
          </w:p>
        </w:tc>
      </w:tr>
      <w:tr>
        <w:trPr>
          <w:cantSplit/>
        </w:trPr>
        <w:tc>
          <w:tcPr>
            <w:tcW w:w="2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103 630</w:t>
            </w:r>
          </w:p>
        </w:tc>
        <w:tc>
          <w:tcPr>
            <w:tcW w:w="17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73 532</w:t>
            </w:r>
          </w:p>
        </w:tc>
        <w:tc>
          <w:tcPr>
            <w:tcW w:w="17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29 %</w:t>
            </w:r>
          </w:p>
        </w:tc>
        <w:tc>
          <w:tcPr>
            <w:tcW w:w="17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7 958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3. Efecto de la normalización. Las palabras eliminadas más frecuentes fueron the, and, a, of, be, we, on, in, for y that.</w:t>
      </w:r>
    </w:p>
    <w:p>
      <w:pPr>
        <w:pStyle w:val="Heading1"/>
        <w:rPr/>
      </w:pPr>
      <w:bookmarkStart w:id="5" w:name="_Toc6"/>
      <w:r>
        <w:rPr/>
        <w:t>4. Representación vectorial</w:t>
      </w:r>
      <w:bookmarkEnd w:id="5"/>
    </w:p>
    <w:p>
      <w:pPr>
        <w:pStyle w:val="Normal"/>
        <w:spacing w:lineRule="auto" w:line="276" w:before="0" w:after="120"/>
        <w:jc w:val="both"/>
        <w:rPr/>
      </w:pPr>
      <w:r>
        <w:rPr/>
        <w:t>Cada documento se representa con un vector de términos. Se generaron las 12 combinaciones de: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726"/>
        <w:gridCol w:w="1872"/>
        <w:gridCol w:w="5762"/>
      </w:tblGrid>
      <w:tr>
        <w:trPr>
          <w:tblHeader w:val="true"/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Valores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Implementación (scikit-learn 1.9.1)</w:t>
            </w:r>
          </w:p>
        </w:tc>
      </w:tr>
      <w:tr>
        <w:trPr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Campo</w:t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title, abstract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Columnas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title_norm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abstract_norm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del corpus normalizado</w:t>
            </w:r>
          </w:p>
        </w:tc>
      </w:tr>
      <w:tr>
        <w:trPr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N-grama</w:t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unigram, bigram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ngram_range=(1,1)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(2,2)</w:t>
            </w:r>
          </w:p>
        </w:tc>
      </w:tr>
      <w:tr>
        <w:trPr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Representación</w:t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frequency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CountVectorizer</w:t>
            </w:r>
            <w:r>
              <w:rPr>
                <w:b w:val="false"/>
                <w:bCs w:val="false"/>
                <w:sz w:val="18"/>
                <w:szCs w:val="18"/>
              </w:rPr>
              <w:t>: número de veces que aparece el término</w:t>
            </w:r>
          </w:p>
        </w:tc>
      </w:tr>
      <w:tr>
        <w:trPr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binary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CountVectorizer(binary=True)</w:t>
            </w:r>
            <w:r>
              <w:rPr>
                <w:b w:val="false"/>
                <w:bCs w:val="false"/>
                <w:sz w:val="18"/>
                <w:szCs w:val="18"/>
              </w:rPr>
              <w:t>: 1 si el término aparece, 0 si no</w:t>
            </w:r>
          </w:p>
        </w:tc>
      </w:tr>
      <w:tr>
        <w:trPr>
          <w:cantSplit/>
        </w:trPr>
        <w:tc>
          <w:tcPr>
            <w:tcW w:w="17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tfidf</w:t>
            </w:r>
          </w:p>
        </w:tc>
        <w:tc>
          <w:tcPr>
            <w:tcW w:w="57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TfidfVectorizer(norm="l2", smooth_idf=True)</w:t>
            </w:r>
            <w:r>
              <w:rPr>
                <w:b w:val="false"/>
                <w:bCs w:val="false"/>
                <w:sz w:val="18"/>
                <w:szCs w:val="18"/>
              </w:rPr>
              <w:t>: frecuencia ponderada por la rareza del término en el corpus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 xml:space="preserve">Tabla 4. Parámetros de las 12 configuraciones. En todas: </w:t>
      </w:r>
      <w:r>
        <w:rPr>
          <w:rFonts w:eastAsia="Consolas" w:cs="Consolas" w:ascii="Consolas" w:hAnsi="Consolas"/>
          <w:i/>
          <w:iCs/>
          <w:color w:val="555555"/>
          <w:sz w:val="18"/>
          <w:szCs w:val="18"/>
        </w:rPr>
        <w:t>lowercase=False</w:t>
      </w:r>
      <w:r>
        <w:rPr>
          <w:i/>
          <w:iCs/>
          <w:color w:val="555555"/>
          <w:sz w:val="18"/>
          <w:szCs w:val="18"/>
        </w:rPr>
        <w:t xml:space="preserve"> y </w:t>
      </w:r>
      <w:r>
        <w:rPr>
          <w:rFonts w:eastAsia="Consolas" w:cs="Consolas" w:ascii="Consolas" w:hAnsi="Consolas"/>
          <w:i/>
          <w:iCs/>
          <w:color w:val="555555"/>
          <w:sz w:val="18"/>
          <w:szCs w:val="18"/>
        </w:rPr>
        <w:t>token_pattern=r"\S+"</w:t>
      </w:r>
      <w:r>
        <w:rPr>
          <w:i/>
          <w:iCs/>
          <w:color w:val="555555"/>
          <w:sz w:val="18"/>
          <w:szCs w:val="18"/>
        </w:rPr>
        <w:t xml:space="preserve"> (el texto ya viene normalizado), sin </w:t>
      </w:r>
      <w:r>
        <w:rPr>
          <w:rFonts w:eastAsia="Consolas" w:cs="Consolas" w:ascii="Consolas" w:hAnsi="Consolas"/>
          <w:i/>
          <w:iCs/>
          <w:color w:val="555555"/>
          <w:sz w:val="18"/>
          <w:szCs w:val="18"/>
        </w:rPr>
        <w:t>min_df</w:t>
      </w:r>
      <w:r>
        <w:rPr>
          <w:i/>
          <w:iCs/>
          <w:color w:val="555555"/>
          <w:sz w:val="18"/>
          <w:szCs w:val="18"/>
        </w:rPr>
        <w:t xml:space="preserve"> ni </w:t>
      </w:r>
      <w:r>
        <w:rPr>
          <w:rFonts w:eastAsia="Consolas" w:cs="Consolas" w:ascii="Consolas" w:hAnsi="Consolas"/>
          <w:i/>
          <w:iCs/>
          <w:color w:val="555555"/>
          <w:sz w:val="18"/>
          <w:szCs w:val="18"/>
        </w:rPr>
        <w:t>max_df</w:t>
      </w:r>
      <w:r>
        <w:rPr>
          <w:i/>
          <w:iCs/>
          <w:color w:val="555555"/>
          <w:sz w:val="18"/>
          <w:szCs w:val="18"/>
        </w:rPr>
        <w:t>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Cada modelo se guarda en </w:t>
      </w:r>
      <w:r>
        <w:rPr>
          <w:rFonts w:eastAsia="Consolas" w:cs="Consolas" w:ascii="Consolas" w:hAnsi="Consolas"/>
          <w:sz w:val="20"/>
          <w:szCs w:val="20"/>
        </w:rPr>
        <w:t>models/{campo}_{ngrama}_{repr}.pkl</w:t>
      </w:r>
      <w:r>
        <w:rPr/>
        <w:t xml:space="preserve"> con el vectorizador ajustado, la matriz documento-término y la lista de </w:t>
      </w:r>
      <w:r>
        <w:rPr>
          <w:rFonts w:eastAsia="Consolas" w:cs="Consolas" w:ascii="Consolas" w:hAnsi="Consolas"/>
          <w:sz w:val="20"/>
          <w:szCs w:val="20"/>
        </w:rPr>
        <w:t>arxiv_id</w:t>
      </w:r>
      <w:r>
        <w:rPr/>
        <w:t>. El vocabulario y la dispersión solo dependen del campo y del n-grama: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77"/>
        <w:gridCol w:w="1484"/>
        <w:gridCol w:w="1486"/>
        <w:gridCol w:w="1931"/>
        <w:gridCol w:w="2082"/>
      </w:tblGrid>
      <w:tr>
        <w:trPr>
          <w:tblHeader w:val="true"/>
          <w:cantSplit/>
        </w:trPr>
        <w:tc>
          <w:tcPr>
            <w:tcW w:w="237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Campo · n-grama</w:t>
            </w:r>
          </w:p>
        </w:tc>
        <w:tc>
          <w:tcPr>
            <w:tcW w:w="14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Vocabulario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Densidad</w:t>
            </w:r>
          </w:p>
        </w:tc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Términos por documento</w:t>
            </w:r>
          </w:p>
        </w:tc>
        <w:tc>
          <w:tcPr>
            <w:tcW w:w="20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Celdas con conteo &gt; 1</w:t>
            </w:r>
          </w:p>
        </w:tc>
      </w:tr>
      <w:tr>
        <w:trPr>
          <w:cantSplit/>
        </w:trPr>
        <w:tc>
          <w:tcPr>
            <w:tcW w:w="237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</w:t>
            </w:r>
          </w:p>
        </w:tc>
        <w:tc>
          <w:tcPr>
            <w:tcW w:w="14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1 863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0.458 %</w:t>
            </w:r>
          </w:p>
        </w:tc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8.5</w:t>
            </w:r>
          </w:p>
        </w:tc>
        <w:tc>
          <w:tcPr>
            <w:tcW w:w="20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1.64 %</w:t>
            </w:r>
          </w:p>
        </w:tc>
      </w:tr>
      <w:tr>
        <w:trPr>
          <w:cantSplit/>
        </w:trPr>
        <w:tc>
          <w:tcPr>
            <w:tcW w:w="237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</w:t>
            </w:r>
          </w:p>
        </w:tc>
        <w:tc>
          <w:tcPr>
            <w:tcW w:w="14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3 545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0.216 %</w:t>
            </w:r>
          </w:p>
        </w:tc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7.7</w:t>
            </w:r>
          </w:p>
        </w:tc>
        <w:tc>
          <w:tcPr>
            <w:tcW w:w="20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0.16 %</w:t>
            </w:r>
          </w:p>
        </w:tc>
      </w:tr>
      <w:tr>
        <w:trPr>
          <w:cantSplit/>
        </w:trPr>
        <w:tc>
          <w:tcPr>
            <w:tcW w:w="237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</w:t>
            </w:r>
          </w:p>
        </w:tc>
        <w:tc>
          <w:tcPr>
            <w:tcW w:w="14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7 958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1.329 %</w:t>
            </w:r>
          </w:p>
        </w:tc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105.8</w:t>
            </w:r>
          </w:p>
        </w:tc>
        <w:tc>
          <w:tcPr>
            <w:tcW w:w="20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21.99 %</w:t>
            </w:r>
          </w:p>
        </w:tc>
      </w:tr>
      <w:tr>
        <w:trPr>
          <w:cantSplit/>
        </w:trPr>
        <w:tc>
          <w:tcPr>
            <w:tcW w:w="237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</w:t>
            </w:r>
          </w:p>
        </w:tc>
        <w:tc>
          <w:tcPr>
            <w:tcW w:w="14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60 073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0.233 %</w:t>
            </w:r>
          </w:p>
        </w:tc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139.9</w:t>
            </w:r>
          </w:p>
        </w:tc>
        <w:tc>
          <w:tcPr>
            <w:tcW w:w="20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3.48 %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5. Tamaño y dispersión de las matrices. «Celdas con conteo &gt; 1» es el porcentaje de celdas no nulas donde la representación de frecuencia difiere de la binaria.</w:t>
      </w:r>
    </w:p>
    <w:p>
      <w:pPr>
        <w:pStyle w:val="Normal"/>
        <w:spacing w:lineRule="auto" w:line="276" w:before="0" w:after="120"/>
        <w:jc w:val="both"/>
        <w:rPr/>
      </w:pPr>
      <w:r>
        <w:rPr/>
        <w:t>La última columna anticipa un resultado: en los títulos casi ningún término se repite, así que las representaciones de frecuencia y binaria son prácticamente iguales (con bigramas de título dan rankings idénticos).</w:t>
      </w:r>
    </w:p>
    <w:p>
      <w:pPr>
        <w:pStyle w:val="Heading1"/>
        <w:rPr/>
      </w:pPr>
      <w:bookmarkStart w:id="6" w:name="_Toc7"/>
      <w:r>
        <w:rPr/>
        <w:t>5. Recuperación</w:t>
      </w:r>
      <w:bookmarkEnd w:id="6"/>
    </w:p>
    <w:p>
      <w:pPr>
        <w:pStyle w:val="Normal"/>
        <w:spacing w:lineRule="auto" w:line="276" w:before="0" w:after="120"/>
        <w:jc w:val="both"/>
        <w:rPr/>
      </w:pPr>
      <w:r>
        <w:rPr/>
        <w:t xml:space="preserve">La función </w:t>
      </w:r>
      <w:r>
        <w:rPr>
          <w:rFonts w:eastAsia="Consolas" w:cs="Consolas" w:ascii="Consolas" w:hAnsi="Consolas"/>
          <w:sz w:val="20"/>
          <w:szCs w:val="20"/>
        </w:rPr>
        <w:t>retrieve(query, field, ngram, repr, k=10)</w:t>
      </w:r>
      <w:r>
        <w:rPr/>
        <w:t xml:space="preserve"> de </w:t>
      </w:r>
      <w:r>
        <w:rPr>
          <w:rFonts w:eastAsia="Consolas" w:cs="Consolas" w:ascii="Consolas" w:hAnsi="Consolas"/>
          <w:sz w:val="20"/>
          <w:szCs w:val="20"/>
        </w:rPr>
        <w:t>src/retrieve.py</w:t>
      </w:r>
      <w:r>
        <w:rPr/>
        <w:t xml:space="preserve"> implementa la búsqueda:</w:t>
      </w:r>
    </w:p>
    <w:p>
      <w:pPr>
        <w:pStyle w:val="ListParagraph"/>
        <w:numPr>
          <w:ilvl w:val="0"/>
          <w:numId w:val="10"/>
        </w:numPr>
        <w:spacing w:lineRule="auto" w:line="264" w:before="0" w:after="80"/>
        <w:rPr/>
      </w:pPr>
      <w:r>
        <w:rPr/>
        <w:t xml:space="preserve">Normaliza la consulta con la misma </w:t>
      </w:r>
      <w:r>
        <w:rPr>
          <w:rFonts w:eastAsia="Consolas" w:cs="Consolas" w:ascii="Consolas" w:hAnsi="Consolas"/>
          <w:sz w:val="20"/>
          <w:szCs w:val="20"/>
        </w:rPr>
        <w:t>normalize()</w:t>
      </w:r>
      <w:r>
        <w:rPr/>
        <w:t xml:space="preserve"> del corpus.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 xml:space="preserve">La transforma con el vectorizador ya ajustado de la configuración elegida (solo </w:t>
      </w:r>
      <w:r>
        <w:rPr>
          <w:rFonts w:eastAsia="Consolas" w:cs="Consolas" w:ascii="Consolas" w:hAnsi="Consolas"/>
          <w:sz w:val="20"/>
          <w:szCs w:val="20"/>
        </w:rPr>
        <w:t>transform</w:t>
      </w:r>
      <w:r>
        <w:rPr/>
        <w:t xml:space="preserve">, nunca </w:t>
      </w:r>
      <w:r>
        <w:rPr>
          <w:rFonts w:eastAsia="Consolas" w:cs="Consolas" w:ascii="Consolas" w:hAnsi="Consolas"/>
          <w:sz w:val="20"/>
          <w:szCs w:val="20"/>
        </w:rPr>
        <w:t>fit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>Si ningún término de la consulta está en el vocabulario, lanza un aviso (</w:t>
      </w:r>
      <w:r>
        <w:rPr>
          <w:rFonts w:eastAsia="Consolas" w:cs="Consolas" w:ascii="Consolas" w:hAnsi="Consolas"/>
          <w:sz w:val="20"/>
          <w:szCs w:val="20"/>
        </w:rPr>
        <w:t>EmptyQueryError</w:t>
      </w:r>
      <w:r>
        <w:rPr/>
        <w:t>) en lugar de devolver puntajes en cero.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 xml:space="preserve">Normaliza a norma L2 las filas de la matriz y el vector de la consulta, de modo que el producto punto es la </w:t>
      </w:r>
      <w:r>
        <w:rPr>
          <w:b/>
          <w:bCs/>
        </w:rPr>
        <w:t>similitud coseno</w:t>
      </w:r>
      <w:r>
        <w:rPr/>
        <w:t>. Las matrices de frecuencia y binaria se guardaron sin normalizar; en TF-IDF este paso no cambia nada.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/>
        <w:t xml:space="preserve">Descarta los documentos con similitud 0, ordena de mayor a menor (empates por </w:t>
      </w:r>
      <w:r>
        <w:rPr>
          <w:rFonts w:eastAsia="Consolas" w:cs="Consolas" w:ascii="Consolas" w:hAnsi="Consolas"/>
          <w:sz w:val="20"/>
          <w:szCs w:val="20"/>
        </w:rPr>
        <w:t>arxiv_id</w:t>
      </w:r>
      <w:r>
        <w:rPr/>
        <w:t>) y devuelve los k primeros con su título, abstract, autores, categoría, fecha y enlaces.</w:t>
      </w:r>
    </w:p>
    <w:p>
      <w:pPr>
        <w:pStyle w:val="Normal"/>
        <w:spacing w:lineRule="auto" w:line="276" w:before="0" w:after="120"/>
        <w:jc w:val="both"/>
        <w:rPr/>
      </w:pPr>
      <w:r>
        <w:rPr/>
        <w:t>La búsqueda está disponible desde la línea de comandos (</w:t>
      </w:r>
      <w:r>
        <w:rPr>
          <w:rFonts w:eastAsia="Consolas" w:cs="Consolas" w:ascii="Consolas" w:hAnsi="Consolas"/>
          <w:sz w:val="20"/>
          <w:szCs w:val="20"/>
        </w:rPr>
        <w:t>python -m src.cli query</w:t>
      </w:r>
      <w:r>
        <w:rPr/>
        <w:t>) y desde una interfaz web hecha con FastAPI (</w:t>
      </w:r>
      <w:r>
        <w:rPr>
          <w:rFonts w:eastAsia="Consolas" w:cs="Consolas" w:ascii="Consolas" w:hAnsi="Consolas"/>
          <w:sz w:val="20"/>
          <w:szCs w:val="20"/>
        </w:rPr>
        <w:t>python -m src.api</w:t>
      </w:r>
      <w:r>
        <w:rPr/>
        <w:t>).</w:t>
      </w:r>
    </w:p>
    <w:p>
      <w:pPr>
        <w:pStyle w:val="Heading1"/>
        <w:rPr/>
      </w:pPr>
      <w:bookmarkStart w:id="7" w:name="_Toc8"/>
      <w:r>
        <w:rPr/>
        <w:t>6. Benchmark</w:t>
      </w:r>
      <w:bookmarkEnd w:id="7"/>
    </w:p>
    <w:p>
      <w:pPr>
        <w:pStyle w:val="Heading2"/>
        <w:rPr/>
      </w:pPr>
      <w:bookmarkStart w:id="8" w:name="_Toc9"/>
      <w:r>
        <w:rPr/>
        <w:t>6.1 Consultas</w:t>
      </w:r>
      <w:bookmarkEnd w:id="8"/>
    </w:p>
    <w:p>
      <w:pPr>
        <w:pStyle w:val="Normal"/>
        <w:spacing w:lineRule="auto" w:line="276" w:before="0" w:after="120"/>
        <w:jc w:val="both"/>
        <w:rPr/>
      </w:pPr>
      <w:r>
        <w:rPr/>
        <w:t xml:space="preserve">Se redactaron 15 consultas en inglés de 3 a 8 palabras, 5 por nivel. La dificultad depende de </w:t>
      </w:r>
      <w:r>
        <w:rPr>
          <w:b/>
          <w:bCs/>
        </w:rPr>
        <w:t>cuánto se parecen las palabras de la consulta a las de los abstracts relevantes</w:t>
      </w:r>
      <w:r>
        <w:rPr/>
        <w:t>, porque el VSM solo compara términos: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Fácil (1):</w:t>
      </w:r>
      <w:r>
        <w:rPr/>
        <w:t xml:space="preserve"> la consulta usa los mismos términos técnicos que los abstracts.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Media (2):</w:t>
      </w:r>
      <w:r>
        <w:rPr/>
        <w:t xml:space="preserve"> el tema es claro, pero los abstracts lo nombran con variantes (siglas, nombres de métodos, idiomas concretos).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Difícil (3):</w:t>
      </w:r>
      <w:r>
        <w:rPr/>
        <w:t xml:space="preserve"> la consulta es una paráfrasis en lenguaje común y los abstracts usan el vocabulario técnico que la consulta evita.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37"/>
        <w:gridCol w:w="986"/>
        <w:gridCol w:w="5417"/>
        <w:gridCol w:w="739"/>
        <w:gridCol w:w="737"/>
        <w:gridCol w:w="744"/>
      </w:tblGrid>
      <w:tr>
        <w:trPr>
          <w:tblHeader w:val="true"/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Consulta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Rel.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Rel. 2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Rel. 1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Q01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Fácil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sequential recommendation with user behavior sequences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Q02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Fácil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long video understanding with vision-language models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Q03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Fácil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reranking retrieved documents with large language models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Q04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Fácil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video generation with diffusion models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Q05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Fácil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retrieval-augmented generation for multi-hop question answering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Q06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on-policy self-distillation for reasoning models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Q07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parameter-efficient fine-tuning with low-rank adapters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Q08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policy optimization in reinforcement learning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Q09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language models as judges for evaluation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Q10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multilingual language models for low-resource languages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Q11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Difícil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making neural networks smaller and faster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Q12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Difícil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reading hospital scans to detect illness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Q13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Difícil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defending AI systems against malicious manipulation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Q14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Difícil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peeking inside language models to explain their behavior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Q15</w:t>
            </w:r>
          </w:p>
        </w:tc>
        <w:tc>
          <w:tcPr>
            <w:tcW w:w="9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Difícil</w:t>
            </w:r>
          </w:p>
        </w:tc>
        <w:tc>
          <w:tcPr>
            <w:tcW w:w="54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assistants that remember past experiences</w:t>
            </w:r>
          </w:p>
        </w:tc>
        <w:tc>
          <w:tcPr>
            <w:tcW w:w="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74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6. Consultas del benchmark y número de documentos relevantes (218 juicios: 131 con relevancia 2 y 87 con relevancia 1).</w:t>
      </w:r>
    </w:p>
    <w:p>
      <w:pPr>
        <w:pStyle w:val="Heading2"/>
        <w:rPr/>
      </w:pPr>
      <w:bookmarkStart w:id="9" w:name="_Toc10"/>
      <w:r>
        <w:rPr/>
        <w:t>6.2 Anotación de relevancia</w:t>
      </w:r>
      <w:bookmarkEnd w:id="9"/>
    </w:p>
    <w:p>
      <w:pPr>
        <w:pStyle w:val="Normal"/>
        <w:spacing w:lineRule="auto" w:line="276" w:before="0" w:after="120"/>
        <w:jc w:val="both"/>
        <w:rPr/>
      </w:pPr>
      <w:r>
        <w:rPr/>
        <w:t xml:space="preserve">Para cada consulta se anotaron entre 11 y 15 documentos relevantes en </w:t>
      </w:r>
      <w:r>
        <w:rPr>
          <w:rFonts w:eastAsia="Consolas" w:cs="Consolas" w:ascii="Consolas" w:hAnsi="Consolas"/>
          <w:sz w:val="20"/>
          <w:szCs w:val="20"/>
        </w:rPr>
        <w:t>data/benchmark/qrels.tsv</w:t>
      </w:r>
      <w:r>
        <w:rPr/>
        <w:t>: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Relevancia 2:</w:t>
      </w:r>
      <w:r>
        <w:rPr/>
        <w:t xml:space="preserve"> el abstract trata directamente el tema de la consulta.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Relevancia 1:</w:t>
      </w:r>
      <w:r>
        <w:rPr/>
        <w:t xml:space="preserve"> lo trata parcialmente o como un componente.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Los documentos que no aparecen en qrels cuentan como relevancia 0.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</w:rPr>
        <w:t>Protocolo anti-sesgo.</w:t>
      </w:r>
      <w:r>
        <w:rPr/>
        <w:t xml:space="preserve"> Las consultas se redactaron antes de ver resultados del sistema, y los relevantes se buscaron con palabras clave (término principal, sinónimos, siglas y variantes) sobre el corpus crudo, leyendo título y abstract de cada candidato. </w:t>
      </w:r>
      <w:r>
        <w:rPr>
          <w:b/>
          <w:bCs/>
        </w:rPr>
        <w:t>No</w:t>
      </w:r>
      <w:r>
        <w:rPr/>
        <w:t xml:space="preserve"> se usó el top-10 del propio VSM, porque eso inflaría P@10. Las consultas y los qrels se congelaron en el commit </w:t>
      </w:r>
      <w:r>
        <w:rPr>
          <w:rFonts w:eastAsia="Consolas" w:cs="Consolas" w:ascii="Consolas" w:hAnsi="Consolas"/>
          <w:sz w:val="20"/>
          <w:szCs w:val="20"/>
        </w:rPr>
        <w:t>553e1c1</w:t>
      </w:r>
      <w:r>
        <w:rPr/>
        <w:t xml:space="preserve"> («Benchmark v1: 15 consultas y qrels») antes de ejecutar ningún ranking. El script de evaluación valida automáticamente el formato (15 consultas, 5 por nivel, 3-8 palabras, relevancias 1 o 2, documentos existentes en el corpus).</w:t>
      </w:r>
    </w:p>
    <w:p>
      <w:pPr>
        <w:pStyle w:val="Heading1"/>
        <w:rPr/>
      </w:pPr>
      <w:bookmarkStart w:id="10" w:name="_Toc11"/>
      <w:r>
        <w:rPr/>
        <w:t>7. Métricas de evaluación</w:t>
      </w:r>
      <w:bookmarkEnd w:id="10"/>
    </w:p>
    <w:p>
      <w:pPr>
        <w:pStyle w:val="Normal"/>
        <w:spacing w:lineRule="auto" w:line="276" w:before="0" w:after="120"/>
        <w:jc w:val="both"/>
        <w:rPr/>
      </w:pPr>
      <w:r>
        <w:rPr/>
        <w:t xml:space="preserve">Todas las métricas se calculan sobre los 10 primeros resultados (k = 10) en </w:t>
      </w:r>
      <w:r>
        <w:rPr>
          <w:rFonts w:eastAsia="Consolas" w:cs="Consolas" w:ascii="Consolas" w:hAnsi="Consolas"/>
          <w:sz w:val="20"/>
          <w:szCs w:val="20"/>
        </w:rPr>
        <w:t>src/evaluate.py</w:t>
      </w:r>
      <w:r>
        <w:rPr/>
        <w:t>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60"/>
        <w:gridCol w:w="7800"/>
      </w:tblGrid>
      <w:tr>
        <w:trPr>
          <w:tblHeader w:val="true"/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Definición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P@10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Documentos relevantes en el top-10 dividido entre 10. El denominador es siempre 10, aunque el sistema devuelva menos resultados.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R@10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Documentos relevantes en el top-10 dividido entre el total de relevantes de la consulta.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F1@10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Media armónica de P@10 y R@10.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RR / MRR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Inverso de la posición del primer relevante (0 si no hay ninguno en el top-10). MRR es el promedio de RR.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nDCG@10</w:t>
            </w:r>
          </w:p>
        </w:tc>
        <w:tc>
          <w:tcPr>
            <w:tcW w:w="7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DCG = Σ (2^rel − 1) / log2(i + 1) sobre el top-10, dividido entre el DCG ideal calculado con todos los qrels de la consulta. Premia poner primero los documentos de relevancia 2.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7. Métricas. La implementación tiene 13 pruebas unitarias (</w:t>
      </w:r>
      <w:r>
        <w:rPr>
          <w:rFonts w:eastAsia="Consolas" w:cs="Consolas" w:ascii="Consolas" w:hAnsi="Consolas"/>
          <w:i/>
          <w:iCs/>
          <w:color w:val="555555"/>
          <w:sz w:val="18"/>
          <w:szCs w:val="18"/>
        </w:rPr>
        <w:t>tests/test_metrics.py</w:t>
      </w:r>
      <w:r>
        <w:rPr>
          <w:i/>
          <w:iCs/>
          <w:color w:val="555555"/>
          <w:sz w:val="18"/>
          <w:szCs w:val="18"/>
        </w:rPr>
        <w:t>) con ejemplos calculados a mano; todas pasan.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Como R@10 no puede llegar a 1 cuando una consulta tiene más de 10 relevantes, la métrica principal para comparar configuraciones es </w:t>
      </w:r>
      <w:r>
        <w:rPr>
          <w:b/>
          <w:bCs/>
        </w:rPr>
        <w:t>nDCG@10</w:t>
      </w:r>
      <w:r>
        <w:rPr/>
        <w:t>.</w:t>
      </w:r>
    </w:p>
    <w:p>
      <w:pPr>
        <w:pStyle w:val="Heading1"/>
        <w:rPr/>
      </w:pPr>
      <w:bookmarkStart w:id="11" w:name="_Toc12"/>
      <w:r>
        <w:rPr/>
        <w:t>8. Resultados globales</w:t>
      </w:r>
      <w:bookmarkEnd w:id="11"/>
    </w:p>
    <w:p>
      <w:pPr>
        <w:pStyle w:val="Heading2"/>
        <w:rPr/>
      </w:pPr>
      <w:bookmarkStart w:id="12" w:name="_Toc13"/>
      <w:r>
        <w:rPr/>
        <w:t>8.1 Comparación de las 12 configuraciones</w:t>
      </w:r>
      <w:bookmarkEnd w:id="12"/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439"/>
        <w:gridCol w:w="3304"/>
        <w:gridCol w:w="1100"/>
        <w:gridCol w:w="1101"/>
        <w:gridCol w:w="1102"/>
        <w:gridCol w:w="1100"/>
        <w:gridCol w:w="1214"/>
      </w:tblGrid>
      <w:tr>
        <w:trPr>
          <w:tblHeader w:val="true"/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P@10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R@10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F1@10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MRR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nDCG@10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/>
                <w:bCs/>
                <w:sz w:val="18"/>
                <w:szCs w:val="18"/>
              </w:rPr>
              <w:t>abstract · unigram · binary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0.427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0.289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0.345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0.764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0.423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 · tfidf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0.380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0.256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0.306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0.717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0.391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tfidf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0.235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0.278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0.657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0.377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tfidf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0.347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0.234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0.280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0.583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0.359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binary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0.313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0.215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0.255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0.650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0.349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frequency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0.287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0.197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0.233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0.630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0.332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frequency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0.313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0.213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0.253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0.589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0.331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tfidf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0.273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0.186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0.221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0.583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0.315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 · frequency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0.300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0.202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0.241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0.539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0.299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binary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0.190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0.226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0.589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0.299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frequency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0.240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0.165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0.195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0.494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0.283</w:t>
            </w:r>
          </w:p>
        </w:tc>
      </w:tr>
      <w:tr>
        <w:trPr>
          <w:cantSplit/>
        </w:trPr>
        <w:tc>
          <w:tcPr>
            <w:tcW w:w="4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33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binary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0.240</w:t>
            </w:r>
          </w:p>
        </w:tc>
        <w:tc>
          <w:tcPr>
            <w:tcW w:w="1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0.165</w:t>
            </w:r>
          </w:p>
        </w:tc>
        <w:tc>
          <w:tcPr>
            <w:tcW w:w="11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0.195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0.494</w:t>
            </w:r>
          </w:p>
        </w:tc>
        <w:tc>
          <w:tcPr>
            <w:tcW w:w="12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0.283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8. Promedio de las 15 consultas para cada configuración, ordenado por nDCG@10.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La mejor configuración es abstract · unigram · binary</w:t>
      </w:r>
      <w:r>
        <w:rPr/>
        <w:t xml:space="preserve"> (nDCG@10 = 0.423, P@10 = 0.427, MRR = 0.764), seguida de </w:t>
      </w:r>
      <w:r>
        <w:rPr>
          <w:rFonts w:eastAsia="Consolas" w:cs="Consolas" w:ascii="Consolas" w:hAnsi="Consolas"/>
          <w:sz w:val="20"/>
          <w:szCs w:val="20"/>
        </w:rPr>
        <w:t>abstract · unigram · tfidf</w:t>
      </w:r>
      <w:r>
        <w:rPr/>
        <w:t xml:space="preserve"> (0.391) y </w:t>
      </w:r>
      <w:r>
        <w:rPr>
          <w:rFonts w:eastAsia="Consolas" w:cs="Consolas" w:ascii="Consolas" w:hAnsi="Consolas"/>
          <w:sz w:val="20"/>
          <w:szCs w:val="20"/>
        </w:rPr>
        <w:t>title · unigram · tfidf</w:t>
      </w:r>
      <w:r>
        <w:rPr/>
        <w:t xml:space="preserve"> (0.377).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Unigramas mejor que bigramas</w:t>
      </w:r>
      <w:r>
        <w:rPr/>
        <w:t xml:space="preserve"> en promedio. Exigir que dos palabras aparezcan juntas y en el mismo orden restringe demasiado la búsqueda.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Abstract mejor que título</w:t>
      </w:r>
      <w:r>
        <w:rPr/>
        <w:t xml:space="preserve"> en promedio: el abstract tiene más contexto y variedad de vocabulario.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Las dos peores configuraciones (</w:t>
      </w:r>
      <w:r>
        <w:rPr>
          <w:rFonts w:eastAsia="Consolas" w:cs="Consolas" w:ascii="Consolas" w:hAnsi="Consolas"/>
          <w:sz w:val="20"/>
          <w:szCs w:val="20"/>
        </w:rPr>
        <w:t>title · bigram · frequency</w:t>
      </w:r>
      <w:r>
        <w:rPr/>
        <w:t xml:space="preserve"> y </w:t>
      </w:r>
      <w:r>
        <w:rPr>
          <w:rFonts w:eastAsia="Consolas" w:cs="Consolas" w:ascii="Consolas" w:hAnsi="Consolas"/>
          <w:sz w:val="20"/>
          <w:szCs w:val="20"/>
        </w:rPr>
        <w:t>title · bigram · binary</w:t>
      </w:r>
      <w:r>
        <w:rPr/>
        <w:t>) empatan en todas las métricas porque en los títulos casi ningún bigrama se repite.</w:t>
      </w:r>
    </w:p>
    <w:p>
      <w:pPr>
        <w:pStyle w:val="Heading2"/>
        <w:rPr/>
      </w:pPr>
      <w:bookmarkStart w:id="13" w:name="_Toc14"/>
      <w:r>
        <w:rPr/>
        <w:t>8.2 Resultados por nivel de dificultad</w:t>
      </w:r>
      <w:bookmarkEnd w:id="13"/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4010"/>
        <w:gridCol w:w="1338"/>
        <w:gridCol w:w="1336"/>
        <w:gridCol w:w="1338"/>
        <w:gridCol w:w="1338"/>
      </w:tblGrid>
      <w:tr>
        <w:trPr>
          <w:tblHeader w:val="true"/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Fácil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Difícil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Global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 · binary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0.526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0.584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0.159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0.423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 · tfidf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0.508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0.573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0.093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0.391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tfidf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0.519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0.448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0.163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0.377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tfidf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0.534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0.528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0.016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0.359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binary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0.467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0.410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0.171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0.349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unigram · frequency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0.464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0.369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0.162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0.332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frequency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0.459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0.488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0.047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0.331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tfidf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0.442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0.428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0.074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0.315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unigram · frequency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0.380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0.453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0.064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0.299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 · bigram · binary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0.406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0.473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0.017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0.299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frequency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0.406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0.372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0.071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0.283</w:t>
            </w:r>
          </w:p>
        </w:tc>
      </w:tr>
      <w:tr>
        <w:trPr>
          <w:cantSplit/>
        </w:trPr>
        <w:tc>
          <w:tcPr>
            <w:tcW w:w="4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 · bigram · binary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0.406</w:t>
            </w:r>
          </w:p>
        </w:tc>
        <w:tc>
          <w:tcPr>
            <w:tcW w:w="13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0.372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0.071</w:t>
            </w:r>
          </w:p>
        </w:tc>
        <w:tc>
          <w:tcPr>
            <w:tcW w:w="1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0.283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9. nDCG@10 promedio por nivel de dificultad (mismo orden que la Tabla 8).</w:t>
      </w:r>
    </w:p>
    <w:p>
      <w:pPr>
        <w:pStyle w:val="Normal"/>
        <w:spacing w:lineRule="auto" w:line="276" w:before="0" w:after="120"/>
        <w:jc w:val="both"/>
        <w:rPr/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t>En todas las configuraciones el nivel difícil queda muy por debajo de los otros dos (nDCG@10 entre 0.02 y 0.17). Entre fácil y media la diferencia es pequeña y, con el abstract, el nivel medio supera al fácil en 5 de las 6 configuraciones: algunas consultas medias (Q06, Q08) comparten muchos términos con sus abstracts, como ya se había anticipado al anotarlas, y la consulta fácil Q03 falla por un problema de lematización.</w:t>
      </w:r>
    </w:p>
    <w:p>
      <w:pPr>
        <w:pStyle w:val="Heading1"/>
        <w:rPr/>
      </w:pPr>
      <w:bookmarkStart w:id="14" w:name="_Toc15"/>
      <w:r>
        <w:rPr/>
        <w:t>9. Resultados por consulta</w:t>
      </w:r>
      <w:bookmarkEnd w:id="14"/>
    </w:p>
    <w:p>
      <w:pPr>
        <w:pStyle w:val="Normal"/>
        <w:spacing w:lineRule="auto" w:line="276" w:before="0" w:after="120"/>
        <w:jc w:val="both"/>
        <w:rPr/>
      </w:pPr>
      <w:r>
        <w:rPr/>
        <w:t xml:space="preserve">La Tabla 10 muestra el nDCG@10 de cada consulta en cada configuración; las tablas completas con las cinco métricas están en el Anexo A. Abreviaturas: </w:t>
      </w:r>
      <w:r>
        <w:rPr>
          <w:b/>
          <w:bCs/>
        </w:rPr>
        <w:t>T</w:t>
      </w:r>
      <w:r>
        <w:rPr/>
        <w:t>/</w:t>
      </w:r>
      <w:r>
        <w:rPr>
          <w:b/>
          <w:bCs/>
        </w:rPr>
        <w:t>A</w:t>
      </w:r>
      <w:r>
        <w:rPr/>
        <w:t xml:space="preserve"> = title/abstract; </w:t>
      </w:r>
      <w:r>
        <w:rPr>
          <w:b/>
          <w:bCs/>
        </w:rPr>
        <w:t>Uni</w:t>
      </w:r>
      <w:r>
        <w:rPr/>
        <w:t>/</w:t>
      </w:r>
      <w:r>
        <w:rPr>
          <w:b/>
          <w:bCs/>
        </w:rPr>
        <w:t>Bi</w:t>
      </w:r>
      <w:r>
        <w:rPr/>
        <w:t xml:space="preserve"> = unigram/bigram; </w:t>
      </w:r>
      <w:r>
        <w:rPr>
          <w:b/>
          <w:bCs/>
        </w:rPr>
        <w:t>Fr</w:t>
      </w:r>
      <w:r>
        <w:rPr/>
        <w:t>/</w:t>
      </w:r>
      <w:r>
        <w:rPr>
          <w:b/>
          <w:bCs/>
        </w:rPr>
        <w:t>Bin</w:t>
      </w:r>
      <w:r>
        <w:rPr/>
        <w:t>/</w:t>
      </w:r>
      <w:r>
        <w:rPr>
          <w:b/>
          <w:bCs/>
        </w:rPr>
        <w:t>TfIdf</w:t>
      </w:r>
      <w:r>
        <w:rPr/>
        <w:t xml:space="preserve"> = frequency/binary/tfidf. En verde, el mejor valor de cada consulta.</w:t>
      </w:r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35"/>
        <w:gridCol w:w="936"/>
        <w:gridCol w:w="937"/>
        <w:gridCol w:w="936"/>
        <w:gridCol w:w="935"/>
        <w:gridCol w:w="936"/>
        <w:gridCol w:w="936"/>
        <w:gridCol w:w="937"/>
        <w:gridCol w:w="936"/>
        <w:gridCol w:w="935"/>
        <w:gridCol w:w="936"/>
        <w:gridCol w:w="937"/>
        <w:gridCol w:w="936"/>
        <w:gridCol w:w="748"/>
        <w:gridCol w:w="764"/>
      </w:tblGrid>
      <w:tr>
        <w:trPr>
          <w:tblHeader w:val="true"/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Consulta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T-Uni-Fr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T-Uni-Bin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T-Uni-TfIdf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T-Bi-Fr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T-Bi-Bin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T-Bi-TfIdf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A-Uni-Fr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A-Uni-Bin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A-Uni-TfIdf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A-Bi-Fr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A-Bi-Bin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A-Bi-TfIdf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Máx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0.75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0.67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0.47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0.79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0.78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0.81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0.81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0.65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0.56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0.42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0.58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0.82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0.82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0.43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0.35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0.46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0.07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Q04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0.67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0.73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0.73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0.58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0.67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0.47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0.48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0.73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0.63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0.59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0.48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0.56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0.67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0.52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0.68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0.66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0.64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0.65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0.84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0.64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Q07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0.14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0.18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0.12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0.29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0.53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0.68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0.74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0.74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0.42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Q08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0.77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0.77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0.80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0.81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0.71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0.81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0.73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Q09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0.26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0.34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0.79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0.79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0.12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0.47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0.36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0.68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0.73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0.36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0.55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0.73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0.38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Q11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0.08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0.25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0.13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0.08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0.01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Q13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0.31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0.32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0.22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0.14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0.32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0.11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Q14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0.07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0.12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0.14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0.19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0.04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0.03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0.19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0.07</w:t>
            </w:r>
          </w:p>
        </w:tc>
      </w:tr>
      <w:tr>
        <w:trPr>
          <w:cantSplit/>
        </w:trPr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6"/>
                <w:szCs w:val="16"/>
              </w:rPr>
              <w:t>Q15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0.18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0.18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0.18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0.00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0.35</w:t>
            </w:r>
          </w:p>
        </w:tc>
        <w:tc>
          <w:tcPr>
            <w:tcW w:w="93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0.32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0.05</w:t>
            </w:r>
          </w:p>
        </w:tc>
        <w:tc>
          <w:tcPr>
            <w:tcW w:w="9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0.05</w:t>
            </w:r>
          </w:p>
        </w:tc>
        <w:tc>
          <w:tcPr>
            <w:tcW w:w="9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0.05</w:t>
            </w:r>
          </w:p>
        </w:tc>
        <w:tc>
          <w:tcPr>
            <w:tcW w:w="7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0.35</w:t>
            </w:r>
          </w:p>
        </w:tc>
        <w:tc>
          <w:tcPr>
            <w:tcW w:w="7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0.14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10. nDCG@10 por consulta y configuración. «Máx» es el mejor valor alcanzable eligiendo la configuración ideal para cada consulta (media 0.57 frente a 0.42 de la mejor configuración fija).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</w:rPr>
        <w:t>Ninguna configuración gana siempre.</w:t>
      </w:r>
      <w:r>
        <w:rPr/>
        <w:t xml:space="preserve"> Contando empates, el mejor resultado se reparte entre 10 de las 12 configuraciones. </w:t>
      </w:r>
      <w:r>
        <w:rPr>
          <w:rFonts w:eastAsia="Consolas" w:cs="Consolas" w:ascii="Consolas" w:hAnsi="Consolas"/>
          <w:sz w:val="20"/>
          <w:szCs w:val="20"/>
        </w:rPr>
        <w:t>title · unigram · tfidf</w:t>
      </w:r>
      <w:r>
        <w:rPr/>
        <w:t xml:space="preserve"> es la mejor en 4 consultas (Q05, Q06, Q11, Q12), </w:t>
      </w:r>
      <w:r>
        <w:rPr>
          <w:rFonts w:eastAsia="Consolas" w:cs="Consolas" w:ascii="Consolas" w:hAnsi="Consolas"/>
          <w:sz w:val="20"/>
          <w:szCs w:val="20"/>
        </w:rPr>
        <w:t>abstract · unigram · tfidf</w:t>
      </w:r>
      <w:r>
        <w:rPr/>
        <w:t xml:space="preserve"> en 3 (Q03, Q09, Q10) y </w:t>
      </w:r>
      <w:r>
        <w:rPr>
          <w:rFonts w:eastAsia="Consolas" w:cs="Consolas" w:ascii="Consolas" w:hAnsi="Consolas"/>
          <w:sz w:val="20"/>
          <w:szCs w:val="20"/>
        </w:rPr>
        <w:t>abstract · bigram · tfidf</w:t>
      </w:r>
      <w:r>
        <w:rPr/>
        <w:t xml:space="preserve"> en 3 (Q01, Q02, Q07). La configuración con mejor promedio, </w:t>
      </w:r>
      <w:r>
        <w:rPr>
          <w:rFonts w:eastAsia="Consolas" w:cs="Consolas" w:ascii="Consolas" w:hAnsi="Consolas"/>
          <w:sz w:val="20"/>
          <w:szCs w:val="20"/>
        </w:rPr>
        <w:t>abstract · unigram · binary</w:t>
      </w:r>
      <w:r>
        <w:rPr/>
        <w:t>, solo es la mejor en Q15.</w:t>
      </w:r>
    </w:p>
    <w:p>
      <w:pPr>
        <w:pStyle w:val="Heading2"/>
        <w:rPr/>
      </w:pPr>
      <w:bookmarkStart w:id="15" w:name="_Toc16"/>
      <w:r>
        <w:rPr/>
        <w:t>9.1 Efecto de cada parámetro</w:t>
      </w:r>
      <w:bookmarkEnd w:id="15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59"/>
        <w:gridCol w:w="2280"/>
        <w:gridCol w:w="1901"/>
        <w:gridCol w:w="1900"/>
        <w:gridCol w:w="1900"/>
        <w:gridCol w:w="3040"/>
      </w:tblGrid>
      <w:tr>
        <w:trPr>
          <w:tblHeader w:val="true"/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P@10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MRR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nDCG@10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Consultas en que gana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Campo</w:t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abstract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0.341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0.630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0.350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/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title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0.282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0.585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0.323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N-grama</w:t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unigram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0.341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0.659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0.362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/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bigram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0.282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0.556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0.312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Representación</w:t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tfidf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0.335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0.635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0.361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/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binary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0.315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0.624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0.339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w="26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/>
            </w:r>
          </w:p>
        </w:tc>
        <w:tc>
          <w:tcPr>
            <w:tcW w:w="22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frequency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0.285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0.563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0.311</w:t>
            </w:r>
          </w:p>
        </w:tc>
        <w:tc>
          <w:tcPr>
            <w:tcW w:w="30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11. Promedio de las 15 consultas sobre todas las configuraciones que comparten el valor del parámetro. La última columna cuenta en cuántas consultas ese valor tiene el mejor nDCG@10 medio.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Campo.</w:t>
      </w:r>
      <w:r>
        <w:rPr/>
        <w:t xml:space="preserve"> En promedio gana </w:t>
      </w:r>
      <w:r>
        <w:rPr>
          <w:rFonts w:eastAsia="Consolas" w:cs="Consolas" w:ascii="Consolas" w:hAnsi="Consolas"/>
          <w:sz w:val="20"/>
          <w:szCs w:val="20"/>
        </w:rPr>
        <w:t>abstract</w:t>
      </w:r>
      <w:r>
        <w:rPr/>
        <w:t xml:space="preserve">, pero </w:t>
      </w:r>
      <w:r>
        <w:rPr>
          <w:rFonts w:eastAsia="Consolas" w:cs="Consolas" w:ascii="Consolas" w:hAnsi="Consolas"/>
          <w:sz w:val="20"/>
          <w:szCs w:val="20"/>
        </w:rPr>
        <w:t>title</w:t>
      </w:r>
      <w:r>
        <w:rPr/>
        <w:t xml:space="preserve"> gana en más consultas (9 de 15). El abstract rescata consultas que el título no resuelve (Q03, Q09 y Q10 tienen nDCG@10 de 0 o casi 0 en todas las variantes de título). El título es más preciso cuando la consulta repite lo que un autor pondría en el título (Q04, Q05, Q06, Q08, Q11, Q13).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N-grama.</w:t>
      </w:r>
      <w:r>
        <w:rPr/>
        <w:t xml:space="preserve"> Los unigramas ganan en 9 consultas y en todas las métricas. Los bigramas solo ayudan cuando la consulta contiene una expresión fija que los artículos repiten literalmente: Q01 (</w:t>
      </w:r>
      <w:r>
        <w:rPr>
          <w:i/>
          <w:iCs/>
        </w:rPr>
        <w:t>sequential recommendation</w:t>
      </w:r>
      <w:r>
        <w:rPr/>
        <w:t>), Q02 (</w:t>
      </w:r>
      <w:r>
        <w:rPr>
          <w:i/>
          <w:iCs/>
        </w:rPr>
        <w:t>long video</w:t>
      </w:r>
      <w:r>
        <w:rPr/>
        <w:t xml:space="preserve">, </w:t>
      </w:r>
      <w:r>
        <w:rPr>
          <w:i/>
          <w:iCs/>
        </w:rPr>
        <w:t>video understanding</w:t>
      </w:r>
      <w:r>
        <w:rPr/>
        <w:t>) y Q07 (</w:t>
      </w:r>
      <w:r>
        <w:rPr>
          <w:i/>
          <w:iCs/>
        </w:rPr>
        <w:t>low rank</w:t>
      </w:r>
      <w:r>
        <w:rPr/>
        <w:t xml:space="preserve">, </w:t>
      </w:r>
      <w:r>
        <w:rPr>
          <w:i/>
          <w:iCs/>
        </w:rPr>
        <w:t>fine tune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  <w:sectPr>
          <w:footerReference w:type="even" r:id="rId5"/>
          <w:footerReference w:type="default" r:id="rId6"/>
          <w:footerReference w:type="first" r:id="rId7"/>
          <w:type w:val="nextPage"/>
          <w:pgSz w:orient="landscape" w:w="15840" w:h="12240"/>
          <w:pgMar w:left="1080" w:right="1080" w:gutter="0" w:header="0" w:top="1080" w:footer="708" w:bottom="108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</w:rPr>
        <w:t>Representación.</w:t>
      </w:r>
      <w:r>
        <w:rPr/>
        <w:t xml:space="preserve"> TF-IDF tiene el mejor promedio, pero la binaria gana en más consultas. Con frecuencia, los abstracts que repiten muchas veces una palabra genérica (</w:t>
      </w:r>
      <w:r>
        <w:rPr>
          <w:i/>
          <w:iCs/>
        </w:rPr>
        <w:t>model</w:t>
      </w:r>
      <w:r>
        <w:rPr/>
        <w:t xml:space="preserve">, </w:t>
      </w:r>
      <w:r>
        <w:rPr>
          <w:i/>
          <w:iCs/>
        </w:rPr>
        <w:t>language</w:t>
      </w:r>
      <w:r>
        <w:rPr/>
        <w:t>) suben en el ranking; la binaria neutraliza esa repetición y TF-IDF la compensa con el IDF. La de frecuencia es la peor en casi todas las consultas.</w:t>
      </w:r>
    </w:p>
    <w:p>
      <w:pPr>
        <w:pStyle w:val="Heading1"/>
        <w:rPr/>
      </w:pPr>
      <w:bookmarkStart w:id="16" w:name="_Toc17"/>
      <w:r>
        <w:rPr/>
        <w:t>10. Análisis por consulta</w:t>
      </w:r>
      <w:bookmarkEnd w:id="16"/>
    </w:p>
    <w:p>
      <w:pPr>
        <w:pStyle w:val="Normal"/>
        <w:spacing w:lineRule="auto" w:line="276" w:before="0" w:after="120"/>
        <w:jc w:val="both"/>
        <w:rPr/>
      </w:pPr>
      <w:r>
        <w:rPr/>
        <w:t>Gran parte del comportamiento se explica viendo qué términos de la consulta sobreviven a la normalización y existen en el vocabulario de cada modelo: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010"/>
        <w:gridCol w:w="3036"/>
        <w:gridCol w:w="2529"/>
        <w:gridCol w:w="2785"/>
      </w:tblGrid>
      <w:tr>
        <w:trPr>
          <w:tblHeader w:val="true"/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Consulta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Normalizada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Términos útiles en title · bigram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Términos útiles en abstract · bigram</w:t>
            </w:r>
          </w:p>
        </w:tc>
      </w:tr>
      <w:tr>
        <w:trPr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Q03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reranke retrieve document large language model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language, language model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retrieve document, large language, language model</w:t>
            </w:r>
          </w:p>
        </w:tc>
      </w:tr>
      <w:tr>
        <w:trPr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Q09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language model judge evaluation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language, language model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language, language model</w:t>
            </w:r>
          </w:p>
        </w:tc>
      </w:tr>
      <w:tr>
        <w:trPr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Q12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read hospital scan to detect illness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ninguno (consulta vacía)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to detect</w:t>
            </w:r>
          </w:p>
        </w:tc>
      </w:tr>
      <w:tr>
        <w:trPr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Q13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defend ai system malicious manipulation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ninguno (consulta vacía)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system</w:t>
            </w:r>
          </w:p>
        </w:tc>
      </w:tr>
      <w:tr>
        <w:trPr>
          <w:cantSplit/>
        </w:trPr>
        <w:tc>
          <w:tcPr>
            <w:tcW w:w="101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Q15</w:t>
            </w:r>
          </w:p>
        </w:tc>
        <w:tc>
          <w:tcPr>
            <w:tcW w:w="30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assistant remember past experience</w:t>
            </w:r>
          </w:p>
        </w:tc>
        <w:tc>
          <w:tcPr>
            <w:tcW w:w="252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ninguno (consulta vacía)</w:t>
            </w:r>
          </w:p>
        </w:tc>
        <w:tc>
          <w:tcPr>
            <w:tcW w:w="27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remember past, past experience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12. Términos de la consulta presentes en el vocabulario de los modelos de bigramas.</w:t>
      </w:r>
    </w:p>
    <w:p>
      <w:pPr>
        <w:pStyle w:val="Heading2"/>
        <w:rPr/>
      </w:pPr>
      <w:bookmarkStart w:id="17" w:name="_Toc18"/>
      <w:r>
        <w:rPr/>
        <w:t>10.1 Consultas fáciles</w:t>
      </w:r>
      <w:bookmarkEnd w:id="17"/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Q01 — sequential recommendation with user behavior sequences</w:t>
      </w:r>
      <w:r>
        <w:rPr/>
        <w:t xml:space="preserve"> (máx 0.81, A-Bi-TfIdf). Funciona en las 12 configuraciones (RR = 1 en todas). Los bigramas del abstract capturan la expresión fija </w:t>
      </w:r>
      <w:r>
        <w:rPr>
          <w:i/>
          <w:iCs/>
        </w:rPr>
        <w:t>sequential recommendation</w:t>
      </w:r>
      <w:r>
        <w:rPr/>
        <w:t xml:space="preserve">. La peor es </w:t>
      </w:r>
      <w:r>
        <w:rPr>
          <w:rFonts w:eastAsia="Consolas" w:cs="Consolas" w:ascii="Consolas" w:hAnsi="Consolas"/>
          <w:sz w:val="20"/>
          <w:szCs w:val="20"/>
        </w:rPr>
        <w:t>abstract · unigram · frequency</w:t>
      </w:r>
      <w:r>
        <w:rPr/>
        <w:t xml:space="preserve"> (0.39), porque </w:t>
      </w:r>
      <w:r>
        <w:rPr>
          <w:i/>
          <w:iCs/>
        </w:rPr>
        <w:t>user</w:t>
      </w:r>
      <w:r>
        <w:rPr/>
        <w:t xml:space="preserve"> y </w:t>
      </w:r>
      <w:r>
        <w:rPr>
          <w:i/>
          <w:iCs/>
        </w:rPr>
        <w:t>sequence</w:t>
      </w:r>
      <w:r>
        <w:rPr/>
        <w:t xml:space="preserve"> son frecuentes en abstracts de otros temas.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Q02 — long video understanding with vision-language models</w:t>
      </w:r>
      <w:r>
        <w:rPr/>
        <w:t xml:space="preserve"> (máx 0.82, A-Bi-TfIdf). Muy sensible a la representación: con </w:t>
      </w:r>
      <w:r>
        <w:rPr>
          <w:rFonts w:eastAsia="Consolas" w:cs="Consolas" w:ascii="Consolas" w:hAnsi="Consolas"/>
          <w:sz w:val="20"/>
          <w:szCs w:val="20"/>
        </w:rPr>
        <w:t>abstract · bigram</w:t>
      </w:r>
      <w:r>
        <w:rPr/>
        <w:t xml:space="preserve"> pasa de 0.23 (binaria) a 0.82 (TF-IDF). El bigrama </w:t>
      </w:r>
      <w:r>
        <w:rPr>
          <w:i/>
          <w:iCs/>
        </w:rPr>
        <w:t>language model</w:t>
      </w:r>
      <w:r>
        <w:rPr/>
        <w:t xml:space="preserve"> aparece en casi todo el corpus y, sin IDF, llena el ranking de artículos de LLM que no tratan de vídeo.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Q03 — reranking retrieved documents with large language models</w:t>
      </w:r>
      <w:r>
        <w:rPr/>
        <w:t xml:space="preserve"> (máx 0.46, A-Uni-TfIdf). La peor consulta fácil: nDCG@10 = 0 en 10 de las 12 configuraciones. El lematizador convierte </w:t>
      </w:r>
      <w:r>
        <w:rPr>
          <w:i/>
          <w:iCs/>
        </w:rPr>
        <w:t>reranking</w:t>
      </w:r>
      <w:r>
        <w:rPr/>
        <w:t xml:space="preserve"> en </w:t>
      </w:r>
      <w:r>
        <w:rPr>
          <w:rFonts w:eastAsia="Consolas" w:cs="Consolas" w:ascii="Consolas" w:hAnsi="Consolas"/>
          <w:sz w:val="20"/>
          <w:szCs w:val="20"/>
        </w:rPr>
        <w:t>reranke</w:t>
      </w:r>
      <w:r>
        <w:rPr/>
        <w:t xml:space="preserve">, que solo existe en el vocabulario de </w:t>
      </w:r>
      <w:r>
        <w:rPr>
          <w:rFonts w:eastAsia="Consolas" w:cs="Consolas" w:ascii="Consolas" w:hAnsi="Consolas"/>
          <w:sz w:val="20"/>
          <w:szCs w:val="20"/>
        </w:rPr>
        <w:t>abstract · unigram</w:t>
      </w:r>
      <w:r>
        <w:rPr/>
        <w:t xml:space="preserve">; en el resto la consulta queda en </w:t>
      </w:r>
      <w:r>
        <w:rPr>
          <w:i/>
          <w:iCs/>
        </w:rPr>
        <w:t>document</w:t>
      </w:r>
      <w:r>
        <w:rPr/>
        <w:t xml:space="preserve"> y </w:t>
      </w:r>
      <w:r>
        <w:rPr>
          <w:i/>
          <w:iCs/>
        </w:rPr>
        <w:t>large language model</w:t>
      </w:r>
      <w:r>
        <w:rPr/>
        <w:t>, y recupera artículos genéricos sobre LLM.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Q04 — video generation with diffusion models</w:t>
      </w:r>
      <w:r>
        <w:rPr/>
        <w:t xml:space="preserve"> (máx 0.73, T-Bi-Fr/Bin). Estable en todas las configuraciones (0.47–0.73) y mejor con el título, porque los artículos de generación de vídeo lo dicen en el título.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Q05 — retrieval-augmented generation for multi-hop question answering</w:t>
      </w:r>
      <w:r>
        <w:rPr/>
        <w:t xml:space="preserve"> (máx 0.67, T-Uni-TfIdf). Mejor con el título. En </w:t>
      </w:r>
      <w:r>
        <w:rPr>
          <w:rFonts w:eastAsia="Consolas" w:cs="Consolas" w:ascii="Consolas" w:hAnsi="Consolas"/>
          <w:sz w:val="20"/>
          <w:szCs w:val="20"/>
        </w:rPr>
        <w:t>abstract · unigram</w:t>
      </w:r>
      <w:r>
        <w:rPr/>
        <w:t xml:space="preserve"> el MRR baja a 0.25–0.33 porque </w:t>
      </w:r>
      <w:r>
        <w:rPr>
          <w:i/>
          <w:iCs/>
        </w:rPr>
        <w:t>generation</w:t>
      </w:r>
      <w:r>
        <w:rPr/>
        <w:t xml:space="preserve">, </w:t>
      </w:r>
      <w:r>
        <w:rPr>
          <w:i/>
          <w:iCs/>
        </w:rPr>
        <w:t>question</w:t>
      </w:r>
      <w:r>
        <w:rPr/>
        <w:t xml:space="preserve"> y </w:t>
      </w:r>
      <w:r>
        <w:rPr>
          <w:i/>
          <w:iCs/>
        </w:rPr>
        <w:t>answer</w:t>
      </w:r>
      <w:r>
        <w:rPr/>
        <w:t xml:space="preserve"> son muy comunes en los abstracts.</w:t>
      </w:r>
    </w:p>
    <w:p>
      <w:pPr>
        <w:pStyle w:val="Heading2"/>
        <w:rPr/>
      </w:pPr>
      <w:bookmarkStart w:id="18" w:name="_Toc19"/>
      <w:r>
        <w:rPr/>
        <w:t>10.2 Consultas medias</w:t>
      </w:r>
      <w:bookmarkEnd w:id="18"/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Q06 — on-policy self-distillation for reasoning models</w:t>
      </w:r>
      <w:r>
        <w:rPr/>
        <w:t xml:space="preserve"> (máx 0.84, T-Uni-TfIdf). El título es el campo adecuado (0.68–0.84). Con </w:t>
      </w:r>
      <w:r>
        <w:rPr>
          <w:rFonts w:eastAsia="Consolas" w:cs="Consolas" w:ascii="Consolas" w:hAnsi="Consolas"/>
          <w:sz w:val="20"/>
          <w:szCs w:val="20"/>
        </w:rPr>
        <w:t>abstract · unigram · frequency</w:t>
      </w:r>
      <w:r>
        <w:rPr/>
        <w:t xml:space="preserve"> cae a 0.21: </w:t>
      </w:r>
      <w:r>
        <w:rPr>
          <w:i/>
          <w:iCs/>
        </w:rPr>
        <w:t>model</w:t>
      </w:r>
      <w:r>
        <w:rPr/>
        <w:t xml:space="preserve"> y </w:t>
      </w:r>
      <w:r>
        <w:rPr>
          <w:i/>
          <w:iCs/>
        </w:rPr>
        <w:t>policy</w:t>
      </w:r>
      <w:r>
        <w:rPr/>
        <w:t xml:space="preserve"> se repiten en muchos abstracts de RL y LLM.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Q07 — parameter-efficient fine-tuning with low-rank adapters</w:t>
      </w:r>
      <w:r>
        <w:rPr/>
        <w:t xml:space="preserve"> (máx 0.74, A-Bi-TfIdf). La mayor diferencia entre campos: título ≤ 0.29 y abstract 0.50–0.74. </w:t>
      </w:r>
      <w:r>
        <w:rPr>
          <w:i/>
          <w:iCs/>
        </w:rPr>
        <w:t>adapter</w:t>
      </w:r>
      <w:r>
        <w:rPr/>
        <w:t xml:space="preserve"> ni siquiera está en el vocabulario de títulos; probablemente los títulos usan el nombre del método (</w:t>
      </w:r>
      <w:r>
        <w:rPr>
          <w:i/>
          <w:iCs/>
        </w:rPr>
        <w:t>LoRA</w:t>
      </w:r>
      <w:r>
        <w:rPr/>
        <w:t>) y el abstract lo explica con las palabras de la consulta.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Q08 — policy optimization in reinforcement learning</w:t>
      </w:r>
      <w:r>
        <w:rPr/>
        <w:t xml:space="preserve"> (máx 0.81). La consulta más fácil del benchmark (media 0.73, RR = 1 en las 12 configuraciones): </w:t>
      </w:r>
      <w:r>
        <w:rPr>
          <w:i/>
          <w:iCs/>
        </w:rPr>
        <w:t>policy optimization</w:t>
      </w:r>
      <w:r>
        <w:rPr/>
        <w:t xml:space="preserve"> y </w:t>
      </w:r>
      <w:r>
        <w:rPr>
          <w:i/>
          <w:iCs/>
        </w:rPr>
        <w:t>reinforcement learning</w:t>
      </w:r>
      <w:r>
        <w:rPr/>
        <w:t xml:space="preserve"> son expresiones exactas y frecuentes en los títulos.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Q09 — large language models as judges for evaluation</w:t>
      </w:r>
      <w:r>
        <w:rPr/>
        <w:t xml:space="preserve"> (máx 0.79, A-Uni-TfIdf). nDCG@10 = 0 en 9 de 12. Con bigramas, </w:t>
      </w:r>
      <w:r>
        <w:rPr>
          <w:i/>
          <w:iCs/>
        </w:rPr>
        <w:t>model judge</w:t>
      </w:r>
      <w:r>
        <w:rPr/>
        <w:t xml:space="preserve"> y </w:t>
      </w:r>
      <w:r>
        <w:rPr>
          <w:i/>
          <w:iCs/>
        </w:rPr>
        <w:t>judge evaluation</w:t>
      </w:r>
      <w:r>
        <w:rPr/>
        <w:t xml:space="preserve"> no existen en el vocabulario y la consulta queda en </w:t>
      </w:r>
      <w:r>
        <w:rPr>
          <w:i/>
          <w:iCs/>
        </w:rPr>
        <w:t>large language model</w:t>
      </w:r>
      <w:r>
        <w:rPr/>
        <w:t xml:space="preserve">, que coincide con medio corpus. Solo </w:t>
      </w:r>
      <w:r>
        <w:rPr>
          <w:rFonts w:eastAsia="Consolas" w:cs="Consolas" w:ascii="Consolas" w:hAnsi="Consolas"/>
          <w:sz w:val="20"/>
          <w:szCs w:val="20"/>
        </w:rPr>
        <w:t>abstract · unigram · tfidf</w:t>
      </w:r>
      <w:r>
        <w:rPr/>
        <w:t xml:space="preserve"> funciona bien: el IDF da peso a </w:t>
      </w:r>
      <w:r>
        <w:rPr>
          <w:i/>
          <w:iCs/>
        </w:rPr>
        <w:t>judge</w:t>
      </w:r>
      <w:r>
        <w:rPr/>
        <w:t>, el término que distingue el tema.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Q10 — multilingual language models for low-resource languages</w:t>
      </w:r>
      <w:r>
        <w:rPr/>
        <w:t xml:space="preserve"> (máx 0.73, A-Uni-TfIdf). Mejor en </w:t>
      </w:r>
      <w:r>
        <w:rPr>
          <w:rFonts w:eastAsia="Consolas" w:cs="Consolas" w:ascii="Consolas" w:hAnsi="Consolas"/>
          <w:sz w:val="20"/>
          <w:szCs w:val="20"/>
        </w:rPr>
        <w:t>abstract · unigram</w:t>
      </w:r>
      <w:r>
        <w:rPr/>
        <w:t xml:space="preserve">. Con </w:t>
      </w:r>
      <w:r>
        <w:rPr>
          <w:rFonts w:eastAsia="Consolas" w:cs="Consolas" w:ascii="Consolas" w:hAnsi="Consolas"/>
          <w:sz w:val="20"/>
          <w:szCs w:val="20"/>
        </w:rPr>
        <w:t>title · bigram</w:t>
      </w:r>
      <w:r>
        <w:rPr/>
        <w:t xml:space="preserve"> (frecuencia y binaria) da 0: los únicos bigramas útiles son </w:t>
      </w:r>
      <w:r>
        <w:rPr>
          <w:i/>
          <w:iCs/>
        </w:rPr>
        <w:t>language model</w:t>
      </w:r>
      <w:r>
        <w:rPr/>
        <w:t xml:space="preserve"> y </w:t>
      </w:r>
      <w:r>
        <w:rPr>
          <w:i/>
          <w:iCs/>
        </w:rPr>
        <w:t>low resource</w:t>
      </w:r>
      <w:r>
        <w:rPr/>
        <w:t>, y el primero domina sin IDF.</w:t>
      </w:r>
    </w:p>
    <w:p>
      <w:pPr>
        <w:pStyle w:val="Heading2"/>
        <w:rPr/>
      </w:pPr>
      <w:bookmarkStart w:id="19" w:name="_Toc20"/>
      <w:r>
        <w:rPr/>
        <w:t>10.3 Consultas difíciles</w:t>
      </w:r>
      <w:bookmarkEnd w:id="19"/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Q11 — making neural networks smaller and faster</w:t>
      </w:r>
      <w:r>
        <w:rPr/>
        <w:t xml:space="preserve"> (máx 0.25). Las seis configuraciones de título dan exactamente 0.254 (un relevante en la posición 1) y las de abstract dan 0 o casi 0. El único término compartido es </w:t>
      </w:r>
      <w:r>
        <w:rPr>
          <w:i/>
          <w:iCs/>
        </w:rPr>
        <w:t>neural network</w:t>
      </w:r>
      <w:r>
        <w:rPr/>
        <w:t xml:space="preserve">; los relevantes usan </w:t>
      </w:r>
      <w:r>
        <w:rPr>
          <w:i/>
          <w:iCs/>
        </w:rPr>
        <w:t>quantization</w:t>
      </w:r>
      <w:r>
        <w:rPr/>
        <w:t xml:space="preserve">, </w:t>
      </w:r>
      <w:r>
        <w:rPr>
          <w:i/>
          <w:iCs/>
        </w:rPr>
        <w:t>pruning</w:t>
      </w:r>
      <w:r>
        <w:rPr/>
        <w:t xml:space="preserve"> o </w:t>
      </w:r>
      <w:r>
        <w:rPr>
          <w:i/>
          <w:iCs/>
        </w:rPr>
        <w:t>compression</w:t>
      </w:r>
      <w:r>
        <w:rPr/>
        <w:t>, que la consulta no menciona.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Q12 — AI reading hospital scans to detect illness</w:t>
      </w:r>
      <w:r>
        <w:rPr/>
        <w:t xml:space="preserve"> (máx 0.08). La peor consulta: 0 en 11 de 12 configuraciones. Con </w:t>
      </w:r>
      <w:r>
        <w:rPr>
          <w:rFonts w:eastAsia="Consolas" w:cs="Consolas" w:ascii="Consolas" w:hAnsi="Consolas"/>
          <w:sz w:val="20"/>
          <w:szCs w:val="20"/>
        </w:rPr>
        <w:t>title · bigram</w:t>
      </w:r>
      <w:r>
        <w:rPr/>
        <w:t xml:space="preserve"> la consulta queda vacía; en el resto solo coinciden términos sin valor temático (</w:t>
      </w:r>
      <w:r>
        <w:rPr>
          <w:i/>
          <w:iCs/>
        </w:rPr>
        <w:t>ai</w:t>
      </w:r>
      <w:r>
        <w:rPr/>
        <w:t xml:space="preserve">, </w:t>
      </w:r>
      <w:r>
        <w:rPr>
          <w:i/>
          <w:iCs/>
        </w:rPr>
        <w:t>read</w:t>
      </w:r>
      <w:r>
        <w:rPr/>
        <w:t xml:space="preserve">, </w:t>
      </w:r>
      <w:r>
        <w:rPr>
          <w:i/>
          <w:iCs/>
        </w:rPr>
        <w:t>to</w:t>
      </w:r>
      <w:r>
        <w:rPr/>
        <w:t xml:space="preserve">). Los relevantes hablan de </w:t>
      </w:r>
      <w:r>
        <w:rPr>
          <w:i/>
          <w:iCs/>
        </w:rPr>
        <w:t>MRI</w:t>
      </w:r>
      <w:r>
        <w:rPr/>
        <w:t xml:space="preserve">, </w:t>
      </w:r>
      <w:r>
        <w:rPr>
          <w:i/>
          <w:iCs/>
        </w:rPr>
        <w:t>X-ray</w:t>
      </w:r>
      <w:r>
        <w:rPr/>
        <w:t xml:space="preserve">, </w:t>
      </w:r>
      <w:r>
        <w:rPr>
          <w:i/>
          <w:iCs/>
        </w:rPr>
        <w:t>radiology</w:t>
      </w:r>
      <w:r>
        <w:rPr/>
        <w:t xml:space="preserve"> y </w:t>
      </w:r>
      <w:r>
        <w:rPr>
          <w:i/>
          <w:iCs/>
        </w:rPr>
        <w:t>diagnosis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Q13 — defending AI systems against malicious manipulation</w:t>
      </w:r>
      <w:r>
        <w:rPr/>
        <w:t xml:space="preserve"> (máx 0.32, T-Uni-Bin). Solo funciona con unigramas; con bigramas se reduce a </w:t>
      </w:r>
      <w:r>
        <w:rPr>
          <w:i/>
          <w:iCs/>
        </w:rPr>
        <w:t>ai system</w:t>
      </w:r>
      <w:r>
        <w:rPr/>
        <w:t xml:space="preserve"> (abstract) o queda vacía (título). Los relevantes usan </w:t>
      </w:r>
      <w:r>
        <w:rPr>
          <w:i/>
          <w:iCs/>
        </w:rPr>
        <w:t>adversarial</w:t>
      </w:r>
      <w:r>
        <w:rPr/>
        <w:t xml:space="preserve">, </w:t>
      </w:r>
      <w:r>
        <w:rPr>
          <w:i/>
          <w:iCs/>
        </w:rPr>
        <w:t>backdoor</w:t>
      </w:r>
      <w:r>
        <w:rPr/>
        <w:t xml:space="preserve">, </w:t>
      </w:r>
      <w:r>
        <w:rPr>
          <w:i/>
          <w:iCs/>
        </w:rPr>
        <w:t>poisoning</w:t>
      </w:r>
      <w:r>
        <w:rPr/>
        <w:t xml:space="preserve"> o </w:t>
      </w:r>
      <w:r>
        <w:rPr>
          <w:i/>
          <w:iCs/>
        </w:rPr>
        <w:t>jailbreak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Q14 — peeking inside language models to explain their behavior</w:t>
      </w:r>
      <w:r>
        <w:rPr/>
        <w:t xml:space="preserve"> (máx 0.19). Siempre por debajo de 0.2. La consulta se reduce a </w:t>
      </w:r>
      <w:r>
        <w:rPr>
          <w:i/>
          <w:iCs/>
        </w:rPr>
        <w:t>language model</w:t>
      </w:r>
      <w:r>
        <w:rPr/>
        <w:t xml:space="preserve">, </w:t>
      </w:r>
      <w:r>
        <w:rPr>
          <w:i/>
          <w:iCs/>
        </w:rPr>
        <w:t>explain</w:t>
      </w:r>
      <w:r>
        <w:rPr/>
        <w:t xml:space="preserve"> y </w:t>
      </w:r>
      <w:r>
        <w:rPr>
          <w:i/>
          <w:iCs/>
        </w:rPr>
        <w:t>behavior</w:t>
      </w:r>
      <w:r>
        <w:rPr/>
        <w:t xml:space="preserve">; los relevantes hablan de </w:t>
      </w:r>
      <w:r>
        <w:rPr>
          <w:i/>
          <w:iCs/>
        </w:rPr>
        <w:t>interpretability</w:t>
      </w:r>
      <w:r>
        <w:rPr/>
        <w:t xml:space="preserve">, </w:t>
      </w:r>
      <w:r>
        <w:rPr>
          <w:i/>
          <w:iCs/>
        </w:rPr>
        <w:t>probing</w:t>
      </w:r>
      <w:r>
        <w:rPr/>
        <w:t xml:space="preserve"> y </w:t>
      </w:r>
      <w:r>
        <w:rPr>
          <w:i/>
          <w:iCs/>
        </w:rPr>
        <w:t>sparse autoencoders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Q15 — assistants that remember past experiences</w:t>
      </w:r>
      <w:r>
        <w:rPr/>
        <w:t xml:space="preserve"> (máx 0.35, A-Uni-Bin). El abstract con unigramas es claramente mejor (0.32–0.35, RR = 1): </w:t>
      </w:r>
      <w:r>
        <w:rPr>
          <w:i/>
          <w:iCs/>
        </w:rPr>
        <w:t>remember</w:t>
      </w:r>
      <w:r>
        <w:rPr/>
        <w:t xml:space="preserve"> y </w:t>
      </w:r>
      <w:r>
        <w:rPr>
          <w:i/>
          <w:iCs/>
        </w:rPr>
        <w:t>experience</w:t>
      </w:r>
      <w:r>
        <w:rPr/>
        <w:t xml:space="preserve"> aparecen en abstracts sobre memoria de agentes. En los títulos solo queda </w:t>
      </w:r>
      <w:r>
        <w:rPr>
          <w:i/>
          <w:iCs/>
        </w:rPr>
        <w:t>experience</w:t>
      </w:r>
      <w:r>
        <w:rPr/>
        <w:t xml:space="preserve"> (unigramas) o nada (bigramas).</w:t>
      </w:r>
    </w:p>
    <w:p>
      <w:pPr>
        <w:pStyle w:val="Heading1"/>
        <w:rPr/>
      </w:pPr>
      <w:bookmarkStart w:id="20" w:name="_Toc21"/>
      <w:r>
        <w:rPr/>
        <w:t>11. Limitaciones y problemas detectados</w:t>
      </w:r>
      <w:bookmarkEnd w:id="20"/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Desajuste de vocabulario.</w:t>
      </w:r>
      <w:r>
        <w:rPr/>
        <w:t xml:space="preserve"> El VSM solo compara términos exactos (lematizados). No reconoce sinónimos ni relaciones como </w:t>
      </w:r>
      <w:r>
        <w:rPr>
          <w:i/>
          <w:iCs/>
        </w:rPr>
        <w:t>hospital scan</w:t>
      </w:r>
      <w:r>
        <w:rPr/>
        <w:t xml:space="preserve"> → </w:t>
      </w:r>
      <w:r>
        <w:rPr>
          <w:i/>
          <w:iCs/>
        </w:rPr>
        <w:t>MRI</w:t>
      </w:r>
      <w:r>
        <w:rPr/>
        <w:t>. Es la causa principal del bajo rendimiento en las consultas difíciles (máximo nDCG@10 de 0.35), y ninguna combinación de parámetros lo resuelve.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Escasez de texto en los títulos.</w:t>
      </w:r>
      <w:r>
        <w:rPr/>
        <w:t xml:space="preserve"> Con unas 10 palabras por título, muchas consultas no comparten ningún término con los títulos relevantes, y con bigramas la consulta puede quedar vacía (Q12, Q13 y Q15).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Rigidez de los bigramas.</w:t>
      </w:r>
      <w:r>
        <w:rPr/>
        <w:t xml:space="preserve"> No toleran cambios de orden ni palabras intermedias, y los bigramas que sí coinciden suelen ser genéricos (</w:t>
      </w:r>
      <w:r>
        <w:rPr>
          <w:i/>
          <w:iCs/>
        </w:rPr>
        <w:t>language model</w:t>
      </w:r>
      <w:r>
        <w:rPr/>
        <w:t xml:space="preserve">, </w:t>
      </w:r>
      <w:r>
        <w:rPr>
          <w:i/>
          <w:iCs/>
        </w:rPr>
        <w:t>large language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Normalización.</w:t>
      </w:r>
      <w:r>
        <w:rPr/>
        <w:t xml:space="preserve"> El lematizador convierte </w:t>
      </w:r>
      <w:r>
        <w:rPr>
          <w:i/>
          <w:iCs/>
        </w:rPr>
        <w:t>reranking</w:t>
      </w:r>
      <w:r>
        <w:rPr/>
        <w:t xml:space="preserve"> en </w:t>
      </w:r>
      <w:r>
        <w:rPr>
          <w:rFonts w:eastAsia="Consolas" w:cs="Consolas" w:ascii="Consolas" w:hAnsi="Consolas"/>
          <w:sz w:val="20"/>
          <w:szCs w:val="20"/>
        </w:rPr>
        <w:t>reranke</w:t>
      </w:r>
      <w:r>
        <w:rPr/>
        <w:t xml:space="preserve"> (afecta a Q03) y la partícula </w:t>
      </w:r>
      <w:r>
        <w:rPr>
          <w:i/>
          <w:iCs/>
        </w:rPr>
        <w:t>to</w:t>
      </w:r>
      <w:r>
        <w:rPr/>
        <w:t xml:space="preserve"> (etiqueta PART) no se elimina, lo que genera términos como </w:t>
      </w:r>
      <w:r>
        <w:rPr>
          <w:rFonts w:eastAsia="Consolas" w:cs="Consolas" w:ascii="Consolas" w:hAnsi="Consolas"/>
          <w:sz w:val="20"/>
          <w:szCs w:val="20"/>
        </w:rPr>
        <w:t>to detect</w:t>
      </w:r>
      <w:r>
        <w:rPr/>
        <w:t xml:space="preserve"> (Q12, Q14). Se podrían corregir con una lista de excepciones o añadiendo PART a las categorías eliminadas.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Tamaño del corpus.</w:t>
      </w:r>
      <w:r>
        <w:rPr/>
        <w:t xml:space="preserve"> Con 500 documentos, los términos genéricos tienen mucho peso y pocas consultas tienen más de 15 relevantes posibles.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Congelamiento del benchmark.</w:t>
      </w:r>
      <w:r>
        <w:rPr/>
        <w:t xml:space="preserve"> El benchmark se congeló con un commit, pero el tag git </w:t>
      </w:r>
      <w:r>
        <w:rPr>
          <w:rFonts w:eastAsia="Consolas" w:cs="Consolas" w:ascii="Consolas" w:hAnsi="Consolas"/>
          <w:sz w:val="20"/>
          <w:szCs w:val="20"/>
        </w:rPr>
        <w:t>benchmark-v1</w:t>
      </w:r>
      <w:r>
        <w:rPr/>
        <w:t xml:space="preserve"> que exige </w:t>
      </w:r>
      <w:r>
        <w:rPr>
          <w:rFonts w:eastAsia="Consolas" w:cs="Consolas" w:ascii="Consolas" w:hAnsi="Consolas"/>
          <w:sz w:val="20"/>
          <w:szCs w:val="20"/>
        </w:rPr>
        <w:t>src/evaluate.py</w:t>
      </w:r>
      <w:r>
        <w:rPr/>
        <w:t xml:space="preserve"> no se creó; por eso las evaluaciones se ejecutaron con la opción </w:t>
      </w:r>
      <w:r>
        <w:rPr>
          <w:rFonts w:eastAsia="Consolas" w:cs="Consolas" w:ascii="Consolas" w:hAnsi="Consolas"/>
          <w:sz w:val="20"/>
          <w:szCs w:val="20"/>
        </w:rPr>
        <w:t>--force</w:t>
      </w:r>
      <w:r>
        <w:rPr/>
        <w:t>. Las consultas y los qrels no se modificaron después de ese commit.</w:t>
      </w:r>
    </w:p>
    <w:p>
      <w:pPr>
        <w:pStyle w:val="Heading1"/>
        <w:rPr/>
      </w:pPr>
      <w:bookmarkStart w:id="21" w:name="_Toc22"/>
      <w:r>
        <w:rPr/>
        <w:t>12. Conclusiones</w:t>
      </w:r>
      <w:bookmarkEnd w:id="21"/>
    </w:p>
    <w:p>
      <w:pPr>
        <w:pStyle w:val="ListParagraph"/>
        <w:numPr>
          <w:ilvl w:val="0"/>
          <w:numId w:val="11"/>
        </w:numPr>
        <w:spacing w:lineRule="auto" w:line="264" w:before="0" w:after="80"/>
        <w:rPr/>
      </w:pPr>
      <w:r>
        <w:rPr/>
        <w:t xml:space="preserve">La mejor configuración en promedio es </w:t>
      </w:r>
      <w:r>
        <w:rPr>
          <w:b/>
          <w:bCs/>
        </w:rPr>
        <w:t>abstract · unigram · binary</w:t>
      </w:r>
      <w:r>
        <w:rPr/>
        <w:t xml:space="preserve"> (nDCG@10 = 0.423), seguida de </w:t>
      </w:r>
      <w:r>
        <w:rPr>
          <w:rFonts w:eastAsia="Consolas" w:cs="Consolas" w:ascii="Consolas" w:hAnsi="Consolas"/>
          <w:sz w:val="20"/>
          <w:szCs w:val="20"/>
        </w:rPr>
        <w:t>abstract · unigram · tfidf</w:t>
      </w:r>
      <w:r>
        <w:rPr/>
        <w:t xml:space="preserve"> (0.391).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La mejor configuración depende de la consulta.</w:t>
      </w:r>
      <w:r>
        <w:rPr/>
        <w:t xml:space="preserve"> Ninguna gana en la mayoría de las consultas; elegir la ideal para cada una subiría el nDCG@10 promedio de 0.42 a 0.57.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TF-IDF es la representación más robusta</w:t>
      </w:r>
      <w:r>
        <w:rPr/>
        <w:t xml:space="preserve"> frente a términos genéricos (Q02, Q09, Q10). La de frecuencia es la peor.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El título es preciso pero frágil:</w:t>
      </w:r>
      <w:r>
        <w:rPr/>
        <w:t xml:space="preserve"> gana cuando la consulta repite el título (Q04–Q06, Q08) y fracasa cuando el concepto se nombra de otra forma (Q03, Q07, Q09, Q10).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b/>
          <w:bCs/>
        </w:rPr>
        <w:t>Los bigramas solo sirven para expresiones fijas.</w:t>
      </w:r>
      <w:r>
        <w:rPr/>
        <w:t xml:space="preserve"> Fuera de ellas reducen la consulta a bigramas genéricos o la dejan vacía.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  <w:sectPr>
          <w:footerReference w:type="even" r:id="rId8"/>
          <w:footerReference w:type="default" r:id="rId9"/>
          <w:footerReference w:type="first" r:id="rId10"/>
          <w:type w:val="nextPage"/>
          <w:pgSz w:w="12240" w:h="15840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</w:rPr>
        <w:t>Las consultas difíciles no se resuelven con ningún ajuste del VSM.</w:t>
      </w:r>
      <w:r>
        <w:rPr/>
        <w:t xml:space="preserve"> El problema es de vocabulario. Una representación semántica (embeddings) o la expansión de consultas con sinónimos son el siguiente paso natural, y los casos de este análisis sirven para medir esa mejora.</w:t>
      </w:r>
    </w:p>
    <w:p>
      <w:pPr>
        <w:pStyle w:val="Heading1"/>
        <w:rPr/>
      </w:pPr>
      <w:bookmarkStart w:id="22" w:name="_Toc23"/>
      <w:r>
        <w:rPr/>
        <w:t>Anexo A. Métricas por consulta de cada configuración</w:t>
      </w:r>
      <w:bookmarkEnd w:id="22"/>
    </w:p>
    <w:p>
      <w:pPr>
        <w:pStyle w:val="Normal"/>
        <w:spacing w:lineRule="auto" w:line="276" w:before="0" w:after="120"/>
        <w:jc w:val="both"/>
        <w:rPr/>
      </w:pPr>
      <w:r>
        <w:rPr/>
        <w:t xml:space="preserve">Una tabla por configuración. Al final de cada una, los promedios por nivel y el global (en esas filas la columna RR es el MRR). Los mismos datos están en </w:t>
      </w:r>
      <w:r>
        <w:rPr>
          <w:rFonts w:eastAsia="Consolas" w:cs="Consolas" w:ascii="Consolas" w:hAnsi="Consolas"/>
          <w:sz w:val="20"/>
          <w:szCs w:val="20"/>
        </w:rPr>
        <w:t>results/per_query/&lt;campo&gt;_&lt;ngrama&gt;_&lt;repr&gt;.tsv</w:t>
      </w:r>
      <w:r>
        <w:rPr/>
        <w:t>.</w:t>
      </w:r>
    </w:p>
    <w:p>
      <w:pPr>
        <w:pStyle w:val="Heading2"/>
        <w:rPr/>
      </w:pPr>
      <w:bookmarkStart w:id="23" w:name="_Toc24"/>
      <w:r>
        <w:rPr/>
        <w:t>A.1 title · unigram · frequency</w:t>
      </w:r>
      <w:bookmarkEnd w:id="23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0.316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0.589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0.609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0.768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0.111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0.464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0.241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0.370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0.522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0.162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0.287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0.197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0.233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0.630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0.332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4" w:name="_Toc25"/>
      <w:r>
        <w:rPr/>
        <w:t>A.2 title · unigram · binary</w:t>
      </w:r>
      <w:bookmarkEnd w:id="24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0.615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0.696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0.790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0.775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0.319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0.270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0.410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0.171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0.313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0.215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0.255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0.650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0.349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5" w:name="_Toc26"/>
      <w:r>
        <w:rPr/>
        <w:t>A.3 title · unigram · tfidf</w:t>
      </w:r>
      <w:bookmarkEnd w:id="25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0.755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0.672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0.667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0.900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0.692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0.783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0.843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0.091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0.111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0.296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0.519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0.298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0.349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0.448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0.522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0.235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0.278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0.657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0.377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6" w:name="_Toc27"/>
      <w:r>
        <w:rPr/>
        <w:t>A.4 title · bigram · frequency</w:t>
      </w:r>
      <w:bookmarkEnd w:id="26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0.727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0.594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0.609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0.762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0.813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0.272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0.406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0.373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0.071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0.165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0.195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0.494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7" w:name="_Toc28"/>
      <w:r>
        <w:rPr/>
        <w:t>A.5 title · bigram · binary</w:t>
      </w:r>
      <w:bookmarkEnd w:id="27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0.727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0.594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0.609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0.762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0.813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0.272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0.406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0.373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0.071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0.165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0.195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0.494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8" w:name="_Toc29"/>
      <w:r>
        <w:rPr/>
        <w:t>A.6 title · bigram · tfidf</w:t>
      </w:r>
      <w:bookmarkEnd w:id="28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0.556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0.581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0.548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0.680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0.813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0.359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0.118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0.442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0.239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0.074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0.273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0.186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0.221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0.583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0.315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9" w:name="_Toc30"/>
      <w:r>
        <w:rPr/>
        <w:t>A.7 abstract · unigram · frequency</w:t>
      </w:r>
      <w:bookmarkEnd w:id="29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0.393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0.671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0.231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0.213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0.549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0.620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0.620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0.360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0.380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0.299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0.356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0.453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0.064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0.202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0.241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0.539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0.299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0" w:name="_Toc31"/>
      <w:r>
        <w:rPr/>
        <w:t>A.8 abstract · unigram · binary</w:t>
      </w:r>
      <w:bookmarkEnd w:id="30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0.673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0.663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0.675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0.125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0.222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0.353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0.526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0.346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0.584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0.425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0.159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0.427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0.289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0.345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0.764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0.423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1" w:name="_Toc32"/>
      <w:r>
        <w:rPr/>
        <w:t>A.9 abstract · unigram · tfidf</w:t>
      </w:r>
      <w:bookmarkEnd w:id="31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0.472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0.748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0.463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0.292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0.308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0.790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0.727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0.071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0.145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0.322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0.355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0.573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0.081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0.097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0.093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0.256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0.306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0.717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0.391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2" w:name="_Toc33"/>
      <w:r>
        <w:rPr/>
        <w:t>A.10 abstract · bigram · frequency</w:t>
      </w:r>
      <w:bookmarkEnd w:id="32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0.786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0.580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0.474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0.462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0.359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0.188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0.307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0.368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0.459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0.279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0.328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0.053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0.047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0.313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0.213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0.253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0.589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0.331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3" w:name="_Toc34"/>
      <w:r>
        <w:rPr/>
        <w:t>A.11 abstract · bigram · binary</w:t>
      </w:r>
      <w:bookmarkEnd w:id="33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0.777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0.230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0.518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0.435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0.675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0.716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0.133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0.037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0.280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0.336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0.406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0.264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0.473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0.027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0.032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0.167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0.017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0.190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0.226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0.589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0.299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4" w:name="_Toc35"/>
      <w:r>
        <w:rPr/>
        <w:t>A.12 abstract · bigram · tfidf</w:t>
      </w:r>
      <w:bookmarkEnd w:id="34"/>
    </w:p>
    <w:tbl>
      <w:tblPr>
        <w:tblW w:w="1368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07"/>
        <w:gridCol w:w="942"/>
        <w:gridCol w:w="5896"/>
        <w:gridCol w:w="708"/>
        <w:gridCol w:w="1060"/>
        <w:gridCol w:w="1061"/>
        <w:gridCol w:w="1062"/>
        <w:gridCol w:w="1060"/>
        <w:gridCol w:w="1184"/>
      </w:tblGrid>
      <w:tr>
        <w:trPr>
          <w:tblHeader w:val="true"/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Nivel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Rel.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P@10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R@10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F1@10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RR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nDCG@10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sequential recommendation with user behavior sequences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0.900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long video understanding with vision-language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0.900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0.824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reranking retrieved documents with large language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video generation with diffusion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0.481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Fácil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retrieval-augmented generation for multi-hop question answering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0.560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0.556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Q06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on-policy self-distillation for reasoning models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0.435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0.648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Q07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parameter-efficient fine-tuning with low-rank adapters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0.739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Q08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policy optimization in reinforcement learning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0.600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0.700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Q09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large language models as judges for evaluation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Q10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Media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multilingual language models for low-resource languages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0.320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0.554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Q11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making neural networks smaller and faster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Q12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AI reading hospital scans to detect illness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Q13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defending AI systems against malicious manipulation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0.000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Q14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peeking inside language models to explain their behavior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0.032</w:t>
            </w:r>
          </w:p>
        </w:tc>
      </w:tr>
      <w:tr>
        <w:trPr>
          <w:cantSplit/>
        </w:trPr>
        <w:tc>
          <w:tcPr>
            <w:tcW w:w="7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Q15</w:t>
            </w:r>
          </w:p>
        </w:tc>
        <w:tc>
          <w:tcPr>
            <w:tcW w:w="9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Difícil</w:t>
            </w:r>
          </w:p>
        </w:tc>
        <w:tc>
          <w:tcPr>
            <w:tcW w:w="58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assistants that remember past experiences</w:t>
            </w:r>
          </w:p>
        </w:tc>
        <w:tc>
          <w:tcPr>
            <w:tcW w:w="7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0.100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0.067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fácil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0.580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0.387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0.464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0.534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media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0.420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0.290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0.343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0.800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0.528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Promedio difícil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0.040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0.027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0.032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0.150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7"/>
                <w:szCs w:val="17"/>
              </w:rPr>
              <w:t>0.016</w:t>
            </w:r>
          </w:p>
        </w:tc>
      </w:tr>
      <w:tr>
        <w:trPr>
          <w:cantSplit/>
        </w:trPr>
        <w:tc>
          <w:tcPr>
            <w:tcW w:w="8253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/>
                <w:bCs/>
                <w:sz w:val="17"/>
                <w:szCs w:val="17"/>
              </w:rPr>
              <w:t>Promedio global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0.347</w:t>
            </w:r>
          </w:p>
        </w:tc>
        <w:tc>
          <w:tcPr>
            <w:tcW w:w="10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0.235</w:t>
            </w:r>
          </w:p>
        </w:tc>
        <w:tc>
          <w:tcPr>
            <w:tcW w:w="106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0.280</w:t>
            </w:r>
          </w:p>
        </w:tc>
        <w:tc>
          <w:tcPr>
            <w:tcW w:w="1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0.583</w:t>
            </w:r>
          </w:p>
        </w:tc>
        <w:tc>
          <w:tcPr>
            <w:tcW w:w="118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0.359</w:t>
            </w:r>
          </w:p>
        </w:tc>
      </w:tr>
    </w:tbl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orient="landscape" w:w="15840" w:h="12240"/>
          <w:pgMar w:left="1080" w:right="1080" w:gutter="0" w:header="0" w:top="1080" w:footer="708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bookmarkStart w:id="35" w:name="_Toc36"/>
      <w:r>
        <w:rPr/>
        <w:t>Anexo B. Estructura del repositorio y reproducción</w:t>
      </w:r>
      <w:bookmarkEnd w:id="35"/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509"/>
        <w:gridCol w:w="5851"/>
      </w:tblGrid>
      <w:tr>
        <w:trPr>
          <w:tblHeader w:val="true"/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Ruta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data/raw/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Respuestas XML originales de la API de arXiv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data/scientific_raw_corpus.tsv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Corpus crudo (500 artículos)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data/scientific_normalized_corpus.tsv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Corpus con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title_norm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abstract_norm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data/benchmark/queries.tsv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 consultas (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query_id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difficulty_level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query</w:t>
            </w:r>
            <w:r>
              <w:rPr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data/benchmark/qrels.tsv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218 juicios (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query_id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document_id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relevance</w:t>
            </w:r>
            <w:r>
              <w:rPr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data/benchmark/rankings.tsv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Top-10 de una configuración para las 15 consultas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models/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12 modelos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.pkl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(vectorizador + matriz + ids)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notebooks/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01 recolección, 02 normalización, 03-05 vectorización TF-IDF, binaria y frecuencia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src/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normalize.py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retrieve.py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evaluate.py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cli.py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(línea de comandos) y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api.py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(web)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results/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Estadísticas de cada fase, métricas, análisis de errores y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per_query/</w:t>
            </w:r>
            <w:r>
              <w:rPr>
                <w:b w:val="false"/>
                <w:bCs w:val="false"/>
                <w:sz w:val="18"/>
                <w:szCs w:val="18"/>
              </w:rPr>
              <w:t xml:space="preserve"> (12 tablas)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tests/test_metrics.py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tru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 pruebas unitarias de las métricas y del formato del benchmark</w:t>
            </w:r>
          </w:p>
        </w:tc>
      </w:tr>
      <w:tr>
        <w:trPr>
          <w:cantSplit/>
        </w:trPr>
        <w:tc>
          <w:tcPr>
            <w:tcW w:w="35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logs/acquisition.log</w:t>
            </w:r>
          </w:p>
        </w:tc>
        <w:tc>
          <w:tcPr>
            <w:tcW w:w="5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keepNext w:val="false"/>
              <w:jc w:val="start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Registro de la recolección</w:t>
            </w:r>
          </w:p>
        </w:tc>
      </w:tr>
    </w:tbl>
    <w:p>
      <w:pPr>
        <w:pStyle w:val="Normal"/>
        <w:spacing w:before="60" w:after="200"/>
        <w:rPr/>
      </w:pPr>
      <w:r>
        <w:rPr>
          <w:i/>
          <w:iCs/>
          <w:color w:val="555555"/>
          <w:sz w:val="18"/>
          <w:szCs w:val="18"/>
        </w:rPr>
        <w:t>Tabla A.1. Archivos principales.</w:t>
      </w:r>
    </w:p>
    <w:p>
      <w:pPr>
        <w:pStyle w:val="Normal"/>
        <w:spacing w:lineRule="auto" w:line="276" w:before="0" w:after="120"/>
        <w:jc w:val="both"/>
        <w:rPr/>
      </w:pPr>
      <w:r>
        <w:rPr/>
        <w:t xml:space="preserve">Para reproducir la evaluación completa desde la raíz del repositorio (con el entorno instalado según el </w:t>
      </w:r>
      <w:r>
        <w:rPr>
          <w:rFonts w:eastAsia="Consolas" w:cs="Consolas" w:ascii="Consolas" w:hAnsi="Consolas"/>
          <w:sz w:val="20"/>
          <w:szCs w:val="20"/>
        </w:rPr>
        <w:t>README.md</w:t>
      </w:r>
      <w:r>
        <w:rPr/>
        <w:t>):</w:t>
      </w:r>
    </w:p>
    <w:p>
      <w:pPr>
        <w:pStyle w:val="Normal"/>
        <w:shd w:val="clear" w:color="auto" w:fill="F2F2F2"/>
        <w:spacing w:before="0" w:after="0"/>
        <w:ind w:start="200"/>
        <w:rPr/>
      </w:pPr>
      <w:r>
        <w:rPr>
          <w:rFonts w:eastAsia="Consolas" w:cs="Consolas" w:ascii="Consolas" w:hAnsi="Consolas"/>
          <w:sz w:val="18"/>
          <w:szCs w:val="18"/>
        </w:rPr>
        <w:t>python -m src.cli benchmark --check         # valida queries.tsv y qrels.tsv</w:t>
      </w:r>
    </w:p>
    <w:p>
      <w:pPr>
        <w:pStyle w:val="Normal"/>
        <w:shd w:val="clear" w:color="auto" w:fill="F2F2F2"/>
        <w:spacing w:before="0" w:after="160"/>
        <w:ind w:start="200"/>
        <w:rPr/>
      </w:pPr>
      <w:r>
        <w:rPr>
          <w:rFonts w:eastAsia="Consolas" w:cs="Consolas" w:ascii="Consolas" w:hAnsi="Consolas"/>
          <w:sz w:val="18"/>
          <w:szCs w:val="18"/>
        </w:rPr>
        <w:t>python -m src.cli benchmark --all --force   # evalúa las 12 configuraciones</w:t>
      </w:r>
    </w:p>
    <w:sectPr>
      <w:footerReference w:type="even" r:id="rId14"/>
      <w:footerReference w:type="default" r:id="rId15"/>
      <w:footerReference w:type="first" r:id="rId16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10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10</w:t>
    </w:r>
    <w:r>
      <w:rPr>
        <w:color w:val="808080"/>
        <w:sz w:val="18"/>
        <w:szCs w:val="18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12</w:t>
    </w:r>
    <w:r>
      <w:rPr>
        <w:color w:val="808080"/>
        <w:sz w:val="18"/>
        <w:szCs w:val="18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12</w:t>
    </w:r>
    <w:r>
      <w:rPr>
        <w:color w:val="808080"/>
        <w:sz w:val="18"/>
        <w:szCs w:val="18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16</w:t>
    </w:r>
    <w:r>
      <w:rPr>
        <w:color w:val="808080"/>
        <w:sz w:val="18"/>
        <w:szCs w:val="18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16</w:t>
    </w:r>
    <w:r>
      <w:rPr>
        <w:color w:val="808080"/>
        <w:sz w:val="18"/>
        <w:szCs w:val="18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28</w:t>
    </w:r>
    <w:r>
      <w:rPr>
        <w:color w:val="808080"/>
        <w:sz w:val="18"/>
        <w:szCs w:val="18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28</w:t>
    </w:r>
    <w:r>
      <w:rPr>
        <w:color w:val="808080"/>
        <w:sz w:val="18"/>
        <w:szCs w:val="18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29</w:t>
    </w:r>
    <w:r>
      <w:rPr>
        <w:color w:val="808080"/>
        <w:sz w:val="18"/>
        <w:szCs w:val="18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29</w:t>
    </w:r>
    <w:r>
      <w:rPr>
        <w:color w:val="808080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4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80" w:after="80"/>
      <w:outlineLvl w:val="2"/>
    </w:pPr>
    <w:rPr>
      <w:rFonts w:ascii="Calibri" w:hAnsi="Calibri" w:eastAsia="Calibri" w:cs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  <w:rPr/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Bibliography">
    <w:name w:val="Bibliography"/>
    <w:basedOn w:val="Normal"/>
    <w:next w:val="Normal"/>
    <w:uiPriority w:val="37"/>
    <w:unhideWhenUsed/>
    <w:pPr/>
    <w:rPr/>
  </w:style>
  <w:style w:type="paragraph" w:styleId="TOC1">
    <w:name w:val="toc 1"/>
    <w:basedOn w:val="Normal"/>
    <w:next w:val="Normal"/>
    <w:uiPriority w:val="39"/>
    <w:semiHidden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semiHidden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semiHidden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semiHidden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semiHidden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semiHidden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semiHidden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semiHidden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semiHidden/>
    <w:unhideWhenUsed/>
    <w:pPr>
      <w:spacing w:before="0" w:after="100"/>
      <w:ind w:start="176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LibreOffice/26.8.0.3$Linux_X86_64 LibreOffice_project/e34ffb33db0c92181c79084d759a90d6bf45d9b3</Application>
  <AppVersion>15.0000</AppVersion>
  <Pages>29</Pages>
  <Words>7435</Words>
  <Characters>40031</Characters>
  <CharactersWithSpaces>44554</CharactersWithSpaces>
  <Paragraphs>2905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2026-10-24T01:58:25Z</dcterms:created>
  <dc:creator>Angel Garcia</dc:creator>
  <dc:description/>
  <dc:language>es-MX</dc:language>
  <cp:lastModifiedBy/>
  <dcterms:modified xsi:type="dcterms:W3CDTF">2026-10-23T20:43:07Z</dcterms:modified>
  <cp:revision>2</cp:revision>
  <dc:subject/>
  <dc:title>Recuperación de artículos científicos con VSM</dc:title>
</cp:coreProperties>
</file>